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olor w:val="000000"/>
          <w:sz w:val="32"/>
          <w:szCs w:val="32"/>
        </w:rPr>
      </w:pPr>
      <w:bookmarkStart w:id="0" w:name="_GoBack"/>
      <w:bookmarkEnd w:id="0"/>
      <w:r>
        <w:rPr>
          <w:rFonts w:hint="eastAsia" w:ascii="黑体" w:hAnsi="黑体" w:eastAsia="黑体" w:cs="Times New Roman"/>
          <w:color w:val="000000"/>
          <w:sz w:val="32"/>
          <w:szCs w:val="32"/>
          <w:lang w:val="en-US" w:eastAsia="zh-CN"/>
        </w:rPr>
        <w:t>深圳市儿童医院“温肺止嗽颗粒”生产代工服务</w:t>
      </w:r>
      <w:r>
        <w:rPr>
          <w:rFonts w:hint="eastAsia" w:ascii="黑体" w:hAnsi="黑体" w:eastAsia="黑体" w:cs="Times New Roman"/>
          <w:color w:val="000000"/>
          <w:sz w:val="32"/>
          <w:szCs w:val="32"/>
        </w:rPr>
        <w:t>项目论证表</w:t>
      </w:r>
    </w:p>
    <w:tbl>
      <w:tblPr>
        <w:tblStyle w:val="10"/>
        <w:tblW w:w="10207" w:type="dxa"/>
        <w:tblInd w:w="-269" w:type="dxa"/>
        <w:tblLayout w:type="fixed"/>
        <w:tblCellMar>
          <w:top w:w="15" w:type="dxa"/>
          <w:left w:w="15" w:type="dxa"/>
          <w:bottom w:w="15" w:type="dxa"/>
          <w:right w:w="15" w:type="dxa"/>
        </w:tblCellMar>
      </w:tblPr>
      <w:tblGrid>
        <w:gridCol w:w="1702"/>
        <w:gridCol w:w="4111"/>
        <w:gridCol w:w="1559"/>
        <w:gridCol w:w="2835"/>
      </w:tblGrid>
      <w:tr>
        <w:tblPrEx>
          <w:tblCellMar>
            <w:top w:w="15" w:type="dxa"/>
            <w:left w:w="15" w:type="dxa"/>
            <w:bottom w:w="15" w:type="dxa"/>
            <w:right w:w="15" w:type="dxa"/>
          </w:tblCellMar>
        </w:tblPrEx>
        <w:trPr>
          <w:trHeight w:val="826" w:hRule="atLeast"/>
        </w:trPr>
        <w:tc>
          <w:tcPr>
            <w:tcW w:w="17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供应商</w:t>
            </w:r>
          </w:p>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（厂家</w:t>
            </w:r>
            <w:r>
              <w:rPr>
                <w:rFonts w:ascii="宋体" w:hAnsi="宋体" w:cs="宋体"/>
                <w:color w:val="000000"/>
                <w:kern w:val="0"/>
                <w:sz w:val="24"/>
                <w:szCs w:val="24"/>
              </w:rPr>
              <w:t>）名称</w:t>
            </w:r>
          </w:p>
        </w:tc>
        <w:tc>
          <w:tcPr>
            <w:tcW w:w="41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szCs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负责人</w:t>
            </w:r>
          </w:p>
          <w:p>
            <w:pPr>
              <w:widowControl/>
              <w:jc w:val="center"/>
              <w:textAlignment w:val="center"/>
              <w:rPr>
                <w:rFonts w:ascii="宋体" w:hAnsi="宋体" w:cs="宋体"/>
                <w:color w:val="000000"/>
                <w:sz w:val="24"/>
                <w:szCs w:val="24"/>
              </w:rPr>
            </w:pPr>
            <w:r>
              <w:rPr>
                <w:rFonts w:hint="eastAsia" w:ascii="宋体" w:hAnsi="宋体" w:cs="宋体"/>
                <w:color w:val="000000" w:themeColor="text1"/>
                <w:kern w:val="0"/>
                <w:sz w:val="24"/>
                <w:szCs w:val="24"/>
                <w14:textFill>
                  <w14:solidFill>
                    <w14:schemeClr w14:val="tx1"/>
                  </w14:solidFill>
                </w14:textFill>
              </w:rPr>
              <w:t>（电话）</w:t>
            </w:r>
          </w:p>
        </w:tc>
        <w:tc>
          <w:tcPr>
            <w:tcW w:w="28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szCs w:val="24"/>
              </w:rPr>
            </w:pPr>
          </w:p>
        </w:tc>
      </w:tr>
      <w:tr>
        <w:tblPrEx>
          <w:tblCellMar>
            <w:top w:w="15" w:type="dxa"/>
            <w:left w:w="15" w:type="dxa"/>
            <w:bottom w:w="15" w:type="dxa"/>
            <w:right w:w="15" w:type="dxa"/>
          </w:tblCellMar>
        </w:tblPrEx>
        <w:trPr>
          <w:trHeight w:val="793" w:hRule="atLeast"/>
        </w:trPr>
        <w:tc>
          <w:tcPr>
            <w:tcW w:w="17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项目名称</w:t>
            </w:r>
          </w:p>
        </w:tc>
        <w:tc>
          <w:tcPr>
            <w:tcW w:w="4111"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sz w:val="24"/>
                <w:szCs w:val="24"/>
              </w:rPr>
            </w:pPr>
            <w:r>
              <w:rPr>
                <w:rFonts w:hint="eastAsia" w:ascii="宋体" w:hAnsi="宋体" w:cs="宋体"/>
                <w:color w:val="000000"/>
                <w:sz w:val="24"/>
                <w:szCs w:val="24"/>
                <w:lang w:val="en-US" w:eastAsia="zh-CN"/>
              </w:rPr>
              <w:t>深圳市儿童医院“温肺止嗽颗粒”生产代工服务</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szCs w:val="24"/>
              </w:rPr>
            </w:pPr>
            <w:r>
              <w:rPr>
                <w:rFonts w:hint="eastAsia" w:ascii="宋体" w:hAnsi="宋体" w:cs="宋体"/>
                <w:color w:val="000000"/>
                <w:sz w:val="24"/>
                <w:szCs w:val="24"/>
              </w:rPr>
              <w:t>产地品牌</w:t>
            </w:r>
          </w:p>
        </w:tc>
        <w:tc>
          <w:tcPr>
            <w:tcW w:w="28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szCs w:val="24"/>
              </w:rPr>
            </w:pPr>
          </w:p>
        </w:tc>
      </w:tr>
      <w:tr>
        <w:tblPrEx>
          <w:tblCellMar>
            <w:top w:w="15" w:type="dxa"/>
            <w:left w:w="15" w:type="dxa"/>
            <w:bottom w:w="15" w:type="dxa"/>
            <w:right w:w="15" w:type="dxa"/>
          </w:tblCellMar>
        </w:tblPrEx>
        <w:trPr>
          <w:trHeight w:val="793" w:hRule="atLeast"/>
        </w:trPr>
        <w:tc>
          <w:tcPr>
            <w:tcW w:w="10207" w:type="dxa"/>
            <w:gridSpan w:val="4"/>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温肺止嗽颗粒：规格 6.7g/袋*9袋/盒，</w:t>
            </w:r>
            <w:r>
              <w:rPr>
                <w:rFonts w:hint="eastAsia" w:ascii="宋体" w:hAnsi="宋体" w:eastAsia="宋体" w:cs="宋体"/>
                <w:color w:val="000000"/>
                <w:sz w:val="24"/>
                <w:szCs w:val="24"/>
              </w:rPr>
              <w:t>报价（全包价）</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 xml:space="preserve">      </w:t>
            </w:r>
          </w:p>
          <w:p>
            <w:pPr>
              <w:ind w:firstLine="1680" w:firstLineChars="700"/>
              <w:jc w:val="both"/>
              <w:rPr>
                <w:rFonts w:ascii="宋体" w:hAnsi="宋体" w:cs="宋体"/>
                <w:color w:val="000000"/>
                <w:sz w:val="24"/>
                <w:szCs w:val="24"/>
              </w:rPr>
            </w:pPr>
            <w:r>
              <w:rPr>
                <w:rFonts w:hint="eastAsia" w:ascii="宋体" w:hAnsi="宋体" w:eastAsia="宋体" w:cs="宋体"/>
                <w:color w:val="000000"/>
                <w:sz w:val="24"/>
                <w:szCs w:val="24"/>
                <w:lang w:val="en-US" w:eastAsia="zh-CN"/>
              </w:rPr>
              <w:t>规格13.4g/袋*6袋/盒，</w:t>
            </w:r>
            <w:r>
              <w:rPr>
                <w:rFonts w:hint="eastAsia" w:ascii="宋体" w:hAnsi="宋体" w:eastAsia="宋体" w:cs="宋体"/>
                <w:color w:val="000000"/>
                <w:sz w:val="24"/>
                <w:szCs w:val="24"/>
              </w:rPr>
              <w:t>报价（全包价）：</w:t>
            </w:r>
            <w:r>
              <w:rPr>
                <w:rFonts w:hint="eastAsia" w:ascii="宋体" w:hAnsi="宋体" w:eastAsia="宋体" w:cs="宋体"/>
                <w:color w:val="000000"/>
                <w:sz w:val="24"/>
                <w:szCs w:val="24"/>
                <w:lang w:val="en-US" w:eastAsia="zh-CN"/>
              </w:rPr>
              <w:t xml:space="preserve"> </w:t>
            </w:r>
          </w:p>
        </w:tc>
      </w:tr>
      <w:tr>
        <w:tblPrEx>
          <w:tblCellMar>
            <w:top w:w="15" w:type="dxa"/>
            <w:left w:w="15" w:type="dxa"/>
            <w:bottom w:w="15" w:type="dxa"/>
            <w:right w:w="15" w:type="dxa"/>
          </w:tblCellMar>
        </w:tblPrEx>
        <w:trPr>
          <w:trHeight w:val="9551" w:hRule="atLeast"/>
        </w:trPr>
        <w:tc>
          <w:tcPr>
            <w:tcW w:w="170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4"/>
                <w:szCs w:val="24"/>
              </w:rPr>
            </w:pPr>
            <w:r>
              <w:rPr>
                <w:rFonts w:hint="eastAsia" w:ascii="宋体" w:hAnsi="宋体" w:cs="宋体"/>
                <w:color w:val="000000"/>
                <w:kern w:val="0"/>
                <w:sz w:val="24"/>
                <w:szCs w:val="24"/>
                <w:lang w:eastAsia="zh-CN"/>
              </w:rPr>
              <w:t>委托企业</w:t>
            </w:r>
            <w:r>
              <w:rPr>
                <w:rFonts w:hint="eastAsia" w:ascii="宋体" w:hAnsi="宋体" w:cs="宋体"/>
                <w:color w:val="000000"/>
                <w:kern w:val="0"/>
                <w:sz w:val="24"/>
                <w:szCs w:val="24"/>
              </w:rPr>
              <w:t>资质要求</w:t>
            </w:r>
          </w:p>
        </w:tc>
        <w:tc>
          <w:tcPr>
            <w:tcW w:w="8505" w:type="dxa"/>
            <w:gridSpan w:val="3"/>
            <w:tcBorders>
              <w:top w:val="single" w:color="000000" w:sz="4" w:space="0"/>
              <w:left w:val="single" w:color="000000" w:sz="4" w:space="0"/>
              <w:bottom w:val="single" w:color="000000" w:sz="4" w:space="0"/>
              <w:right w:val="single" w:color="000000" w:sz="4" w:space="0"/>
            </w:tcBorders>
            <w:vAlign w:val="center"/>
          </w:tcPr>
          <w:p>
            <w:pPr>
              <w:pStyle w:val="4"/>
              <w:rPr>
                <w:rFonts w:hint="eastAsia" w:ascii="宋体" w:hAnsi="宋体" w:cs="宋体"/>
                <w:b/>
                <w:bCs/>
                <w:color w:val="000000" w:themeColor="text1"/>
                <w:kern w:val="0"/>
                <w:sz w:val="24"/>
                <w:szCs w:val="24"/>
                <w14:textFill>
                  <w14:solidFill>
                    <w14:schemeClr w14:val="tx1"/>
                  </w14:solidFill>
                </w14:textFill>
              </w:rPr>
            </w:pPr>
          </w:p>
          <w:p>
            <w:pPr>
              <w:numPr>
                <w:ilvl w:val="1"/>
                <w:numId w:val="1"/>
              </w:numPr>
              <w:rPr>
                <w:rFonts w:ascii="宋体" w:hAnsi="宋体" w:cs="宋体"/>
                <w:kern w:val="0"/>
                <w:szCs w:val="21"/>
              </w:rPr>
            </w:pPr>
            <w:r>
              <w:rPr>
                <w:rFonts w:hint="eastAsia" w:ascii="宋体" w:hAnsi="宋体" w:cs="宋体"/>
                <w:kern w:val="0"/>
                <w:szCs w:val="21"/>
              </w:rPr>
              <w:t>营业执照副本复印件,加盖</w:t>
            </w:r>
            <w:r>
              <w:rPr>
                <w:rFonts w:hint="eastAsia" w:ascii="宋体" w:hAnsi="宋体" w:cs="宋体"/>
                <w:kern w:val="0"/>
                <w:szCs w:val="21"/>
                <w:lang w:eastAsia="zh-CN"/>
              </w:rPr>
              <w:t>委托企业</w:t>
            </w:r>
            <w:r>
              <w:rPr>
                <w:rFonts w:hint="eastAsia" w:ascii="宋体" w:hAnsi="宋体" w:cs="宋体"/>
                <w:kern w:val="0"/>
                <w:szCs w:val="21"/>
              </w:rPr>
              <w:t>公章;提供在国家企业信用信息公示系统中自行打印的所有信息（http://www.gsxt.gov.cn/index.html）；（包括基础信息，企业自行公示信息，行政许可信息，行政处罚信息，纳入经营异常名录信息，纳入严重违法失信企业名单（黑名单）信息）加盖</w:t>
            </w:r>
            <w:r>
              <w:rPr>
                <w:rFonts w:hint="eastAsia" w:ascii="宋体" w:hAnsi="宋体" w:cs="宋体"/>
                <w:kern w:val="0"/>
                <w:szCs w:val="21"/>
                <w:lang w:eastAsia="zh-CN"/>
              </w:rPr>
              <w:t>委托企业</w:t>
            </w:r>
            <w:r>
              <w:rPr>
                <w:rFonts w:hint="eastAsia" w:ascii="宋体" w:hAnsi="宋体" w:cs="宋体"/>
                <w:kern w:val="0"/>
                <w:szCs w:val="21"/>
              </w:rPr>
              <w:t>公章）；</w:t>
            </w:r>
          </w:p>
          <w:p>
            <w:pPr>
              <w:numPr>
                <w:ilvl w:val="1"/>
                <w:numId w:val="1"/>
              </w:numPr>
              <w:rPr>
                <w:rFonts w:hint="default" w:ascii="宋体" w:hAnsi="宋体" w:eastAsia="宋体" w:cs="宋体"/>
                <w:kern w:val="0"/>
                <w:szCs w:val="21"/>
                <w:lang w:val="en-US" w:eastAsia="zh-CN"/>
              </w:rPr>
            </w:pPr>
            <w:r>
              <w:rPr>
                <w:rFonts w:hint="eastAsia" w:ascii="宋体" w:hAnsi="宋体" w:eastAsia="宋体" w:cs="宋体"/>
                <w:kern w:val="0"/>
                <w:szCs w:val="21"/>
              </w:rPr>
              <w:t>有效期内的《药品生产许可证》或《医疗机构制剂许可证》复印件，其生产或配制范围应包含颗粒剂。</w:t>
            </w:r>
          </w:p>
          <w:p>
            <w:pPr>
              <w:numPr>
                <w:ilvl w:val="1"/>
                <w:numId w:val="1"/>
              </w:numPr>
              <w:rPr>
                <w:rFonts w:ascii="宋体" w:hAnsi="宋体" w:cs="宋体"/>
                <w:kern w:val="0"/>
                <w:szCs w:val="21"/>
              </w:rPr>
            </w:pPr>
            <w:r>
              <w:rPr>
                <w:rFonts w:hint="eastAsia" w:ascii="宋体" w:hAnsi="宋体" w:cs="宋体"/>
                <w:kern w:val="0"/>
                <w:szCs w:val="21"/>
              </w:rPr>
              <w:t>本项目不接受联合体投标，</w:t>
            </w:r>
            <w:r>
              <w:rPr>
                <w:rFonts w:hint="eastAsia" w:ascii="宋体" w:hAnsi="宋体"/>
                <w:szCs w:val="21"/>
              </w:rPr>
              <w:t>不允许转包、分包</w:t>
            </w:r>
            <w:r>
              <w:rPr>
                <w:rFonts w:hint="eastAsia" w:ascii="宋体" w:hAnsi="宋体" w:cs="宋体"/>
                <w:kern w:val="0"/>
                <w:szCs w:val="21"/>
              </w:rPr>
              <w:t>；</w:t>
            </w:r>
          </w:p>
          <w:p>
            <w:pPr>
              <w:numPr>
                <w:ilvl w:val="1"/>
                <w:numId w:val="1"/>
              </w:numPr>
              <w:rPr>
                <w:rFonts w:ascii="宋体" w:hAnsi="宋体" w:cs="宋体"/>
                <w:color w:val="000000"/>
                <w:kern w:val="0"/>
                <w:sz w:val="24"/>
                <w:szCs w:val="24"/>
              </w:rPr>
            </w:pPr>
            <w:r>
              <w:rPr>
                <w:rFonts w:hint="eastAsia" w:ascii="宋体" w:hAnsi="宋体" w:cs="宋体"/>
                <w:kern w:val="0"/>
                <w:szCs w:val="21"/>
              </w:rPr>
              <w:t>近三年内无行贿犯罪记录,提供承诺函。</w:t>
            </w:r>
          </w:p>
          <w:p>
            <w:pPr>
              <w:numPr>
                <w:ilvl w:val="1"/>
                <w:numId w:val="1"/>
              </w:numP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倘若有，</w:t>
            </w:r>
            <w:r>
              <w:rPr>
                <w:rFonts w:hint="eastAsia" w:ascii="宋体" w:hAnsi="宋体" w:cs="宋体"/>
                <w:color w:val="000000" w:themeColor="text1"/>
                <w:kern w:val="0"/>
                <w:szCs w:val="21"/>
                <w14:textFill>
                  <w14:solidFill>
                    <w14:schemeClr w14:val="tx1"/>
                  </w14:solidFill>
                </w14:textFill>
              </w:rPr>
              <w:t>提供</w:t>
            </w:r>
            <w:r>
              <w:rPr>
                <w:rFonts w:hint="eastAsia" w:ascii="宋体" w:hAnsi="宋体" w:cs="宋体"/>
                <w:color w:val="000000" w:themeColor="text1"/>
                <w:kern w:val="0"/>
                <w:szCs w:val="21"/>
                <w:lang w:val="en-US" w:eastAsia="zh-CN"/>
                <w14:textFill>
                  <w14:solidFill>
                    <w14:schemeClr w14:val="tx1"/>
                  </w14:solidFill>
                </w14:textFill>
              </w:rPr>
              <w:t>与合作</w:t>
            </w:r>
            <w:r>
              <w:rPr>
                <w:rFonts w:hint="eastAsia" w:ascii="宋体" w:hAnsi="宋体" w:cs="宋体"/>
                <w:color w:val="000000" w:themeColor="text1"/>
                <w:kern w:val="0"/>
                <w:szCs w:val="21"/>
                <w14:textFill>
                  <w14:solidFill>
                    <w14:schemeClr w14:val="tx1"/>
                  </w14:solidFill>
                </w14:textFill>
              </w:rPr>
              <w:t>医院</w:t>
            </w:r>
            <w:r>
              <w:rPr>
                <w:rFonts w:hint="eastAsia" w:ascii="宋体" w:hAnsi="宋体" w:cs="宋体"/>
                <w:color w:val="000000" w:themeColor="text1"/>
                <w:kern w:val="0"/>
                <w:szCs w:val="21"/>
                <w:lang w:val="en-US" w:eastAsia="zh-CN"/>
                <w14:textFill>
                  <w14:solidFill>
                    <w14:schemeClr w14:val="tx1"/>
                  </w14:solidFill>
                </w14:textFill>
              </w:rPr>
              <w:t>委托加工项目材料</w:t>
            </w:r>
            <w:r>
              <w:rPr>
                <w:rFonts w:hint="eastAsia" w:ascii="宋体" w:hAnsi="宋体" w:cs="宋体"/>
                <w:color w:val="000000" w:themeColor="text1"/>
                <w:kern w:val="0"/>
                <w:szCs w:val="21"/>
                <w14:textFill>
                  <w14:solidFill>
                    <w14:schemeClr w14:val="tx1"/>
                  </w14:solidFill>
                </w14:textFill>
              </w:rPr>
              <w:t>（提供合同复印件或中标通知书，深圳市内或省内用户优先提供）</w:t>
            </w:r>
          </w:p>
          <w:p>
            <w:pPr>
              <w:pStyle w:val="5"/>
              <w:ind w:firstLine="723" w:firstLineChars="300"/>
            </w:pPr>
            <w:r>
              <w:rPr>
                <w:rFonts w:hint="eastAsia" w:ascii="宋体" w:hAnsi="宋体" w:cs="宋体"/>
                <w:b/>
                <w:bCs/>
                <w:color w:val="000000" w:themeColor="text1"/>
                <w:kern w:val="0"/>
                <w:sz w:val="24"/>
                <w:szCs w:val="24"/>
                <w14:textFill>
                  <w14:solidFill>
                    <w14:schemeClr w14:val="tx1"/>
                  </w14:solidFill>
                </w14:textFill>
              </w:rPr>
              <w:t>以上仅供参考，请根据项目实际情况进行填写</w:t>
            </w:r>
          </w:p>
        </w:tc>
      </w:tr>
    </w:tbl>
    <w:p>
      <w:pPr>
        <w:jc w:val="left"/>
        <w:rPr>
          <w:rFonts w:ascii="宋体" w:hAnsi="宋体" w:cs="宋体"/>
          <w:b/>
          <w:bCs/>
          <w:color w:val="3F3F3F"/>
          <w:kern w:val="0"/>
          <w:szCs w:val="21"/>
        </w:rPr>
      </w:pPr>
    </w:p>
    <w:p>
      <w:pPr>
        <w:jc w:val="left"/>
        <w:rPr>
          <w:rFonts w:hint="eastAsia" w:ascii="宋体" w:hAnsi="宋体" w:cs="宋体"/>
          <w:b/>
          <w:bCs/>
          <w:color w:val="3F3F3F"/>
          <w:kern w:val="0"/>
          <w:szCs w:val="21"/>
        </w:rPr>
      </w:pPr>
    </w:p>
    <w:p>
      <w:pPr>
        <w:jc w:val="left"/>
        <w:rPr>
          <w:rFonts w:hint="eastAsia" w:ascii="宋体" w:hAnsi="宋体" w:cs="宋体"/>
          <w:b/>
          <w:bCs/>
          <w:color w:val="3F3F3F"/>
          <w:kern w:val="0"/>
          <w:szCs w:val="21"/>
        </w:rPr>
      </w:pPr>
    </w:p>
    <w:p>
      <w:pPr>
        <w:spacing w:line="360" w:lineRule="auto"/>
        <w:jc w:val="left"/>
        <w:rPr>
          <w:rFonts w:hint="eastAsia" w:ascii="宋体" w:hAnsi="宋体" w:cs="宋体"/>
          <w:b/>
          <w:bCs/>
          <w:color w:val="3F3F3F"/>
          <w:kern w:val="0"/>
          <w:sz w:val="24"/>
          <w:szCs w:val="24"/>
        </w:rPr>
      </w:pPr>
    </w:p>
    <w:p>
      <w:pPr>
        <w:spacing w:line="360" w:lineRule="auto"/>
        <w:jc w:val="left"/>
        <w:rPr>
          <w:rFonts w:hint="eastAsia" w:ascii="宋体" w:hAnsi="宋体" w:eastAsia="宋体" w:cs="宋体"/>
          <w:b/>
          <w:bCs/>
          <w:color w:val="3F3F3F"/>
          <w:kern w:val="0"/>
          <w:sz w:val="24"/>
          <w:szCs w:val="24"/>
        </w:rPr>
      </w:pPr>
      <w:r>
        <w:rPr>
          <w:rFonts w:hint="eastAsia" w:ascii="宋体" w:hAnsi="宋体" w:cs="宋体"/>
          <w:b/>
          <w:bCs/>
          <w:color w:val="3F3F3F"/>
          <w:kern w:val="0"/>
          <w:sz w:val="24"/>
          <w:szCs w:val="24"/>
        </w:rPr>
        <w:t>项目名称：</w:t>
      </w:r>
      <w:r>
        <w:rPr>
          <w:rFonts w:hint="eastAsia" w:ascii="宋体" w:hAnsi="宋体" w:eastAsia="宋体" w:cs="宋体"/>
          <w:b/>
          <w:bCs/>
          <w:color w:val="3F3F3F"/>
          <w:kern w:val="0"/>
          <w:sz w:val="24"/>
          <w:szCs w:val="24"/>
          <w:lang w:val="en-US" w:eastAsia="zh-CN"/>
        </w:rPr>
        <w:t>深圳市儿童医院“温肺止嗽颗粒”生产代工服务</w:t>
      </w:r>
    </w:p>
    <w:p>
      <w:pPr>
        <w:spacing w:line="360" w:lineRule="auto"/>
        <w:jc w:val="left"/>
        <w:rPr>
          <w:rFonts w:hint="eastAsia"/>
          <w:sz w:val="24"/>
          <w:szCs w:val="28"/>
        </w:rPr>
      </w:pPr>
      <w:r>
        <w:rPr>
          <w:rFonts w:hint="eastAsia" w:ascii="宋体" w:hAnsi="宋体" w:cs="宋体"/>
          <w:b/>
          <w:bCs/>
          <w:color w:val="3F3F3F"/>
          <w:kern w:val="0"/>
          <w:sz w:val="24"/>
          <w:szCs w:val="24"/>
        </w:rPr>
        <w:t>供应商名称（盖章）：</w:t>
      </w:r>
    </w:p>
    <w:p>
      <w:pPr>
        <w:jc w:val="left"/>
        <w:rPr>
          <w:rFonts w:hint="eastAsia" w:ascii="宋体" w:hAnsi="宋体" w:cs="宋体"/>
          <w:b/>
          <w:bCs/>
          <w:color w:val="3F3F3F"/>
          <w:kern w:val="0"/>
          <w:szCs w:val="21"/>
          <w:lang w:val="en-US" w:eastAsia="zh-CN"/>
        </w:rPr>
      </w:pPr>
    </w:p>
    <w:p>
      <w:pPr>
        <w:jc w:val="center"/>
        <w:rPr>
          <w:rFonts w:hint="eastAsia" w:ascii="宋体" w:hAnsi="宋体" w:eastAsia="宋体" w:cs="宋体"/>
          <w:b/>
          <w:bCs/>
          <w:color w:val="3F3F3F"/>
          <w:kern w:val="0"/>
          <w:sz w:val="28"/>
          <w:szCs w:val="28"/>
        </w:rPr>
      </w:pPr>
      <w:r>
        <w:rPr>
          <w:rFonts w:hint="eastAsia" w:ascii="宋体" w:hAnsi="宋体" w:eastAsia="宋体" w:cs="宋体"/>
          <w:b/>
          <w:bCs/>
          <w:color w:val="3F3F3F"/>
          <w:kern w:val="0"/>
          <w:sz w:val="28"/>
          <w:szCs w:val="28"/>
          <w:lang w:val="en-US" w:eastAsia="zh-CN"/>
        </w:rPr>
        <w:t>项目需求</w:t>
      </w:r>
      <w:r>
        <w:rPr>
          <w:rFonts w:hint="eastAsia" w:ascii="宋体" w:hAnsi="宋体" w:eastAsia="宋体" w:cs="宋体"/>
          <w:b/>
          <w:bCs/>
          <w:color w:val="3F3F3F"/>
          <w:kern w:val="0"/>
          <w:sz w:val="28"/>
          <w:szCs w:val="28"/>
        </w:rPr>
        <w:t>列表</w:t>
      </w:r>
    </w:p>
    <w:tbl>
      <w:tblPr>
        <w:tblStyle w:val="10"/>
        <w:tblW w:w="9815" w:type="dxa"/>
        <w:jc w:val="center"/>
        <w:tblLayout w:type="fixed"/>
        <w:tblCellMar>
          <w:top w:w="0" w:type="dxa"/>
          <w:left w:w="108" w:type="dxa"/>
          <w:bottom w:w="0" w:type="dxa"/>
          <w:right w:w="108" w:type="dxa"/>
        </w:tblCellMar>
      </w:tblPr>
      <w:tblGrid>
        <w:gridCol w:w="660"/>
        <w:gridCol w:w="1475"/>
        <w:gridCol w:w="6261"/>
        <w:gridCol w:w="1419"/>
      </w:tblGrid>
      <w:tr>
        <w:tblPrEx>
          <w:tblCellMar>
            <w:top w:w="0" w:type="dxa"/>
            <w:left w:w="108" w:type="dxa"/>
            <w:bottom w:w="0" w:type="dxa"/>
            <w:right w:w="108" w:type="dxa"/>
          </w:tblCellMar>
        </w:tblPrEx>
        <w:trPr>
          <w:trHeight w:val="420" w:hRule="atLeast"/>
          <w:jc w:val="center"/>
        </w:trPr>
        <w:tc>
          <w:tcPr>
            <w:tcW w:w="66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jc w:val="left"/>
              <w:rPr>
                <w:rFonts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1475" w:type="dxa"/>
            <w:tcBorders>
              <w:top w:val="single" w:color="3F3F3F" w:sz="4" w:space="0"/>
              <w:left w:val="single" w:color="auto" w:sz="4" w:space="0"/>
              <w:bottom w:val="single" w:color="3F3F3F" w:sz="4" w:space="0"/>
              <w:right w:val="single" w:color="3F3F3F" w:sz="4" w:space="0"/>
            </w:tcBorders>
            <w:shd w:val="clear" w:color="000000" w:fill="FFFFFF"/>
            <w:noWrap w:val="0"/>
            <w:vAlign w:val="center"/>
          </w:tcPr>
          <w:p>
            <w:pPr>
              <w:widowControl/>
              <w:spacing w:line="240" w:lineRule="auto"/>
              <w:jc w:val="center"/>
              <w:rPr>
                <w:rFonts w:hint="default" w:ascii="宋体" w:hAnsi="宋体" w:eastAsia="宋体" w:cs="宋体"/>
                <w:b/>
                <w:bCs/>
                <w:color w:val="000000"/>
                <w:kern w:val="0"/>
                <w:sz w:val="21"/>
                <w:szCs w:val="21"/>
                <w:lang w:val="en-US" w:eastAsia="zh-CN"/>
              </w:rPr>
            </w:pPr>
            <w:r>
              <w:rPr>
                <w:rFonts w:hint="eastAsia" w:ascii="宋体" w:hAnsi="宋体" w:cs="宋体"/>
                <w:b/>
                <w:bCs/>
                <w:color w:val="000000"/>
                <w:kern w:val="0"/>
                <w:sz w:val="21"/>
                <w:szCs w:val="21"/>
                <w:lang w:val="en-US" w:eastAsia="zh-CN"/>
              </w:rPr>
              <w:t>项目需求</w:t>
            </w: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widowControl/>
              <w:spacing w:line="240" w:lineRule="auto"/>
              <w:jc w:val="left"/>
              <w:rPr>
                <w:rFonts w:hint="default" w:ascii="宋体" w:hAnsi="宋体" w:eastAsia="宋体" w:cs="宋体"/>
                <w:b/>
                <w:bCs/>
                <w:color w:val="000000"/>
                <w:kern w:val="0"/>
                <w:sz w:val="21"/>
                <w:szCs w:val="21"/>
                <w:lang w:val="en-US" w:eastAsia="zh-CN"/>
              </w:rPr>
            </w:pPr>
            <w:r>
              <w:rPr>
                <w:rFonts w:hint="eastAsia" w:ascii="宋体" w:hAnsi="宋体" w:cs="宋体"/>
                <w:b/>
                <w:bCs/>
                <w:color w:val="000000"/>
                <w:kern w:val="0"/>
                <w:sz w:val="21"/>
                <w:szCs w:val="21"/>
                <w:lang w:val="en-US" w:eastAsia="zh-CN"/>
              </w:rPr>
              <w:t>相关说明</w:t>
            </w:r>
          </w:p>
        </w:tc>
        <w:tc>
          <w:tcPr>
            <w:tcW w:w="1419" w:type="dxa"/>
            <w:tcBorders>
              <w:top w:val="single" w:color="3F3F3F" w:sz="4" w:space="0"/>
              <w:left w:val="nil"/>
              <w:bottom w:val="single" w:color="3F3F3F" w:sz="4" w:space="0"/>
              <w:right w:val="single" w:color="3F3F3F" w:sz="4" w:space="0"/>
            </w:tcBorders>
            <w:shd w:val="clear" w:color="000000" w:fill="FFFFFF"/>
            <w:noWrap w:val="0"/>
            <w:vAlign w:val="top"/>
          </w:tcPr>
          <w:p>
            <w:pPr>
              <w:widowControl/>
              <w:spacing w:line="240" w:lineRule="auto"/>
              <w:jc w:val="center"/>
              <w:rPr>
                <w:rFonts w:hint="eastAsia" w:ascii="宋体" w:hAnsi="宋体" w:cs="宋体"/>
                <w:b/>
                <w:bCs/>
                <w:color w:val="000000"/>
                <w:kern w:val="0"/>
                <w:sz w:val="21"/>
                <w:szCs w:val="21"/>
                <w:lang w:val="en-US" w:eastAsia="zh-CN"/>
              </w:rPr>
            </w:pPr>
            <w:r>
              <w:rPr>
                <w:rFonts w:hint="default" w:ascii="Times New Roman" w:hAnsi="Times New Roman" w:eastAsia="宋体" w:cs="Times New Roman"/>
                <w:b/>
                <w:bCs/>
                <w:color w:val="000000" w:themeColor="text1"/>
                <w:sz w:val="18"/>
                <w:szCs w:val="18"/>
                <w:lang w:val="en-US" w:eastAsia="zh-CN"/>
                <w14:textFill>
                  <w14:solidFill>
                    <w14:schemeClr w14:val="tx1"/>
                  </w14:solidFill>
                </w14:textFill>
              </w:rPr>
              <w:t>是否满足要求</w:t>
            </w:r>
          </w:p>
        </w:tc>
      </w:tr>
      <w:tr>
        <w:tblPrEx>
          <w:tblCellMar>
            <w:top w:w="0" w:type="dxa"/>
            <w:left w:w="108" w:type="dxa"/>
            <w:bottom w:w="0" w:type="dxa"/>
            <w:right w:w="108" w:type="dxa"/>
          </w:tblCellMar>
        </w:tblPrEx>
        <w:trPr>
          <w:trHeight w:val="645" w:hRule="atLeast"/>
          <w:jc w:val="center"/>
        </w:trPr>
        <w:tc>
          <w:tcPr>
            <w:tcW w:w="660" w:type="dxa"/>
            <w:vMerge w:val="restart"/>
            <w:tcBorders>
              <w:top w:val="single" w:color="auto" w:sz="4" w:space="0"/>
              <w:left w:val="single" w:color="3F3F3F" w:sz="4" w:space="0"/>
              <w:right w:val="single" w:color="3F3F3F" w:sz="4" w:space="0"/>
            </w:tcBorders>
            <w:shd w:val="clear" w:color="000000" w:fill="FFFFFF"/>
            <w:noWrap w:val="0"/>
            <w:vAlign w:val="center"/>
          </w:tcPr>
          <w:p>
            <w:pPr>
              <w:widowControl/>
              <w:spacing w:line="240" w:lineRule="auto"/>
              <w:jc w:val="center"/>
              <w:rPr>
                <w:rFonts w:ascii="宋体" w:hAnsi="宋体" w:cs="宋体"/>
                <w:color w:val="000000"/>
                <w:kern w:val="0"/>
                <w:sz w:val="18"/>
                <w:szCs w:val="18"/>
              </w:rPr>
            </w:pPr>
            <w:r>
              <w:rPr>
                <w:rFonts w:hint="eastAsia" w:ascii="宋体" w:hAnsi="宋体" w:cs="宋体"/>
                <w:color w:val="000000"/>
                <w:kern w:val="0"/>
                <w:sz w:val="18"/>
                <w:szCs w:val="18"/>
              </w:rPr>
              <w:t>1</w:t>
            </w:r>
          </w:p>
          <w:p>
            <w:pPr>
              <w:widowControl/>
              <w:spacing w:line="240" w:lineRule="auto"/>
              <w:jc w:val="left"/>
              <w:rPr>
                <w:rFonts w:ascii="宋体" w:hAnsi="宋体" w:cs="宋体"/>
                <w:b/>
                <w:bCs/>
                <w:color w:val="000000"/>
                <w:kern w:val="0"/>
                <w:sz w:val="21"/>
                <w:szCs w:val="21"/>
              </w:rPr>
            </w:pPr>
            <w:r>
              <w:rPr>
                <w:rFonts w:hint="eastAsia" w:ascii="宋体" w:hAnsi="宋体" w:cs="宋体"/>
                <w:b/>
                <w:bCs/>
                <w:color w:val="000000"/>
                <w:kern w:val="0"/>
                <w:sz w:val="21"/>
                <w:szCs w:val="21"/>
              </w:rPr>
              <w:t>　</w:t>
            </w:r>
          </w:p>
          <w:p>
            <w:pPr>
              <w:widowControl/>
              <w:spacing w:line="240" w:lineRule="auto"/>
              <w:jc w:val="left"/>
              <w:rPr>
                <w:rFonts w:ascii="宋体" w:hAnsi="宋体" w:cs="宋体"/>
                <w:b/>
                <w:bCs/>
                <w:color w:val="000000"/>
                <w:kern w:val="0"/>
                <w:sz w:val="21"/>
                <w:szCs w:val="21"/>
              </w:rPr>
            </w:pPr>
            <w:r>
              <w:rPr>
                <w:rFonts w:hint="eastAsia" w:ascii="宋体" w:hAnsi="宋体" w:cs="宋体"/>
                <w:b/>
                <w:bCs/>
                <w:color w:val="000000"/>
                <w:kern w:val="0"/>
                <w:sz w:val="21"/>
                <w:szCs w:val="21"/>
              </w:rPr>
              <w:t>　</w:t>
            </w:r>
          </w:p>
          <w:p>
            <w:pPr>
              <w:widowControl/>
              <w:spacing w:line="240" w:lineRule="auto"/>
              <w:jc w:val="left"/>
              <w:rPr>
                <w:rFonts w:ascii="宋体" w:hAnsi="宋体" w:cs="宋体"/>
                <w:b/>
                <w:bCs/>
                <w:color w:val="000000"/>
                <w:kern w:val="0"/>
                <w:sz w:val="21"/>
                <w:szCs w:val="21"/>
              </w:rPr>
            </w:pPr>
            <w:r>
              <w:rPr>
                <w:rFonts w:hint="eastAsia" w:ascii="宋体" w:hAnsi="宋体" w:cs="宋体"/>
                <w:b/>
                <w:bCs/>
                <w:color w:val="000000"/>
                <w:kern w:val="0"/>
                <w:sz w:val="21"/>
                <w:szCs w:val="21"/>
              </w:rPr>
              <w:t>　</w:t>
            </w:r>
          </w:p>
          <w:p>
            <w:pPr>
              <w:widowControl/>
              <w:spacing w:line="240" w:lineRule="auto"/>
              <w:jc w:val="left"/>
              <w:rPr>
                <w:rFonts w:ascii="宋体" w:hAnsi="宋体" w:cs="宋体"/>
                <w:b/>
                <w:bCs/>
                <w:color w:val="000000"/>
                <w:kern w:val="0"/>
                <w:sz w:val="21"/>
                <w:szCs w:val="21"/>
              </w:rPr>
            </w:pPr>
            <w:r>
              <w:rPr>
                <w:rFonts w:hint="eastAsia" w:ascii="宋体" w:hAnsi="宋体" w:cs="宋体"/>
                <w:b/>
                <w:bCs/>
                <w:color w:val="000000"/>
                <w:kern w:val="0"/>
                <w:sz w:val="21"/>
                <w:szCs w:val="21"/>
              </w:rPr>
              <w:t>　</w:t>
            </w:r>
          </w:p>
        </w:tc>
        <w:tc>
          <w:tcPr>
            <w:tcW w:w="1475" w:type="dxa"/>
            <w:vMerge w:val="restart"/>
            <w:tcBorders>
              <w:top w:val="single" w:color="3F3F3F" w:sz="4" w:space="0"/>
              <w:left w:val="single" w:color="3F3F3F" w:sz="4" w:space="0"/>
              <w:right w:val="single" w:color="3F3F3F" w:sz="4" w:space="0"/>
            </w:tcBorders>
            <w:shd w:val="clear" w:color="000000" w:fill="FFFFFF"/>
            <w:noWrap w:val="0"/>
            <w:vAlign w:val="center"/>
          </w:tcPr>
          <w:p>
            <w:pPr>
              <w:widowControl/>
              <w:spacing w:line="240" w:lineRule="auto"/>
              <w:jc w:val="center"/>
              <w:rPr>
                <w:rFonts w:hint="eastAsia" w:ascii="宋体" w:hAnsi="宋体" w:cs="Times New Roman"/>
                <w:color w:val="000000"/>
                <w:kern w:val="2"/>
                <w:sz w:val="20"/>
                <w:szCs w:val="20"/>
                <w:lang w:val="en-US" w:eastAsia="zh-CN"/>
              </w:rPr>
            </w:pPr>
            <w:r>
              <w:rPr>
                <w:rFonts w:hint="eastAsia" w:ascii="宋体" w:hAnsi="宋体" w:cs="Times New Roman"/>
                <w:color w:val="000000"/>
                <w:kern w:val="2"/>
                <w:sz w:val="20"/>
                <w:szCs w:val="20"/>
                <w:lang w:val="en-US" w:eastAsia="zh-CN"/>
              </w:rPr>
              <w:t>项目技术及项目需求</w:t>
            </w:r>
          </w:p>
          <w:p>
            <w:pPr>
              <w:widowControl/>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　</w:t>
            </w:r>
          </w:p>
          <w:p>
            <w:pPr>
              <w:widowControl/>
              <w:spacing w:line="240" w:lineRule="auto"/>
              <w:rPr>
                <w:rFonts w:ascii="宋体" w:hAnsi="宋体" w:cs="宋体"/>
                <w:b/>
                <w:bCs/>
                <w:color w:val="000000"/>
                <w:kern w:val="0"/>
                <w:sz w:val="21"/>
                <w:szCs w:val="21"/>
              </w:rPr>
            </w:pPr>
          </w:p>
          <w:p>
            <w:pPr>
              <w:widowControl/>
              <w:spacing w:line="240" w:lineRule="auto"/>
              <w:rPr>
                <w:rFonts w:ascii="宋体" w:hAnsi="宋体" w:cs="宋体"/>
                <w:b/>
                <w:bCs/>
                <w:color w:val="000000"/>
                <w:kern w:val="0"/>
                <w:sz w:val="21"/>
                <w:szCs w:val="21"/>
              </w:rPr>
            </w:pPr>
          </w:p>
          <w:p>
            <w:pPr>
              <w:widowControl/>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　</w:t>
            </w: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pStyle w:val="18"/>
              <w:spacing w:line="240" w:lineRule="auto"/>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1、采购人</w:t>
            </w:r>
            <w:r>
              <w:rPr>
                <w:rFonts w:hint="eastAsia" w:ascii="宋体" w:hAnsi="宋体" w:cs="宋体"/>
                <w:color w:val="000000"/>
                <w:sz w:val="20"/>
                <w:szCs w:val="20"/>
              </w:rPr>
              <w:t>负责提供</w:t>
            </w:r>
            <w:r>
              <w:rPr>
                <w:rFonts w:hint="eastAsia" w:ascii="宋体" w:hAnsi="宋体" w:cs="宋体"/>
                <w:color w:val="000000"/>
                <w:sz w:val="20"/>
                <w:szCs w:val="20"/>
                <w:lang w:val="en-US" w:eastAsia="zh-CN"/>
              </w:rPr>
              <w:t>温肺止嗽颗粒</w:t>
            </w:r>
            <w:r>
              <w:rPr>
                <w:rFonts w:hint="eastAsia" w:ascii="宋体" w:hAnsi="宋体" w:cs="宋体"/>
                <w:color w:val="000000"/>
                <w:sz w:val="20"/>
                <w:szCs w:val="20"/>
              </w:rPr>
              <w:t>处方、生产工艺、制剂的质量标准、包装要求给</w:t>
            </w:r>
            <w:r>
              <w:rPr>
                <w:rFonts w:hint="eastAsia" w:ascii="宋体" w:hAnsi="宋体" w:cs="宋体"/>
                <w:color w:val="000000"/>
                <w:sz w:val="20"/>
                <w:szCs w:val="20"/>
                <w:lang w:eastAsia="zh-CN"/>
              </w:rPr>
              <w:t>投标人</w:t>
            </w:r>
            <w:r>
              <w:rPr>
                <w:rFonts w:hint="eastAsia" w:ascii="宋体" w:hAnsi="宋体" w:cs="宋体"/>
                <w:color w:val="000000"/>
                <w:sz w:val="20"/>
                <w:szCs w:val="20"/>
              </w:rPr>
              <w:t>。</w:t>
            </w:r>
          </w:p>
        </w:tc>
        <w:tc>
          <w:tcPr>
            <w:tcW w:w="1419" w:type="dxa"/>
            <w:tcBorders>
              <w:top w:val="single" w:color="3F3F3F" w:sz="4" w:space="0"/>
              <w:left w:val="nil"/>
              <w:bottom w:val="single" w:color="3F3F3F" w:sz="4" w:space="0"/>
              <w:right w:val="single" w:color="3F3F3F" w:sz="4" w:space="0"/>
            </w:tcBorders>
            <w:shd w:val="clear" w:color="000000" w:fill="FFFFFF"/>
            <w:noWrap w:val="0"/>
            <w:vAlign w:val="top"/>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pStyle w:val="18"/>
              <w:spacing w:line="240" w:lineRule="auto"/>
              <w:jc w:val="center"/>
              <w:rPr>
                <w:rFonts w:hint="eastAsia" w:ascii="宋体" w:hAnsi="宋体" w:cs="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3F3F3F" w:sz="4" w:space="0"/>
              <w:right w:val="single" w:color="3F3F3F" w:sz="4" w:space="0"/>
            </w:tcBorders>
            <w:shd w:val="clear" w:color="000000" w:fill="FFFFFF"/>
            <w:noWrap w:val="0"/>
            <w:vAlign w:val="center"/>
          </w:tcPr>
          <w:p>
            <w:pPr>
              <w:widowControl/>
              <w:spacing w:line="240" w:lineRule="auto"/>
              <w:jc w:val="center"/>
              <w:rPr>
                <w:rFonts w:ascii="宋体" w:hAnsi="宋体" w:cs="宋体"/>
                <w:color w:val="000000"/>
                <w:kern w:val="0"/>
                <w:sz w:val="18"/>
                <w:szCs w:val="18"/>
              </w:rPr>
            </w:pPr>
          </w:p>
        </w:tc>
        <w:tc>
          <w:tcPr>
            <w:tcW w:w="1475" w:type="dxa"/>
            <w:vMerge w:val="continue"/>
            <w:tcBorders>
              <w:left w:val="single" w:color="3F3F3F" w:sz="4" w:space="0"/>
              <w:right w:val="single" w:color="3F3F3F" w:sz="4" w:space="0"/>
            </w:tcBorders>
            <w:shd w:val="clear" w:color="000000" w:fill="FFFFFF"/>
            <w:noWrap w:val="0"/>
            <w:vAlign w:val="center"/>
          </w:tcPr>
          <w:p>
            <w:pPr>
              <w:widowControl/>
              <w:spacing w:line="240" w:lineRule="auto"/>
              <w:jc w:val="center"/>
              <w:rPr>
                <w:rFonts w:ascii="宋体" w:hAnsi="宋体" w:cs="宋体"/>
                <w:b/>
                <w:bCs/>
                <w:color w:val="000000"/>
                <w:kern w:val="0"/>
                <w:sz w:val="21"/>
                <w:szCs w:val="21"/>
              </w:rPr>
            </w:pP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pStyle w:val="18"/>
              <w:spacing w:line="240" w:lineRule="auto"/>
              <w:rPr>
                <w:rFonts w:hint="eastAsia" w:ascii="宋体" w:hAnsi="宋体" w:eastAsia="宋体" w:cs="宋体"/>
                <w:color w:val="000000"/>
                <w:kern w:val="0"/>
                <w:sz w:val="20"/>
                <w:szCs w:val="20"/>
              </w:rPr>
            </w:pPr>
            <w:r>
              <w:rPr>
                <w:rFonts w:hint="eastAsia" w:ascii="宋体" w:hAnsi="宋体" w:eastAsia="宋体" w:cs="宋体"/>
                <w:color w:val="000000"/>
                <w:sz w:val="20"/>
                <w:szCs w:val="20"/>
                <w:lang w:val="en-US" w:eastAsia="zh-CN"/>
              </w:rPr>
              <w:t>2、提供制剂生产场地（厂房车间）、相关生产设备、生产人员及负责物料的采购（包括原辅料、内包材料（彩色印刷）、外包材料（彩色印刷）），按照采购人提供的温肺止嗽颗粒处方、生产工艺生产合格的产品。每批次按采购人的计划及相关产品生产工艺加工（要具备湿法制粒、干法制粒等工艺所需的能力和设备），进行内包装并检验（每批次按规定数量取样，进行质量标准检验）发放检验报告，检验合格后的药品交给采购人。</w:t>
            </w:r>
          </w:p>
        </w:tc>
        <w:tc>
          <w:tcPr>
            <w:tcW w:w="1419" w:type="dxa"/>
            <w:tcBorders>
              <w:top w:val="single" w:color="3F3F3F" w:sz="4" w:space="0"/>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ind w:firstLine="360" w:firstLineChars="200"/>
              <w:jc w:val="both"/>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pStyle w:val="18"/>
              <w:spacing w:line="240" w:lineRule="auto"/>
              <w:ind w:firstLine="360" w:firstLineChars="200"/>
              <w:jc w:val="both"/>
              <w:rPr>
                <w:rFonts w:hint="eastAsia" w:ascii="宋体" w:hAnsi="宋体" w:eastAsia="宋体" w:cs="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90" w:hRule="atLeast"/>
          <w:jc w:val="center"/>
        </w:trPr>
        <w:tc>
          <w:tcPr>
            <w:tcW w:w="660"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1475"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widowControl/>
              <w:spacing w:line="240" w:lineRule="auto"/>
              <w:jc w:val="left"/>
              <w:rPr>
                <w:rFonts w:hint="eastAsia" w:ascii="宋体" w:hAnsi="宋体" w:eastAsia="宋体" w:cs="宋体"/>
                <w:color w:val="000000"/>
                <w:kern w:val="0"/>
                <w:sz w:val="20"/>
                <w:szCs w:val="20"/>
              </w:rPr>
            </w:pPr>
            <w:r>
              <w:rPr>
                <w:rFonts w:hint="eastAsia" w:ascii="宋体" w:hAnsi="宋体" w:cs="宋体"/>
                <w:color w:val="000000"/>
                <w:sz w:val="20"/>
                <w:szCs w:val="20"/>
                <w:lang w:val="en-US" w:eastAsia="zh-CN"/>
              </w:rPr>
              <w:t>3</w:t>
            </w:r>
            <w:r>
              <w:rPr>
                <w:rFonts w:hint="eastAsia" w:ascii="宋体" w:hAnsi="宋体" w:eastAsia="宋体" w:cs="宋体"/>
                <w:color w:val="000000"/>
                <w:sz w:val="20"/>
                <w:szCs w:val="20"/>
                <w:lang w:val="en-US" w:eastAsia="zh-CN"/>
              </w:rPr>
              <w:t>、直接接触制剂的包装材料符合国家药品包材标准，并能提供检验报告书。</w:t>
            </w:r>
          </w:p>
        </w:tc>
        <w:tc>
          <w:tcPr>
            <w:tcW w:w="1419" w:type="dxa"/>
            <w:tcBorders>
              <w:top w:val="single" w:color="3F3F3F" w:sz="4" w:space="0"/>
              <w:left w:val="nil"/>
              <w:bottom w:val="single" w:color="3F3F3F" w:sz="4" w:space="0"/>
              <w:right w:val="single" w:color="3F3F3F" w:sz="4" w:space="0"/>
            </w:tcBorders>
            <w:shd w:val="clear" w:color="000000" w:fill="FFFFFF"/>
            <w:noWrap w:val="0"/>
            <w:vAlign w:val="top"/>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widowControl/>
              <w:spacing w:line="240" w:lineRule="auto"/>
              <w:jc w:val="center"/>
              <w:rPr>
                <w:rFonts w:hint="eastAsia" w:ascii="宋体" w:hAnsi="宋体" w:cs="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365" w:hRule="atLeast"/>
          <w:jc w:val="center"/>
        </w:trPr>
        <w:tc>
          <w:tcPr>
            <w:tcW w:w="660"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1475"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pStyle w:val="18"/>
              <w:spacing w:line="240" w:lineRule="auto"/>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r>
              <w:rPr>
                <w:rFonts w:hint="eastAsia" w:ascii="宋体" w:hAnsi="宋体" w:eastAsia="宋体" w:cs="宋体"/>
                <w:color w:val="000000"/>
                <w:kern w:val="0"/>
                <w:sz w:val="20"/>
                <w:szCs w:val="20"/>
                <w:lang w:val="en-US" w:eastAsia="zh-CN"/>
              </w:rPr>
              <w:t>、</w:t>
            </w:r>
            <w:r>
              <w:rPr>
                <w:rFonts w:hint="eastAsia" w:ascii="宋体" w:hAnsi="宋体" w:eastAsia="宋体" w:cs="宋体"/>
                <w:color w:val="000000"/>
                <w:sz w:val="20"/>
                <w:szCs w:val="20"/>
              </w:rPr>
              <w:t>检验合格的成品负责保管，对保管的成品数量、质量负责。</w:t>
            </w:r>
          </w:p>
        </w:tc>
        <w:tc>
          <w:tcPr>
            <w:tcW w:w="1419" w:type="dxa"/>
            <w:tcBorders>
              <w:top w:val="single" w:color="3F3F3F" w:sz="4" w:space="0"/>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pStyle w:val="18"/>
              <w:spacing w:line="240" w:lineRule="auto"/>
              <w:jc w:val="center"/>
              <w:rPr>
                <w:rFonts w:hint="eastAsia" w:ascii="宋体" w:hAnsi="宋体" w:cs="宋体"/>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1475"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pStyle w:val="18"/>
              <w:spacing w:line="240" w:lineRule="auto"/>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r>
              <w:rPr>
                <w:rFonts w:hint="eastAsia" w:ascii="宋体" w:hAnsi="宋体" w:eastAsia="宋体" w:cs="宋体"/>
                <w:color w:val="000000"/>
                <w:sz w:val="20"/>
                <w:szCs w:val="20"/>
                <w:lang w:val="en-US" w:eastAsia="zh-CN"/>
              </w:rPr>
              <w:t>、对每批生产的成品进行留样观察，留样数量至少应当能够确保按照质量标准完成两次全检。成品留样均应保存至药品有效期后一年。留样观察结果应有记录，并定期（每年）书面报告。</w:t>
            </w:r>
          </w:p>
        </w:tc>
        <w:tc>
          <w:tcPr>
            <w:tcW w:w="1419" w:type="dxa"/>
            <w:tcBorders>
              <w:top w:val="single" w:color="3F3F3F" w:sz="4" w:space="0"/>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pStyle w:val="18"/>
              <w:spacing w:line="240" w:lineRule="auto"/>
              <w:jc w:val="center"/>
              <w:rPr>
                <w:rFonts w:hint="eastAsia" w:ascii="宋体" w:hAnsi="宋体" w:cs="宋体"/>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705" w:hRule="atLeast"/>
          <w:jc w:val="center"/>
        </w:trPr>
        <w:tc>
          <w:tcPr>
            <w:tcW w:w="660"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1475"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widowControl/>
              <w:spacing w:line="240" w:lineRule="auto"/>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w:t>
            </w:r>
            <w:r>
              <w:rPr>
                <w:rFonts w:hint="eastAsia" w:ascii="宋体" w:hAnsi="宋体" w:eastAsia="宋体" w:cs="宋体"/>
                <w:color w:val="000000"/>
                <w:kern w:val="0"/>
                <w:sz w:val="20"/>
                <w:szCs w:val="20"/>
                <w:lang w:val="en-US" w:eastAsia="zh-CN"/>
              </w:rPr>
              <w:t>、</w:t>
            </w:r>
            <w:r>
              <w:rPr>
                <w:rFonts w:hint="eastAsia" w:ascii="宋体" w:hAnsi="宋体" w:eastAsia="宋体" w:cs="宋体"/>
                <w:b w:val="0"/>
                <w:bCs w:val="0"/>
                <w:color w:val="000000"/>
                <w:sz w:val="20"/>
                <w:szCs w:val="20"/>
              </w:rPr>
              <w:t>产品在生产、贮存环节中出现的质量缺陷，相关责任及损失均由</w:t>
            </w:r>
            <w:r>
              <w:rPr>
                <w:rFonts w:hint="eastAsia" w:ascii="宋体" w:hAnsi="宋体" w:cs="宋体"/>
                <w:b w:val="0"/>
                <w:bCs w:val="0"/>
                <w:color w:val="000000"/>
                <w:sz w:val="20"/>
                <w:szCs w:val="20"/>
                <w:lang w:val="en-US" w:eastAsia="zh-CN"/>
              </w:rPr>
              <w:t>委托单位</w:t>
            </w:r>
            <w:r>
              <w:rPr>
                <w:rFonts w:hint="eastAsia" w:ascii="宋体" w:hAnsi="宋体" w:eastAsia="宋体" w:cs="宋体"/>
                <w:b w:val="0"/>
                <w:bCs w:val="0"/>
                <w:color w:val="000000"/>
                <w:sz w:val="20"/>
                <w:szCs w:val="20"/>
              </w:rPr>
              <w:t>承担。</w:t>
            </w:r>
          </w:p>
        </w:tc>
        <w:tc>
          <w:tcPr>
            <w:tcW w:w="1419" w:type="dxa"/>
            <w:tcBorders>
              <w:top w:val="single" w:color="3F3F3F" w:sz="4" w:space="0"/>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widowControl/>
              <w:spacing w:line="240" w:lineRule="auto"/>
              <w:jc w:val="center"/>
              <w:rPr>
                <w:rFonts w:hint="eastAsia" w:ascii="宋体" w:hAnsi="宋体" w:cs="宋体"/>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1475"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widowControl/>
              <w:spacing w:line="240" w:lineRule="auto"/>
              <w:jc w:val="left"/>
              <w:rPr>
                <w:rFonts w:hint="eastAsia" w:ascii="宋体" w:hAnsi="宋体" w:eastAsia="宋体" w:cs="宋体"/>
                <w:color w:val="000000"/>
                <w:kern w:val="0"/>
                <w:sz w:val="20"/>
                <w:szCs w:val="20"/>
              </w:rPr>
            </w:pPr>
            <w:r>
              <w:rPr>
                <w:rFonts w:hint="eastAsia" w:ascii="宋体" w:hAnsi="宋体" w:cs="宋体"/>
                <w:b w:val="0"/>
                <w:bCs w:val="0"/>
                <w:color w:val="000000"/>
                <w:spacing w:val="0"/>
                <w:kern w:val="2"/>
                <w:sz w:val="20"/>
                <w:szCs w:val="20"/>
                <w:lang w:val="en-US" w:eastAsia="zh-CN" w:bidi="ar-SA"/>
              </w:rPr>
              <w:t>7</w:t>
            </w:r>
            <w:r>
              <w:rPr>
                <w:rFonts w:hint="eastAsia" w:ascii="宋体" w:hAnsi="宋体" w:eastAsia="宋体" w:cs="宋体"/>
                <w:b w:val="0"/>
                <w:bCs w:val="0"/>
                <w:color w:val="000000"/>
                <w:spacing w:val="0"/>
                <w:kern w:val="2"/>
                <w:sz w:val="20"/>
                <w:szCs w:val="20"/>
                <w:lang w:val="en-US" w:eastAsia="zh-CN" w:bidi="ar-SA"/>
              </w:rPr>
              <w:t>、合同期间，受到药监部门药品质量不良通报或处罚，或采购人发现隐瞒其药品质量不良记录，采购人有权解除合同，赔偿因解除合同给采购人造成的全部损失。</w:t>
            </w:r>
          </w:p>
        </w:tc>
        <w:tc>
          <w:tcPr>
            <w:tcW w:w="1419" w:type="dxa"/>
            <w:tcBorders>
              <w:top w:val="single" w:color="3F3F3F" w:sz="4" w:space="0"/>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widowControl/>
              <w:spacing w:line="240" w:lineRule="auto"/>
              <w:jc w:val="center"/>
              <w:rPr>
                <w:rFonts w:hint="eastAsia" w:ascii="宋体" w:hAnsi="宋体" w:cs="宋体"/>
                <w:b w:val="0"/>
                <w:bCs w:val="0"/>
                <w:color w:val="000000"/>
                <w:spacing w:val="0"/>
                <w:kern w:val="2"/>
                <w:sz w:val="20"/>
                <w:szCs w:val="20"/>
                <w:lang w:val="en-US" w:eastAsia="zh-CN" w:bidi="ar-SA"/>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490" w:hRule="atLeast"/>
          <w:jc w:val="center"/>
        </w:trPr>
        <w:tc>
          <w:tcPr>
            <w:tcW w:w="660"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1475" w:type="dxa"/>
            <w:vMerge w:val="continue"/>
            <w:tcBorders>
              <w:left w:val="single" w:color="3F3F3F" w:sz="4" w:space="0"/>
              <w:right w:val="single" w:color="3F3F3F" w:sz="4" w:space="0"/>
            </w:tcBorders>
            <w:shd w:val="clear" w:color="auto" w:fill="auto"/>
            <w:noWrap w:val="0"/>
            <w:vAlign w:val="center"/>
          </w:tcPr>
          <w:p>
            <w:pPr>
              <w:widowControl/>
              <w:spacing w:line="240" w:lineRule="auto"/>
              <w:jc w:val="left"/>
              <w:rPr>
                <w:rFonts w:ascii="宋体" w:hAnsi="宋体" w:cs="宋体"/>
                <w:color w:val="000000"/>
                <w:kern w:val="0"/>
                <w:sz w:val="18"/>
                <w:szCs w:val="18"/>
              </w:rPr>
            </w:pP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widowControl/>
              <w:spacing w:line="240" w:lineRule="auto"/>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w:t>
            </w:r>
            <w:r>
              <w:rPr>
                <w:rFonts w:hint="eastAsia" w:ascii="宋体" w:hAnsi="宋体" w:eastAsia="宋体" w:cs="宋体"/>
                <w:color w:val="000000"/>
                <w:kern w:val="0"/>
                <w:sz w:val="20"/>
                <w:szCs w:val="20"/>
                <w:lang w:val="en-US" w:eastAsia="zh-CN"/>
              </w:rPr>
              <w:t>、</w:t>
            </w:r>
            <w:r>
              <w:rPr>
                <w:rFonts w:hint="eastAsia" w:ascii="宋体" w:hAnsi="宋体" w:eastAsia="宋体" w:cs="宋体"/>
                <w:b w:val="0"/>
                <w:bCs w:val="0"/>
                <w:color w:val="000000"/>
                <w:spacing w:val="0"/>
                <w:kern w:val="2"/>
                <w:sz w:val="20"/>
                <w:szCs w:val="20"/>
                <w:lang w:val="en-US" w:eastAsia="zh-CN" w:bidi="ar-SA"/>
              </w:rPr>
              <w:t>负责按照采购人要求开展应急供应药品的配制生产。对于因临床用量变化，生产计划量可做调整，投标人不得额外提出附加条件。</w:t>
            </w:r>
          </w:p>
        </w:tc>
        <w:tc>
          <w:tcPr>
            <w:tcW w:w="1419" w:type="dxa"/>
            <w:tcBorders>
              <w:top w:val="single" w:color="3F3F3F" w:sz="4" w:space="0"/>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widowControl/>
              <w:spacing w:line="240" w:lineRule="auto"/>
              <w:jc w:val="center"/>
              <w:rPr>
                <w:rFonts w:hint="eastAsia" w:ascii="宋体" w:hAnsi="宋体" w:cs="宋体"/>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3F3F3F" w:sz="4" w:space="0"/>
              <w:right w:val="single" w:color="3F3F3F" w:sz="4" w:space="0"/>
            </w:tcBorders>
            <w:shd w:val="clear" w:color="000000" w:fill="FFFFFF"/>
            <w:noWrap w:val="0"/>
            <w:vAlign w:val="center"/>
          </w:tcPr>
          <w:p>
            <w:pPr>
              <w:widowControl/>
              <w:spacing w:line="240" w:lineRule="auto"/>
              <w:jc w:val="left"/>
              <w:rPr>
                <w:rFonts w:ascii="宋体" w:hAnsi="宋体" w:cs="宋体"/>
                <w:b/>
                <w:bCs/>
                <w:color w:val="000000"/>
                <w:kern w:val="0"/>
                <w:sz w:val="21"/>
                <w:szCs w:val="21"/>
              </w:rPr>
            </w:pPr>
          </w:p>
        </w:tc>
        <w:tc>
          <w:tcPr>
            <w:tcW w:w="1475" w:type="dxa"/>
            <w:vMerge w:val="continue"/>
            <w:tcBorders>
              <w:left w:val="single" w:color="3F3F3F" w:sz="4" w:space="0"/>
              <w:right w:val="single" w:color="3F3F3F" w:sz="4" w:space="0"/>
            </w:tcBorders>
            <w:shd w:val="clear" w:color="000000" w:fill="FFFFFF"/>
            <w:noWrap w:val="0"/>
            <w:vAlign w:val="center"/>
          </w:tcPr>
          <w:p>
            <w:pPr>
              <w:widowControl/>
              <w:spacing w:line="240" w:lineRule="auto"/>
              <w:rPr>
                <w:rFonts w:ascii="宋体" w:hAnsi="宋体" w:cs="宋体"/>
                <w:b/>
                <w:bCs/>
                <w:color w:val="000000"/>
                <w:kern w:val="0"/>
                <w:sz w:val="21"/>
                <w:szCs w:val="21"/>
              </w:rPr>
            </w:pP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pStyle w:val="18"/>
              <w:spacing w:line="240" w:lineRule="auto"/>
              <w:rPr>
                <w:rFonts w:hint="eastAsia" w:ascii="宋体" w:hAnsi="宋体" w:eastAsia="宋体" w:cs="宋体"/>
                <w:b/>
                <w:bCs/>
                <w:color w:val="000000"/>
                <w:kern w:val="0"/>
                <w:sz w:val="20"/>
                <w:szCs w:val="20"/>
                <w:lang w:val="en-US" w:eastAsia="zh-CN"/>
              </w:rPr>
            </w:pPr>
            <w:r>
              <w:rPr>
                <w:rFonts w:hint="eastAsia" w:ascii="宋体" w:hAnsi="宋体" w:cs="宋体"/>
                <w:b w:val="0"/>
                <w:bCs w:val="0"/>
                <w:color w:val="000000"/>
                <w:kern w:val="0"/>
                <w:sz w:val="20"/>
                <w:szCs w:val="20"/>
                <w:lang w:val="en-US" w:eastAsia="zh-CN"/>
              </w:rPr>
              <w:t>9</w:t>
            </w:r>
            <w:r>
              <w:rPr>
                <w:rFonts w:hint="eastAsia" w:ascii="宋体" w:hAnsi="宋体" w:eastAsia="宋体" w:cs="宋体"/>
                <w:b w:val="0"/>
                <w:bCs w:val="0"/>
                <w:color w:val="000000"/>
                <w:kern w:val="0"/>
                <w:sz w:val="20"/>
                <w:szCs w:val="20"/>
                <w:lang w:val="en-US" w:eastAsia="zh-CN"/>
              </w:rPr>
              <w:t>、</w:t>
            </w:r>
            <w:r>
              <w:rPr>
                <w:rFonts w:hint="eastAsia" w:ascii="宋体" w:hAnsi="宋体" w:eastAsia="宋体" w:cs="宋体"/>
                <w:b w:val="0"/>
                <w:bCs w:val="0"/>
                <w:color w:val="000000"/>
                <w:spacing w:val="0"/>
                <w:kern w:val="2"/>
                <w:sz w:val="20"/>
                <w:szCs w:val="20"/>
                <w:lang w:val="en-US" w:eastAsia="zh-CN" w:bidi="ar-SA"/>
              </w:rPr>
              <w:t>试生产配制的三批制剂成品，提供原辅料及包装材料，不得出售，并在取得制剂委托配制审批后予以销毁。负责根据委托配制制剂的试生产数据，制定科学、合理的成品物料平衡范围，并经采购人同意后方可执行。</w:t>
            </w:r>
          </w:p>
        </w:tc>
        <w:tc>
          <w:tcPr>
            <w:tcW w:w="1419" w:type="dxa"/>
            <w:tcBorders>
              <w:top w:val="single" w:color="3F3F3F" w:sz="4" w:space="0"/>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pStyle w:val="18"/>
              <w:spacing w:line="240" w:lineRule="auto"/>
              <w:jc w:val="center"/>
              <w:rPr>
                <w:rFonts w:hint="eastAsia" w:ascii="宋体" w:hAnsi="宋体" w:cs="宋体"/>
                <w:b w:val="0"/>
                <w:bCs w:val="0"/>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3F3F3F" w:sz="4" w:space="0"/>
              <w:right w:val="single" w:color="3F3F3F" w:sz="4" w:space="0"/>
            </w:tcBorders>
            <w:shd w:val="clear" w:color="000000" w:fill="FFFFFF"/>
            <w:noWrap w:val="0"/>
            <w:vAlign w:val="center"/>
          </w:tcPr>
          <w:p>
            <w:pPr>
              <w:widowControl/>
              <w:spacing w:line="240" w:lineRule="auto"/>
              <w:jc w:val="left"/>
              <w:rPr>
                <w:rFonts w:ascii="宋体" w:hAnsi="宋体" w:cs="宋体"/>
                <w:b/>
                <w:bCs/>
                <w:color w:val="000000"/>
                <w:kern w:val="0"/>
                <w:sz w:val="21"/>
                <w:szCs w:val="21"/>
              </w:rPr>
            </w:pPr>
          </w:p>
        </w:tc>
        <w:tc>
          <w:tcPr>
            <w:tcW w:w="1475" w:type="dxa"/>
            <w:vMerge w:val="continue"/>
            <w:tcBorders>
              <w:left w:val="single" w:color="3F3F3F" w:sz="4" w:space="0"/>
              <w:right w:val="single" w:color="3F3F3F" w:sz="4" w:space="0"/>
            </w:tcBorders>
            <w:shd w:val="clear" w:color="000000" w:fill="FFFFFF"/>
            <w:noWrap w:val="0"/>
            <w:vAlign w:val="center"/>
          </w:tcPr>
          <w:p>
            <w:pPr>
              <w:widowControl/>
              <w:spacing w:line="240" w:lineRule="auto"/>
              <w:jc w:val="center"/>
              <w:rPr>
                <w:rFonts w:ascii="宋体" w:hAnsi="宋体" w:cs="宋体"/>
                <w:b/>
                <w:bCs/>
                <w:color w:val="000000"/>
                <w:kern w:val="0"/>
                <w:sz w:val="21"/>
                <w:szCs w:val="21"/>
              </w:rPr>
            </w:pPr>
          </w:p>
        </w:tc>
        <w:tc>
          <w:tcPr>
            <w:tcW w:w="6261" w:type="dxa"/>
            <w:tcBorders>
              <w:top w:val="single" w:color="3F3F3F" w:sz="4" w:space="0"/>
              <w:left w:val="nil"/>
              <w:bottom w:val="single" w:color="3F3F3F" w:sz="4" w:space="0"/>
              <w:right w:val="single" w:color="3F3F3F" w:sz="4" w:space="0"/>
            </w:tcBorders>
            <w:shd w:val="clear" w:color="000000" w:fill="FFFFFF"/>
            <w:noWrap w:val="0"/>
            <w:vAlign w:val="top"/>
          </w:tcPr>
          <w:p>
            <w:pPr>
              <w:widowControl/>
              <w:spacing w:line="240" w:lineRule="auto"/>
              <w:jc w:val="left"/>
              <w:rPr>
                <w:rFonts w:hint="eastAsia" w:ascii="宋体" w:hAnsi="宋体" w:eastAsia="宋体" w:cs="宋体"/>
                <w:b/>
                <w:bCs/>
                <w:color w:val="000000"/>
                <w:kern w:val="0"/>
                <w:sz w:val="20"/>
                <w:szCs w:val="20"/>
              </w:rPr>
            </w:pPr>
            <w:r>
              <w:rPr>
                <w:rFonts w:hint="eastAsia" w:ascii="宋体" w:hAnsi="宋体" w:cs="宋体"/>
                <w:b w:val="0"/>
                <w:bCs w:val="0"/>
                <w:color w:val="000000"/>
                <w:kern w:val="0"/>
                <w:sz w:val="20"/>
                <w:szCs w:val="20"/>
                <w:lang w:val="en-US" w:eastAsia="zh-CN"/>
              </w:rPr>
              <w:t>10</w:t>
            </w:r>
            <w:r>
              <w:rPr>
                <w:rFonts w:hint="eastAsia" w:ascii="宋体" w:hAnsi="宋体" w:eastAsia="宋体" w:cs="宋体"/>
                <w:b w:val="0"/>
                <w:bCs w:val="0"/>
                <w:color w:val="000000"/>
                <w:kern w:val="0"/>
                <w:sz w:val="20"/>
                <w:szCs w:val="20"/>
                <w:lang w:val="en-US" w:eastAsia="zh-CN"/>
              </w:rPr>
              <w:t>、</w:t>
            </w:r>
            <w:r>
              <w:rPr>
                <w:rFonts w:hint="eastAsia" w:ascii="宋体" w:hAnsi="宋体" w:eastAsia="宋体" w:cs="宋体"/>
                <w:b w:val="0"/>
                <w:bCs w:val="0"/>
                <w:color w:val="000000"/>
                <w:spacing w:val="0"/>
                <w:kern w:val="2"/>
                <w:sz w:val="20"/>
                <w:szCs w:val="20"/>
                <w:lang w:val="en-US" w:eastAsia="zh-CN" w:bidi="ar-SA"/>
              </w:rPr>
              <w:t>根据采购人制剂使用量，制定合理库存量，建立制剂成品断货风险预警值，临近预警值应及时通知采购人制定生产计划。如因投标人原因造成采购人药品断货，承担相应责任，采购人有权要求投标人赔偿相应经济损失。如因不合理囤积药品造成药品过期浪费，承担采购人一切经济损失。</w:t>
            </w:r>
          </w:p>
        </w:tc>
        <w:tc>
          <w:tcPr>
            <w:tcW w:w="1419" w:type="dxa"/>
            <w:tcBorders>
              <w:top w:val="single" w:color="3F3F3F" w:sz="4" w:space="0"/>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widowControl/>
              <w:spacing w:line="240" w:lineRule="auto"/>
              <w:jc w:val="center"/>
              <w:rPr>
                <w:rFonts w:hint="eastAsia" w:ascii="宋体" w:hAnsi="宋体" w:cs="宋体"/>
                <w:b w:val="0"/>
                <w:bCs w:val="0"/>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316" w:hRule="atLeast"/>
          <w:jc w:val="center"/>
        </w:trPr>
        <w:tc>
          <w:tcPr>
            <w:tcW w:w="660" w:type="dxa"/>
            <w:vMerge w:val="continue"/>
            <w:tcBorders>
              <w:left w:val="single" w:color="3F3F3F" w:sz="4" w:space="0"/>
              <w:right w:val="single" w:color="3F3F3F" w:sz="4" w:space="0"/>
            </w:tcBorders>
            <w:shd w:val="clear" w:color="000000" w:fill="FFFFFF"/>
            <w:noWrap w:val="0"/>
            <w:vAlign w:val="center"/>
          </w:tcPr>
          <w:p>
            <w:pPr>
              <w:widowControl/>
              <w:spacing w:line="240" w:lineRule="auto"/>
              <w:jc w:val="left"/>
              <w:rPr>
                <w:rFonts w:ascii="宋体" w:hAnsi="宋体" w:cs="宋体"/>
                <w:b/>
                <w:bCs/>
                <w:color w:val="000000"/>
                <w:kern w:val="0"/>
                <w:sz w:val="21"/>
                <w:szCs w:val="21"/>
              </w:rPr>
            </w:pPr>
          </w:p>
        </w:tc>
        <w:tc>
          <w:tcPr>
            <w:tcW w:w="1475" w:type="dxa"/>
            <w:vMerge w:val="continue"/>
            <w:tcBorders>
              <w:left w:val="single" w:color="3F3F3F" w:sz="4" w:space="0"/>
              <w:right w:val="single" w:color="3F3F3F" w:sz="4" w:space="0"/>
            </w:tcBorders>
            <w:shd w:val="clear" w:color="000000" w:fill="FFFFFF"/>
            <w:noWrap w:val="0"/>
            <w:vAlign w:val="center"/>
          </w:tcPr>
          <w:p>
            <w:pPr>
              <w:widowControl/>
              <w:spacing w:line="240" w:lineRule="auto"/>
              <w:rPr>
                <w:rFonts w:ascii="宋体" w:hAnsi="宋体" w:cs="宋体"/>
                <w:b/>
                <w:bCs/>
                <w:color w:val="000000"/>
                <w:kern w:val="0"/>
                <w:sz w:val="21"/>
                <w:szCs w:val="21"/>
              </w:rPr>
            </w:pPr>
          </w:p>
        </w:tc>
        <w:tc>
          <w:tcPr>
            <w:tcW w:w="6261" w:type="dxa"/>
            <w:tcBorders>
              <w:top w:val="nil"/>
              <w:left w:val="nil"/>
              <w:bottom w:val="single" w:color="3F3F3F" w:sz="4" w:space="0"/>
              <w:right w:val="single" w:color="3F3F3F" w:sz="4" w:space="0"/>
            </w:tcBorders>
            <w:shd w:val="clear" w:color="000000" w:fill="FFFFFF"/>
            <w:noWrap w:val="0"/>
            <w:vAlign w:val="top"/>
          </w:tcPr>
          <w:p>
            <w:pPr>
              <w:numPr>
                <w:ilvl w:val="0"/>
                <w:numId w:val="0"/>
              </w:numPr>
              <w:spacing w:line="240" w:lineRule="auto"/>
              <w:rPr>
                <w:rFonts w:hint="eastAsia" w:ascii="宋体" w:hAnsi="宋体" w:eastAsia="宋体" w:cs="宋体"/>
                <w:b/>
                <w:bCs/>
                <w:color w:val="000000"/>
                <w:kern w:val="0"/>
                <w:sz w:val="20"/>
                <w:szCs w:val="20"/>
                <w:lang w:val="en-US" w:eastAsia="zh-CN"/>
              </w:rPr>
            </w:pPr>
            <w:r>
              <w:rPr>
                <w:rFonts w:hint="eastAsia" w:ascii="宋体" w:hAnsi="宋体" w:eastAsia="宋体" w:cs="宋体"/>
                <w:b w:val="0"/>
                <w:bCs w:val="0"/>
                <w:color w:val="000000"/>
                <w:kern w:val="0"/>
                <w:sz w:val="20"/>
                <w:szCs w:val="20"/>
                <w:lang w:val="en-US" w:eastAsia="zh-CN"/>
              </w:rPr>
              <w:t>1</w:t>
            </w:r>
            <w:r>
              <w:rPr>
                <w:rFonts w:hint="eastAsia" w:ascii="宋体" w:hAnsi="宋体" w:cs="宋体"/>
                <w:b w:val="0"/>
                <w:bCs w:val="0"/>
                <w:color w:val="000000"/>
                <w:kern w:val="0"/>
                <w:sz w:val="20"/>
                <w:szCs w:val="20"/>
                <w:lang w:val="en-US" w:eastAsia="zh-CN"/>
              </w:rPr>
              <w:t>1</w:t>
            </w:r>
            <w:r>
              <w:rPr>
                <w:rFonts w:hint="eastAsia" w:ascii="宋体" w:hAnsi="宋体" w:eastAsia="宋体" w:cs="宋体"/>
                <w:b w:val="0"/>
                <w:bCs w:val="0"/>
                <w:color w:val="000000"/>
                <w:kern w:val="0"/>
                <w:sz w:val="20"/>
                <w:szCs w:val="20"/>
                <w:lang w:val="en-US" w:eastAsia="zh-CN"/>
              </w:rPr>
              <w:t>、</w:t>
            </w:r>
            <w:r>
              <w:rPr>
                <w:rFonts w:hint="eastAsia" w:ascii="宋体" w:hAnsi="宋体" w:eastAsia="宋体" w:cs="宋体"/>
                <w:b w:val="0"/>
                <w:bCs w:val="0"/>
                <w:color w:val="000000"/>
                <w:sz w:val="20"/>
                <w:szCs w:val="20"/>
              </w:rPr>
              <w:t>对</w:t>
            </w:r>
            <w:r>
              <w:rPr>
                <w:rFonts w:hint="eastAsia" w:ascii="宋体" w:hAnsi="宋体" w:eastAsia="宋体" w:cs="宋体"/>
                <w:b w:val="0"/>
                <w:bCs w:val="0"/>
                <w:color w:val="000000"/>
                <w:sz w:val="20"/>
                <w:szCs w:val="20"/>
                <w:lang w:eastAsia="zh-CN"/>
              </w:rPr>
              <w:t>采购人</w:t>
            </w:r>
            <w:r>
              <w:rPr>
                <w:rFonts w:hint="eastAsia" w:ascii="宋体" w:hAnsi="宋体" w:eastAsia="宋体" w:cs="宋体"/>
                <w:b w:val="0"/>
                <w:bCs w:val="0"/>
                <w:color w:val="000000"/>
                <w:sz w:val="20"/>
                <w:szCs w:val="20"/>
              </w:rPr>
              <w:t>提供的配方、生产工艺等负有保密义务，不得泄露技术秘密、商业秘密。</w:t>
            </w:r>
            <w:r>
              <w:rPr>
                <w:rFonts w:hint="eastAsia" w:ascii="宋体" w:hAnsi="宋体" w:eastAsia="宋体" w:cs="宋体"/>
                <w:b w:val="0"/>
                <w:bCs w:val="0"/>
                <w:color w:val="000000"/>
                <w:sz w:val="20"/>
                <w:szCs w:val="20"/>
                <w:lang w:eastAsia="zh-CN"/>
              </w:rPr>
              <w:t>投标人</w:t>
            </w:r>
            <w:r>
              <w:rPr>
                <w:rFonts w:hint="eastAsia" w:ascii="宋体" w:hAnsi="宋体" w:eastAsia="宋体" w:cs="宋体"/>
                <w:b w:val="0"/>
                <w:bCs w:val="0"/>
                <w:color w:val="000000"/>
                <w:sz w:val="20"/>
                <w:szCs w:val="20"/>
              </w:rPr>
              <w:t>在合同期间或合同期满后，不得使用</w:t>
            </w:r>
            <w:r>
              <w:rPr>
                <w:rFonts w:hint="eastAsia" w:ascii="宋体" w:hAnsi="宋体" w:eastAsia="宋体" w:cs="宋体"/>
                <w:b w:val="0"/>
                <w:bCs w:val="0"/>
                <w:color w:val="000000"/>
                <w:sz w:val="20"/>
                <w:szCs w:val="20"/>
                <w:lang w:eastAsia="zh-CN"/>
              </w:rPr>
              <w:t>采购人</w:t>
            </w:r>
            <w:r>
              <w:rPr>
                <w:rFonts w:hint="eastAsia" w:ascii="宋体" w:hAnsi="宋体" w:eastAsia="宋体" w:cs="宋体"/>
                <w:b w:val="0"/>
                <w:bCs w:val="0"/>
                <w:color w:val="000000"/>
                <w:sz w:val="20"/>
                <w:szCs w:val="20"/>
              </w:rPr>
              <w:t>的保密处方、专利处方生产或者透露给第三方生产。</w:t>
            </w:r>
          </w:p>
        </w:tc>
        <w:tc>
          <w:tcPr>
            <w:tcW w:w="1419" w:type="dxa"/>
            <w:tcBorders>
              <w:top w:val="nil"/>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numPr>
                <w:ilvl w:val="0"/>
                <w:numId w:val="0"/>
              </w:numPr>
              <w:spacing w:line="240" w:lineRule="auto"/>
              <w:jc w:val="center"/>
              <w:rPr>
                <w:rFonts w:hint="eastAsia" w:ascii="宋体" w:hAnsi="宋体" w:eastAsia="宋体" w:cs="宋体"/>
                <w:b w:val="0"/>
                <w:bCs w:val="0"/>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3F3F3F" w:sz="4" w:space="0"/>
              <w:right w:val="single" w:color="3F3F3F" w:sz="4" w:space="0"/>
            </w:tcBorders>
            <w:shd w:val="clear" w:color="000000" w:fill="FFFFFF"/>
            <w:noWrap w:val="0"/>
            <w:vAlign w:val="center"/>
          </w:tcPr>
          <w:p>
            <w:pPr>
              <w:widowControl/>
              <w:spacing w:line="240" w:lineRule="auto"/>
              <w:jc w:val="left"/>
              <w:rPr>
                <w:rFonts w:ascii="宋体" w:hAnsi="宋体" w:cs="宋体"/>
                <w:b/>
                <w:bCs/>
                <w:color w:val="000000"/>
                <w:kern w:val="0"/>
                <w:sz w:val="21"/>
                <w:szCs w:val="21"/>
              </w:rPr>
            </w:pPr>
          </w:p>
        </w:tc>
        <w:tc>
          <w:tcPr>
            <w:tcW w:w="1475" w:type="dxa"/>
            <w:vMerge w:val="continue"/>
            <w:tcBorders>
              <w:left w:val="single" w:color="3F3F3F" w:sz="4" w:space="0"/>
              <w:right w:val="single" w:color="3F3F3F" w:sz="4" w:space="0"/>
            </w:tcBorders>
            <w:shd w:val="clear" w:color="000000" w:fill="FFFFFF"/>
            <w:noWrap w:val="0"/>
            <w:vAlign w:val="center"/>
          </w:tcPr>
          <w:p>
            <w:pPr>
              <w:widowControl/>
              <w:spacing w:line="240" w:lineRule="auto"/>
              <w:rPr>
                <w:rFonts w:ascii="宋体" w:hAnsi="宋体" w:cs="宋体"/>
                <w:b/>
                <w:bCs/>
                <w:color w:val="000000"/>
                <w:kern w:val="0"/>
                <w:sz w:val="21"/>
                <w:szCs w:val="21"/>
              </w:rPr>
            </w:pPr>
          </w:p>
        </w:tc>
        <w:tc>
          <w:tcPr>
            <w:tcW w:w="6261" w:type="dxa"/>
            <w:tcBorders>
              <w:top w:val="nil"/>
              <w:left w:val="nil"/>
              <w:bottom w:val="single" w:color="3F3F3F" w:sz="4" w:space="0"/>
              <w:right w:val="single" w:color="3F3F3F" w:sz="4" w:space="0"/>
            </w:tcBorders>
            <w:shd w:val="clear" w:color="000000" w:fill="FFFFFF"/>
            <w:noWrap w:val="0"/>
            <w:vAlign w:val="top"/>
          </w:tcPr>
          <w:p>
            <w:pPr>
              <w:numPr>
                <w:ilvl w:val="0"/>
                <w:numId w:val="0"/>
              </w:numPr>
              <w:spacing w:line="240" w:lineRule="auto"/>
              <w:rPr>
                <w:rFonts w:hint="eastAsia" w:ascii="宋体" w:hAnsi="宋体" w:eastAsia="宋体" w:cs="宋体"/>
                <w:b/>
                <w:bCs/>
                <w:color w:val="000000"/>
                <w:kern w:val="0"/>
                <w:sz w:val="20"/>
                <w:szCs w:val="20"/>
              </w:rPr>
            </w:pPr>
            <w:r>
              <w:rPr>
                <w:rFonts w:hint="eastAsia" w:ascii="宋体" w:hAnsi="宋体" w:cs="宋体"/>
                <w:b w:val="0"/>
                <w:bCs w:val="0"/>
                <w:color w:val="000000"/>
                <w:kern w:val="0"/>
                <w:sz w:val="20"/>
                <w:szCs w:val="20"/>
                <w:lang w:val="en-US" w:eastAsia="zh-CN"/>
              </w:rPr>
              <w:t>12</w:t>
            </w:r>
            <w:r>
              <w:rPr>
                <w:rFonts w:hint="eastAsia" w:ascii="宋体" w:hAnsi="宋体" w:eastAsia="宋体" w:cs="宋体"/>
                <w:b w:val="0"/>
                <w:bCs w:val="0"/>
                <w:color w:val="000000"/>
                <w:kern w:val="0"/>
                <w:sz w:val="20"/>
                <w:szCs w:val="20"/>
                <w:lang w:val="en-US" w:eastAsia="zh-CN"/>
              </w:rPr>
              <w:t>、</w:t>
            </w:r>
            <w:r>
              <w:rPr>
                <w:rFonts w:hint="eastAsia" w:ascii="宋体" w:hAnsi="宋体" w:eastAsia="宋体" w:cs="宋体"/>
                <w:b w:val="0"/>
                <w:bCs w:val="0"/>
                <w:color w:val="000000"/>
                <w:sz w:val="20"/>
                <w:szCs w:val="20"/>
                <w:lang w:val="en-US" w:eastAsia="zh-CN"/>
              </w:rPr>
              <w:t>保证合同项下提供的货物不侵犯任何第三方的专利、商标或版权。否则，投标人须承担对第三方的专利或版权的侵权责任并承担因此而发生的所有费用。</w:t>
            </w:r>
          </w:p>
        </w:tc>
        <w:tc>
          <w:tcPr>
            <w:tcW w:w="1419" w:type="dxa"/>
            <w:tcBorders>
              <w:top w:val="nil"/>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numPr>
                <w:ilvl w:val="0"/>
                <w:numId w:val="0"/>
              </w:numPr>
              <w:spacing w:line="240" w:lineRule="auto"/>
              <w:jc w:val="center"/>
              <w:rPr>
                <w:rFonts w:hint="eastAsia" w:ascii="宋体" w:hAnsi="宋体" w:cs="宋体"/>
                <w:b w:val="0"/>
                <w:bCs w:val="0"/>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3F3F3F" w:sz="4" w:space="0"/>
              <w:right w:val="single" w:color="3F3F3F" w:sz="4" w:space="0"/>
            </w:tcBorders>
            <w:shd w:val="clear" w:color="000000" w:fill="FFFFFF"/>
            <w:noWrap w:val="0"/>
            <w:vAlign w:val="center"/>
          </w:tcPr>
          <w:p>
            <w:pPr>
              <w:widowControl/>
              <w:spacing w:line="240" w:lineRule="auto"/>
              <w:jc w:val="left"/>
              <w:rPr>
                <w:rFonts w:ascii="宋体" w:hAnsi="宋体" w:cs="宋体"/>
                <w:b/>
                <w:bCs/>
                <w:color w:val="000000"/>
                <w:kern w:val="0"/>
                <w:sz w:val="21"/>
                <w:szCs w:val="21"/>
              </w:rPr>
            </w:pPr>
          </w:p>
        </w:tc>
        <w:tc>
          <w:tcPr>
            <w:tcW w:w="1475" w:type="dxa"/>
            <w:vMerge w:val="continue"/>
            <w:tcBorders>
              <w:left w:val="single" w:color="3F3F3F" w:sz="4" w:space="0"/>
              <w:right w:val="single" w:color="3F3F3F" w:sz="4" w:space="0"/>
            </w:tcBorders>
            <w:shd w:val="clear" w:color="000000" w:fill="FFFFFF"/>
            <w:noWrap w:val="0"/>
            <w:vAlign w:val="center"/>
          </w:tcPr>
          <w:p>
            <w:pPr>
              <w:widowControl/>
              <w:spacing w:line="240" w:lineRule="auto"/>
              <w:rPr>
                <w:rFonts w:ascii="宋体" w:hAnsi="宋体" w:cs="宋体"/>
                <w:b/>
                <w:bCs/>
                <w:color w:val="000000"/>
                <w:kern w:val="0"/>
                <w:sz w:val="21"/>
                <w:szCs w:val="21"/>
              </w:rPr>
            </w:pPr>
          </w:p>
        </w:tc>
        <w:tc>
          <w:tcPr>
            <w:tcW w:w="6261" w:type="dxa"/>
            <w:tcBorders>
              <w:top w:val="nil"/>
              <w:left w:val="nil"/>
              <w:bottom w:val="single" w:color="3F3F3F" w:sz="4" w:space="0"/>
              <w:right w:val="single" w:color="3F3F3F" w:sz="4" w:space="0"/>
            </w:tcBorders>
            <w:shd w:val="clear" w:color="000000" w:fill="FFFFFF"/>
            <w:noWrap w:val="0"/>
            <w:vAlign w:val="top"/>
          </w:tcPr>
          <w:p>
            <w:pPr>
              <w:widowControl/>
              <w:spacing w:line="240" w:lineRule="auto"/>
              <w:jc w:val="left"/>
              <w:rPr>
                <w:rFonts w:hint="eastAsia" w:ascii="宋体" w:hAnsi="宋体" w:eastAsia="宋体" w:cs="宋体"/>
                <w:b/>
                <w:bCs/>
                <w:color w:val="000000"/>
                <w:kern w:val="0"/>
                <w:sz w:val="20"/>
                <w:szCs w:val="20"/>
              </w:rPr>
            </w:pPr>
            <w:r>
              <w:rPr>
                <w:rFonts w:hint="eastAsia" w:ascii="宋体" w:hAnsi="宋体" w:eastAsia="宋体" w:cs="宋体"/>
                <w:b w:val="0"/>
                <w:bCs w:val="0"/>
                <w:color w:val="000000"/>
                <w:sz w:val="20"/>
                <w:szCs w:val="20"/>
                <w:lang w:val="en-US" w:eastAsia="zh-CN"/>
              </w:rPr>
              <w:t>1</w:t>
            </w:r>
            <w:r>
              <w:rPr>
                <w:rFonts w:hint="eastAsia" w:ascii="宋体" w:hAnsi="宋体" w:cs="宋体"/>
                <w:b w:val="0"/>
                <w:bCs w:val="0"/>
                <w:color w:val="000000"/>
                <w:sz w:val="20"/>
                <w:szCs w:val="20"/>
                <w:lang w:val="en-US" w:eastAsia="zh-CN"/>
              </w:rPr>
              <w:t>3</w:t>
            </w:r>
            <w:r>
              <w:rPr>
                <w:rFonts w:hint="eastAsia" w:ascii="宋体" w:hAnsi="宋体" w:eastAsia="宋体" w:cs="宋体"/>
                <w:b w:val="0"/>
                <w:bCs w:val="0"/>
                <w:color w:val="000000"/>
                <w:sz w:val="20"/>
                <w:szCs w:val="20"/>
                <w:lang w:val="en-US" w:eastAsia="zh-CN"/>
              </w:rPr>
              <w:t>、提供的货物如有质量问题而发生争议，由采购人制定具备相应资质的权威机构进行质量鉴定。货物不符合质量标准的，鉴定费用由投标人承担。</w:t>
            </w:r>
          </w:p>
        </w:tc>
        <w:tc>
          <w:tcPr>
            <w:tcW w:w="1419" w:type="dxa"/>
            <w:tcBorders>
              <w:top w:val="nil"/>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widowControl/>
              <w:spacing w:line="240" w:lineRule="auto"/>
              <w:jc w:val="center"/>
              <w:rPr>
                <w:rFonts w:hint="eastAsia" w:ascii="宋体" w:hAnsi="宋体" w:eastAsia="宋体" w:cs="宋体"/>
                <w:b w:val="0"/>
                <w:bCs w:val="0"/>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320" w:hRule="atLeast"/>
          <w:jc w:val="center"/>
        </w:trPr>
        <w:tc>
          <w:tcPr>
            <w:tcW w:w="660" w:type="dxa"/>
            <w:vMerge w:val="continue"/>
            <w:tcBorders>
              <w:left w:val="single" w:color="3F3F3F" w:sz="4" w:space="0"/>
              <w:right w:val="single" w:color="3F3F3F" w:sz="4" w:space="0"/>
            </w:tcBorders>
            <w:shd w:val="clear" w:color="000000" w:fill="FFFFFF"/>
            <w:noWrap w:val="0"/>
            <w:vAlign w:val="center"/>
          </w:tcPr>
          <w:p>
            <w:pPr>
              <w:widowControl/>
              <w:spacing w:line="240" w:lineRule="auto"/>
              <w:jc w:val="left"/>
              <w:rPr>
                <w:rFonts w:ascii="宋体" w:hAnsi="宋体" w:cs="宋体"/>
                <w:b/>
                <w:bCs/>
                <w:color w:val="000000"/>
                <w:kern w:val="0"/>
                <w:sz w:val="21"/>
                <w:szCs w:val="21"/>
              </w:rPr>
            </w:pPr>
          </w:p>
        </w:tc>
        <w:tc>
          <w:tcPr>
            <w:tcW w:w="1475" w:type="dxa"/>
            <w:vMerge w:val="continue"/>
            <w:tcBorders>
              <w:left w:val="single" w:color="3F3F3F" w:sz="4" w:space="0"/>
              <w:right w:val="single" w:color="3F3F3F" w:sz="4" w:space="0"/>
            </w:tcBorders>
            <w:shd w:val="clear" w:color="000000" w:fill="FFFFFF"/>
            <w:noWrap w:val="0"/>
            <w:vAlign w:val="center"/>
          </w:tcPr>
          <w:p>
            <w:pPr>
              <w:widowControl/>
              <w:spacing w:line="240" w:lineRule="auto"/>
              <w:rPr>
                <w:rFonts w:ascii="宋体" w:hAnsi="宋体" w:cs="宋体"/>
                <w:b/>
                <w:bCs/>
                <w:color w:val="000000"/>
                <w:kern w:val="0"/>
                <w:sz w:val="21"/>
                <w:szCs w:val="21"/>
              </w:rPr>
            </w:pPr>
          </w:p>
        </w:tc>
        <w:tc>
          <w:tcPr>
            <w:tcW w:w="6261" w:type="dxa"/>
            <w:tcBorders>
              <w:top w:val="nil"/>
              <w:left w:val="nil"/>
              <w:bottom w:val="single" w:color="3F3F3F" w:sz="4" w:space="0"/>
              <w:right w:val="single" w:color="3F3F3F" w:sz="4" w:space="0"/>
            </w:tcBorders>
            <w:shd w:val="clear" w:color="000000" w:fill="FFFFFF"/>
            <w:noWrap w:val="0"/>
            <w:vAlign w:val="top"/>
          </w:tcPr>
          <w:p>
            <w:pPr>
              <w:numPr>
                <w:ilvl w:val="0"/>
                <w:numId w:val="0"/>
              </w:numPr>
              <w:spacing w:line="240" w:lineRule="auto"/>
              <w:rPr>
                <w:rFonts w:hint="eastAsia" w:ascii="宋体" w:hAnsi="宋体" w:eastAsia="宋体" w:cs="宋体"/>
                <w:b w:val="0"/>
                <w:bCs w:val="0"/>
                <w:color w:val="000000"/>
                <w:kern w:val="0"/>
                <w:sz w:val="20"/>
                <w:szCs w:val="20"/>
                <w:lang w:val="en-US" w:eastAsia="zh-CN"/>
              </w:rPr>
            </w:pPr>
            <w:r>
              <w:rPr>
                <w:rFonts w:hint="eastAsia" w:ascii="宋体" w:hAnsi="宋体" w:eastAsia="宋体" w:cs="宋体"/>
                <w:b w:val="0"/>
                <w:bCs w:val="0"/>
                <w:color w:val="000000"/>
                <w:kern w:val="0"/>
                <w:sz w:val="20"/>
                <w:szCs w:val="20"/>
                <w:lang w:val="en-US" w:eastAsia="zh-CN"/>
              </w:rPr>
              <w:t>1</w:t>
            </w:r>
            <w:r>
              <w:rPr>
                <w:rFonts w:hint="eastAsia" w:ascii="宋体" w:hAnsi="宋体" w:cs="宋体"/>
                <w:b w:val="0"/>
                <w:bCs w:val="0"/>
                <w:color w:val="000000"/>
                <w:kern w:val="0"/>
                <w:sz w:val="20"/>
                <w:szCs w:val="20"/>
                <w:lang w:val="en-US" w:eastAsia="zh-CN"/>
              </w:rPr>
              <w:t>4</w:t>
            </w:r>
            <w:r>
              <w:rPr>
                <w:rFonts w:hint="eastAsia" w:ascii="宋体" w:hAnsi="宋体" w:eastAsia="宋体" w:cs="宋体"/>
                <w:b w:val="0"/>
                <w:bCs w:val="0"/>
                <w:color w:val="000000"/>
                <w:kern w:val="0"/>
                <w:sz w:val="20"/>
                <w:szCs w:val="20"/>
                <w:lang w:val="en-US" w:eastAsia="zh-CN"/>
              </w:rPr>
              <w:t>、</w:t>
            </w:r>
            <w:r>
              <w:rPr>
                <w:rFonts w:hint="eastAsia" w:ascii="宋体" w:hAnsi="宋体" w:eastAsia="宋体" w:cs="宋体"/>
                <w:b w:val="0"/>
                <w:bCs w:val="0"/>
                <w:color w:val="000000"/>
                <w:sz w:val="20"/>
                <w:szCs w:val="20"/>
                <w:lang w:val="en-US" w:eastAsia="zh-CN"/>
              </w:rPr>
              <w:t>采购人有权对委托生产制剂的质量进行全程跟踪监督。</w:t>
            </w:r>
          </w:p>
        </w:tc>
        <w:tc>
          <w:tcPr>
            <w:tcW w:w="1419" w:type="dxa"/>
            <w:tcBorders>
              <w:top w:val="nil"/>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numPr>
                <w:ilvl w:val="0"/>
                <w:numId w:val="0"/>
              </w:numPr>
              <w:spacing w:line="240" w:lineRule="auto"/>
              <w:jc w:val="center"/>
              <w:rPr>
                <w:rFonts w:hint="eastAsia" w:ascii="宋体" w:hAnsi="宋体" w:eastAsia="宋体" w:cs="宋体"/>
                <w:b w:val="0"/>
                <w:bCs w:val="0"/>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3F3F3F" w:sz="4" w:space="0"/>
              <w:right w:val="single" w:color="3F3F3F" w:sz="4" w:space="0"/>
            </w:tcBorders>
            <w:shd w:val="clear" w:color="000000" w:fill="FFFFFF"/>
            <w:noWrap w:val="0"/>
            <w:vAlign w:val="center"/>
          </w:tcPr>
          <w:p>
            <w:pPr>
              <w:widowControl/>
              <w:spacing w:line="240" w:lineRule="auto"/>
              <w:jc w:val="left"/>
              <w:rPr>
                <w:rFonts w:ascii="宋体" w:hAnsi="宋体" w:cs="宋体"/>
                <w:b/>
                <w:bCs/>
                <w:color w:val="000000"/>
                <w:kern w:val="0"/>
                <w:sz w:val="21"/>
                <w:szCs w:val="21"/>
              </w:rPr>
            </w:pPr>
          </w:p>
        </w:tc>
        <w:tc>
          <w:tcPr>
            <w:tcW w:w="1475" w:type="dxa"/>
            <w:vMerge w:val="continue"/>
            <w:tcBorders>
              <w:left w:val="single" w:color="3F3F3F" w:sz="4" w:space="0"/>
              <w:right w:val="single" w:color="3F3F3F" w:sz="4" w:space="0"/>
            </w:tcBorders>
            <w:shd w:val="clear" w:color="000000" w:fill="FFFFFF"/>
            <w:noWrap w:val="0"/>
            <w:vAlign w:val="center"/>
          </w:tcPr>
          <w:p>
            <w:pPr>
              <w:widowControl/>
              <w:spacing w:line="240" w:lineRule="auto"/>
              <w:rPr>
                <w:rFonts w:ascii="宋体" w:hAnsi="宋体" w:cs="宋体"/>
                <w:b/>
                <w:bCs/>
                <w:color w:val="000000"/>
                <w:kern w:val="0"/>
                <w:sz w:val="21"/>
                <w:szCs w:val="21"/>
              </w:rPr>
            </w:pPr>
          </w:p>
        </w:tc>
        <w:tc>
          <w:tcPr>
            <w:tcW w:w="6261" w:type="dxa"/>
            <w:tcBorders>
              <w:top w:val="nil"/>
              <w:left w:val="nil"/>
              <w:bottom w:val="single" w:color="3F3F3F" w:sz="4" w:space="0"/>
              <w:right w:val="single" w:color="3F3F3F" w:sz="4" w:space="0"/>
            </w:tcBorders>
            <w:shd w:val="clear" w:color="000000" w:fill="FFFFFF"/>
            <w:noWrap w:val="0"/>
            <w:vAlign w:val="top"/>
          </w:tcPr>
          <w:p>
            <w:pPr>
              <w:numPr>
                <w:ilvl w:val="0"/>
                <w:numId w:val="0"/>
              </w:numPr>
              <w:spacing w:line="240" w:lineRule="auto"/>
              <w:rPr>
                <w:rFonts w:hint="eastAsia" w:ascii="宋体" w:hAnsi="宋体" w:eastAsia="宋体" w:cs="宋体"/>
                <w:b w:val="0"/>
                <w:bCs w:val="0"/>
                <w:color w:val="000000"/>
                <w:kern w:val="0"/>
                <w:sz w:val="20"/>
                <w:szCs w:val="20"/>
                <w:lang w:val="en-US" w:eastAsia="zh-CN"/>
              </w:rPr>
            </w:pPr>
            <w:r>
              <w:rPr>
                <w:rFonts w:hint="eastAsia" w:ascii="宋体" w:hAnsi="宋体" w:eastAsia="宋体" w:cs="宋体"/>
                <w:b w:val="0"/>
                <w:bCs w:val="0"/>
                <w:color w:val="000000"/>
                <w:kern w:val="0"/>
                <w:sz w:val="20"/>
                <w:szCs w:val="20"/>
                <w:lang w:val="en-US" w:eastAsia="zh-CN"/>
              </w:rPr>
              <w:t>1</w:t>
            </w:r>
            <w:r>
              <w:rPr>
                <w:rFonts w:hint="eastAsia" w:ascii="宋体" w:hAnsi="宋体" w:cs="宋体"/>
                <w:b w:val="0"/>
                <w:bCs w:val="0"/>
                <w:color w:val="000000"/>
                <w:kern w:val="0"/>
                <w:sz w:val="20"/>
                <w:szCs w:val="20"/>
                <w:lang w:val="en-US" w:eastAsia="zh-CN"/>
              </w:rPr>
              <w:t>5</w:t>
            </w:r>
            <w:r>
              <w:rPr>
                <w:rFonts w:hint="eastAsia" w:ascii="宋体" w:hAnsi="宋体" w:eastAsia="宋体" w:cs="宋体"/>
                <w:b w:val="0"/>
                <w:bCs w:val="0"/>
                <w:color w:val="000000"/>
                <w:kern w:val="0"/>
                <w:sz w:val="20"/>
                <w:szCs w:val="20"/>
                <w:lang w:val="en-US" w:eastAsia="zh-CN"/>
              </w:rPr>
              <w:t>、</w:t>
            </w:r>
            <w:r>
              <w:rPr>
                <w:rFonts w:hint="eastAsia" w:ascii="宋体" w:hAnsi="宋体" w:eastAsia="宋体" w:cs="宋体"/>
                <w:b w:val="0"/>
                <w:bCs w:val="0"/>
                <w:color w:val="000000"/>
                <w:sz w:val="20"/>
                <w:szCs w:val="20"/>
                <w:lang w:val="en-US" w:eastAsia="zh-CN"/>
              </w:rPr>
              <w:t>不使用临近效期3个月之内的中药饮片、辅料及包装材料进行制剂配制，如违规使用，所造成的责任由</w:t>
            </w:r>
            <w:r>
              <w:rPr>
                <w:rFonts w:hint="eastAsia" w:ascii="宋体" w:hAnsi="宋体" w:cs="宋体"/>
                <w:b w:val="0"/>
                <w:bCs w:val="0"/>
                <w:color w:val="000000"/>
                <w:sz w:val="20"/>
                <w:szCs w:val="20"/>
                <w:lang w:val="en-US" w:eastAsia="zh-CN"/>
              </w:rPr>
              <w:t>委托单位</w:t>
            </w:r>
            <w:r>
              <w:rPr>
                <w:rFonts w:hint="eastAsia" w:ascii="宋体" w:hAnsi="宋体" w:eastAsia="宋体" w:cs="宋体"/>
                <w:b w:val="0"/>
                <w:bCs w:val="0"/>
                <w:color w:val="000000"/>
                <w:sz w:val="20"/>
                <w:szCs w:val="20"/>
                <w:lang w:val="en-US" w:eastAsia="zh-CN"/>
              </w:rPr>
              <w:t>承担。</w:t>
            </w:r>
          </w:p>
        </w:tc>
        <w:tc>
          <w:tcPr>
            <w:tcW w:w="1419" w:type="dxa"/>
            <w:tcBorders>
              <w:top w:val="nil"/>
              <w:left w:val="nil"/>
              <w:bottom w:val="single" w:color="3F3F3F"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numPr>
                <w:ilvl w:val="0"/>
                <w:numId w:val="0"/>
              </w:numPr>
              <w:spacing w:line="240" w:lineRule="auto"/>
              <w:jc w:val="center"/>
              <w:rPr>
                <w:rFonts w:hint="eastAsia" w:ascii="宋体" w:hAnsi="宋体" w:eastAsia="宋体" w:cs="宋体"/>
                <w:b w:val="0"/>
                <w:bCs w:val="0"/>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3F3F3F" w:sz="4" w:space="0"/>
              <w:bottom w:val="single" w:color="auto" w:sz="4" w:space="0"/>
              <w:right w:val="single" w:color="3F3F3F" w:sz="4" w:space="0"/>
            </w:tcBorders>
            <w:shd w:val="clear" w:color="000000" w:fill="FFFFFF"/>
            <w:noWrap w:val="0"/>
            <w:vAlign w:val="center"/>
          </w:tcPr>
          <w:p>
            <w:pPr>
              <w:widowControl/>
              <w:spacing w:line="240" w:lineRule="auto"/>
              <w:jc w:val="left"/>
              <w:rPr>
                <w:rFonts w:ascii="宋体" w:hAnsi="宋体" w:cs="宋体"/>
                <w:b/>
                <w:bCs/>
                <w:color w:val="000000"/>
                <w:kern w:val="0"/>
                <w:sz w:val="21"/>
                <w:szCs w:val="21"/>
              </w:rPr>
            </w:pPr>
          </w:p>
        </w:tc>
        <w:tc>
          <w:tcPr>
            <w:tcW w:w="1475" w:type="dxa"/>
            <w:vMerge w:val="continue"/>
            <w:tcBorders>
              <w:left w:val="single" w:color="3F3F3F" w:sz="4" w:space="0"/>
              <w:bottom w:val="single" w:color="auto" w:sz="4" w:space="0"/>
              <w:right w:val="single" w:color="3F3F3F" w:sz="4" w:space="0"/>
            </w:tcBorders>
            <w:shd w:val="clear" w:color="000000" w:fill="FFFFFF"/>
            <w:noWrap w:val="0"/>
            <w:vAlign w:val="center"/>
          </w:tcPr>
          <w:p>
            <w:pPr>
              <w:widowControl/>
              <w:spacing w:line="240" w:lineRule="auto"/>
              <w:rPr>
                <w:rFonts w:ascii="宋体" w:hAnsi="宋体" w:cs="宋体"/>
                <w:b/>
                <w:bCs/>
                <w:color w:val="000000"/>
                <w:kern w:val="0"/>
                <w:sz w:val="21"/>
                <w:szCs w:val="21"/>
              </w:rPr>
            </w:pPr>
          </w:p>
        </w:tc>
        <w:tc>
          <w:tcPr>
            <w:tcW w:w="6261" w:type="dxa"/>
            <w:tcBorders>
              <w:top w:val="nil"/>
              <w:left w:val="nil"/>
              <w:bottom w:val="single" w:color="auto" w:sz="4" w:space="0"/>
              <w:right w:val="single" w:color="3F3F3F" w:sz="4" w:space="0"/>
            </w:tcBorders>
            <w:shd w:val="clear" w:color="000000" w:fill="FFFFFF"/>
            <w:noWrap w:val="0"/>
            <w:vAlign w:val="top"/>
          </w:tcPr>
          <w:p>
            <w:pPr>
              <w:pStyle w:val="19"/>
              <w:spacing w:line="240" w:lineRule="auto"/>
              <w:rPr>
                <w:rFonts w:hint="eastAsia" w:ascii="宋体" w:hAnsi="宋体" w:eastAsia="宋体" w:cs="宋体"/>
                <w:b w:val="0"/>
                <w:bCs w:val="0"/>
                <w:color w:val="000000"/>
                <w:kern w:val="0"/>
                <w:sz w:val="20"/>
                <w:szCs w:val="20"/>
                <w:lang w:val="en-US" w:eastAsia="zh-CN"/>
              </w:rPr>
            </w:pPr>
            <w:r>
              <w:rPr>
                <w:rFonts w:hint="eastAsia" w:ascii="宋体" w:hAnsi="宋体" w:eastAsia="宋体" w:cs="宋体"/>
                <w:b w:val="0"/>
                <w:bCs w:val="0"/>
                <w:color w:val="000000"/>
                <w:kern w:val="0"/>
                <w:sz w:val="20"/>
                <w:szCs w:val="20"/>
                <w:lang w:val="en-US" w:eastAsia="zh-CN"/>
              </w:rPr>
              <w:t>16、</w:t>
            </w:r>
            <w:r>
              <w:rPr>
                <w:rFonts w:hint="eastAsia" w:ascii="宋体" w:hAnsi="宋体" w:eastAsia="宋体" w:cs="宋体"/>
                <w:b w:val="0"/>
                <w:bCs w:val="0"/>
                <w:color w:val="000000"/>
                <w:sz w:val="20"/>
                <w:szCs w:val="20"/>
              </w:rPr>
              <w:t>制剂内外包装样式应按</w:t>
            </w:r>
            <w:r>
              <w:rPr>
                <w:rFonts w:hint="eastAsia" w:ascii="宋体" w:hAnsi="宋体" w:eastAsia="宋体" w:cs="宋体"/>
                <w:b w:val="0"/>
                <w:bCs w:val="0"/>
                <w:color w:val="000000"/>
                <w:sz w:val="20"/>
                <w:szCs w:val="20"/>
                <w:lang w:val="en-US" w:eastAsia="zh-CN"/>
              </w:rPr>
              <w:t>采购</w:t>
            </w:r>
            <w:r>
              <w:rPr>
                <w:rFonts w:hint="eastAsia" w:ascii="宋体" w:hAnsi="宋体" w:eastAsia="宋体" w:cs="宋体"/>
                <w:b w:val="0"/>
                <w:bCs w:val="0"/>
                <w:color w:val="000000"/>
                <w:sz w:val="20"/>
                <w:szCs w:val="20"/>
              </w:rPr>
              <w:t>人所提供的样式，且内、外包装质量不低于</w:t>
            </w:r>
            <w:r>
              <w:rPr>
                <w:rFonts w:hint="eastAsia" w:ascii="宋体" w:hAnsi="宋体" w:eastAsia="宋体" w:cs="宋体"/>
                <w:b w:val="0"/>
                <w:bCs w:val="0"/>
                <w:color w:val="000000"/>
                <w:sz w:val="20"/>
                <w:szCs w:val="20"/>
                <w:lang w:val="en-US" w:eastAsia="zh-CN"/>
              </w:rPr>
              <w:t>采购人</w:t>
            </w:r>
            <w:r>
              <w:rPr>
                <w:rFonts w:hint="eastAsia" w:ascii="宋体" w:hAnsi="宋体" w:eastAsia="宋体" w:cs="宋体"/>
                <w:b w:val="0"/>
                <w:bCs w:val="0"/>
                <w:color w:val="000000"/>
                <w:sz w:val="20"/>
                <w:szCs w:val="20"/>
              </w:rPr>
              <w:t>所用的质量标准。</w:t>
            </w:r>
          </w:p>
        </w:tc>
        <w:tc>
          <w:tcPr>
            <w:tcW w:w="1419" w:type="dxa"/>
            <w:tcBorders>
              <w:top w:val="nil"/>
              <w:left w:val="nil"/>
              <w:bottom w:val="single" w:color="auto" w:sz="4" w:space="0"/>
              <w:right w:val="single" w:color="3F3F3F"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pStyle w:val="19"/>
              <w:spacing w:line="240" w:lineRule="auto"/>
              <w:jc w:val="center"/>
              <w:rPr>
                <w:rFonts w:hint="eastAsia" w:ascii="宋体" w:hAnsi="宋体" w:eastAsia="宋体" w:cs="宋体"/>
                <w:b w:val="0"/>
                <w:bCs w:val="0"/>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jc w:val="center"/>
              <w:rPr>
                <w:rFonts w:hint="eastAsia" w:ascii="宋体" w:hAnsi="宋体" w:eastAsia="宋体" w:cs="宋体"/>
                <w:b/>
                <w:bCs/>
                <w:color w:val="000000"/>
                <w:kern w:val="0"/>
                <w:sz w:val="21"/>
                <w:szCs w:val="21"/>
                <w:lang w:val="en-US" w:eastAsia="zh-CN"/>
              </w:rPr>
            </w:pPr>
            <w:r>
              <w:rPr>
                <w:rFonts w:hint="eastAsia" w:ascii="宋体" w:hAnsi="宋体" w:cs="宋体"/>
                <w:b/>
                <w:bCs/>
                <w:color w:val="000000"/>
                <w:kern w:val="0"/>
                <w:sz w:val="21"/>
                <w:szCs w:val="21"/>
                <w:lang w:val="en-US" w:eastAsia="zh-CN"/>
              </w:rPr>
              <w:t>2</w:t>
            </w:r>
          </w:p>
        </w:tc>
        <w:tc>
          <w:tcPr>
            <w:tcW w:w="1475"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numPr>
                <w:ilvl w:val="0"/>
                <w:numId w:val="0"/>
              </w:numPr>
              <w:spacing w:line="240" w:lineRule="auto"/>
              <w:jc w:val="center"/>
              <w:rPr>
                <w:rFonts w:hint="eastAsia" w:ascii="宋体" w:hAnsi="宋体" w:cs="Times New Roman"/>
                <w:b w:val="0"/>
                <w:bCs w:val="0"/>
                <w:color w:val="000000"/>
                <w:sz w:val="20"/>
                <w:szCs w:val="20"/>
                <w:lang w:val="en-US" w:eastAsia="zh-CN"/>
              </w:rPr>
            </w:pPr>
            <w:r>
              <w:rPr>
                <w:rFonts w:hint="eastAsia" w:ascii="宋体" w:hAnsi="宋体" w:cs="Times New Roman"/>
                <w:b w:val="0"/>
                <w:bCs w:val="0"/>
                <w:color w:val="000000"/>
                <w:sz w:val="20"/>
                <w:szCs w:val="20"/>
                <w:lang w:val="en-US" w:eastAsia="zh-CN"/>
              </w:rPr>
              <w:t>药品配送能力</w:t>
            </w:r>
          </w:p>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numPr>
                <w:ilvl w:val="0"/>
                <w:numId w:val="0"/>
              </w:numPr>
              <w:spacing w:line="240" w:lineRule="auto"/>
              <w:rPr>
                <w:rFonts w:hint="eastAsia" w:ascii="宋体" w:hAnsi="宋体" w:eastAsia="宋体" w:cs="宋体"/>
                <w:b w:val="0"/>
                <w:bCs w:val="0"/>
                <w:color w:val="000000"/>
                <w:kern w:val="0"/>
                <w:sz w:val="20"/>
                <w:szCs w:val="20"/>
                <w:lang w:val="en-US" w:eastAsia="zh-CN"/>
              </w:rPr>
            </w:pPr>
            <w:r>
              <w:rPr>
                <w:rFonts w:hint="default" w:ascii="Times New Roman" w:hAnsi="Times New Roman" w:cs="Times New Roman"/>
                <w:b w:val="0"/>
                <w:bCs w:val="0"/>
                <w:color w:val="000000"/>
                <w:sz w:val="20"/>
                <w:szCs w:val="20"/>
              </w:rPr>
              <w:t>负责产品运到</w:t>
            </w:r>
            <w:r>
              <w:rPr>
                <w:rFonts w:hint="eastAsia" w:ascii="Times New Roman" w:hAnsi="Times New Roman" w:cs="Times New Roman"/>
                <w:b w:val="0"/>
                <w:bCs w:val="0"/>
                <w:color w:val="000000"/>
                <w:sz w:val="20"/>
                <w:szCs w:val="20"/>
                <w:lang w:val="en-US" w:eastAsia="zh-CN"/>
              </w:rPr>
              <w:t>采购人</w:t>
            </w:r>
            <w:r>
              <w:rPr>
                <w:rFonts w:hint="default" w:ascii="Times New Roman" w:hAnsi="Times New Roman" w:cs="Times New Roman"/>
                <w:b w:val="0"/>
                <w:bCs w:val="0"/>
                <w:color w:val="000000"/>
                <w:sz w:val="20"/>
                <w:szCs w:val="20"/>
              </w:rPr>
              <w:t>指定成品库的全部运输过程，包括装卸车、货物的现场搬运。成品的</w:t>
            </w:r>
            <w:r>
              <w:rPr>
                <w:rFonts w:hint="default" w:ascii="Times New Roman" w:hAnsi="Times New Roman" w:cs="Times New Roman"/>
                <w:b w:val="0"/>
                <w:bCs w:val="0"/>
                <w:color w:val="000000"/>
                <w:sz w:val="20"/>
                <w:szCs w:val="20"/>
                <w:u w:val="none"/>
              </w:rPr>
              <w:t>配送运输</w:t>
            </w:r>
            <w:r>
              <w:rPr>
                <w:rFonts w:hint="default" w:ascii="Times New Roman" w:hAnsi="Times New Roman" w:cs="Times New Roman"/>
                <w:b w:val="0"/>
                <w:bCs w:val="0"/>
                <w:color w:val="000000"/>
                <w:sz w:val="20"/>
                <w:szCs w:val="20"/>
                <w:u w:val="none"/>
                <w:lang w:val="en-US" w:eastAsia="zh-CN"/>
              </w:rPr>
              <w:t>费和运输安全责任</w:t>
            </w:r>
            <w:r>
              <w:rPr>
                <w:rFonts w:hint="default" w:ascii="Times New Roman" w:hAnsi="Times New Roman" w:cs="Times New Roman"/>
                <w:b w:val="0"/>
                <w:bCs w:val="0"/>
                <w:color w:val="000000"/>
                <w:sz w:val="20"/>
                <w:szCs w:val="20"/>
                <w:u w:val="none"/>
              </w:rPr>
              <w:t>由</w:t>
            </w:r>
            <w:r>
              <w:rPr>
                <w:rFonts w:hint="default" w:ascii="Times New Roman" w:hAnsi="Times New Roman" w:cs="Times New Roman"/>
                <w:b w:val="0"/>
                <w:bCs w:val="0"/>
                <w:color w:val="000000"/>
                <w:sz w:val="20"/>
                <w:szCs w:val="20"/>
                <w:u w:val="none"/>
                <w:lang w:val="en-US" w:eastAsia="zh-CN"/>
              </w:rPr>
              <w:t>投标人</w:t>
            </w:r>
            <w:r>
              <w:rPr>
                <w:rFonts w:hint="default" w:ascii="Times New Roman" w:hAnsi="Times New Roman" w:cs="Times New Roman"/>
                <w:b w:val="0"/>
                <w:bCs w:val="0"/>
                <w:color w:val="000000"/>
                <w:sz w:val="20"/>
                <w:szCs w:val="20"/>
                <w:u w:val="none"/>
              </w:rPr>
              <w:t>负责，</w:t>
            </w:r>
            <w:r>
              <w:rPr>
                <w:rFonts w:hint="default" w:ascii="Times New Roman" w:hAnsi="Times New Roman" w:cs="Times New Roman"/>
                <w:b w:val="0"/>
                <w:bCs w:val="0"/>
                <w:color w:val="000000"/>
                <w:sz w:val="20"/>
                <w:szCs w:val="20"/>
                <w:u w:val="none"/>
                <w:lang w:val="en-US" w:eastAsia="zh-CN"/>
              </w:rPr>
              <w:t>并</w:t>
            </w:r>
            <w:r>
              <w:rPr>
                <w:rFonts w:hint="default" w:ascii="Times New Roman" w:hAnsi="Times New Roman" w:cs="Times New Roman"/>
                <w:b w:val="0"/>
                <w:bCs w:val="0"/>
                <w:color w:val="000000"/>
                <w:sz w:val="20"/>
                <w:szCs w:val="20"/>
                <w:u w:val="none"/>
              </w:rPr>
              <w:t>对运输过程</w:t>
            </w:r>
            <w:r>
              <w:rPr>
                <w:rFonts w:hint="default" w:ascii="Times New Roman" w:hAnsi="Times New Roman" w:cs="Times New Roman"/>
                <w:b w:val="0"/>
                <w:bCs w:val="0"/>
                <w:color w:val="000000"/>
                <w:sz w:val="20"/>
                <w:szCs w:val="20"/>
              </w:rPr>
              <w:t>中成品的数量和质量负责，</w:t>
            </w:r>
            <w:r>
              <w:rPr>
                <w:rFonts w:hint="default" w:ascii="Times New Roman" w:hAnsi="Times New Roman" w:cs="Times New Roman"/>
                <w:b w:val="0"/>
                <w:bCs w:val="0"/>
                <w:color w:val="000000"/>
                <w:sz w:val="20"/>
                <w:szCs w:val="20"/>
                <w:lang w:val="en-US" w:eastAsia="zh-CN"/>
              </w:rPr>
              <w:t>具</w:t>
            </w:r>
            <w:r>
              <w:rPr>
                <w:rFonts w:hint="default" w:ascii="Times New Roman" w:hAnsi="Times New Roman" w:cs="Times New Roman"/>
                <w:b w:val="0"/>
                <w:bCs w:val="0"/>
                <w:color w:val="000000"/>
                <w:sz w:val="20"/>
                <w:szCs w:val="20"/>
              </w:rPr>
              <w:t>有真实完整的配送记录。</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numPr>
                <w:ilvl w:val="0"/>
                <w:numId w:val="0"/>
              </w:numPr>
              <w:spacing w:line="240" w:lineRule="auto"/>
              <w:jc w:val="center"/>
              <w:rPr>
                <w:rFonts w:hint="default" w:ascii="Times New Roman" w:hAnsi="Times New Roman" w:cs="Times New Roman"/>
                <w:b w:val="0"/>
                <w:bCs w:val="0"/>
                <w:color w:val="000000"/>
                <w:sz w:val="20"/>
                <w:szCs w:val="20"/>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312" w:hRule="atLeast"/>
          <w:jc w:val="center"/>
        </w:trPr>
        <w:tc>
          <w:tcPr>
            <w:tcW w:w="66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jc w:val="center"/>
              <w:rPr>
                <w:rFonts w:hint="eastAsia" w:ascii="宋体" w:hAnsi="宋体" w:cs="宋体"/>
                <w:b/>
                <w:bCs/>
                <w:color w:val="000000"/>
                <w:kern w:val="0"/>
                <w:sz w:val="21"/>
                <w:szCs w:val="21"/>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ascii="宋体" w:hAnsi="宋体" w:cs="宋体"/>
                <w:b/>
                <w:bCs/>
                <w:color w:val="000000"/>
                <w:kern w:val="0"/>
                <w:sz w:val="21"/>
                <w:szCs w:val="21"/>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numPr>
                <w:ilvl w:val="0"/>
                <w:numId w:val="0"/>
              </w:numPr>
              <w:spacing w:line="240" w:lineRule="auto"/>
              <w:ind w:left="0" w:leftChars="0" w:firstLine="0" w:firstLineChars="0"/>
              <w:rPr>
                <w:rFonts w:hint="eastAsia" w:ascii="宋体" w:hAnsi="宋体" w:eastAsia="宋体" w:cs="宋体"/>
                <w:b w:val="0"/>
                <w:bCs w:val="0"/>
                <w:color w:val="000000"/>
                <w:kern w:val="0"/>
                <w:sz w:val="20"/>
                <w:szCs w:val="20"/>
                <w:lang w:val="en-US" w:eastAsia="zh-CN"/>
              </w:rPr>
            </w:pPr>
            <w:r>
              <w:rPr>
                <w:rFonts w:hint="eastAsia" w:ascii="宋体" w:hAnsi="宋体" w:eastAsia="宋体" w:cs="宋体"/>
                <w:b w:val="0"/>
                <w:bCs w:val="0"/>
                <w:color w:val="000000"/>
                <w:kern w:val="0"/>
                <w:sz w:val="20"/>
                <w:szCs w:val="20"/>
                <w:lang w:val="en-US" w:eastAsia="zh-CN"/>
              </w:rPr>
              <w:t>1、包装：符合药品包装要求，使用压力、冲击和震动等因素影响。</w:t>
            </w:r>
          </w:p>
          <w:p>
            <w:pPr>
              <w:numPr>
                <w:ilvl w:val="0"/>
                <w:numId w:val="0"/>
              </w:numPr>
              <w:spacing w:line="240" w:lineRule="auto"/>
              <w:ind w:left="0" w:leftChars="0" w:firstLine="0" w:firstLineChars="0"/>
              <w:rPr>
                <w:rFonts w:hint="eastAsia" w:ascii="宋体" w:hAnsi="宋体" w:eastAsia="宋体" w:cs="宋体"/>
                <w:b w:val="0"/>
                <w:bCs w:val="0"/>
                <w:color w:val="000000"/>
                <w:kern w:val="0"/>
                <w:sz w:val="20"/>
                <w:szCs w:val="20"/>
                <w:lang w:val="en-US" w:eastAsia="zh-CN" w:bidi="ar-SA"/>
              </w:rPr>
            </w:pPr>
            <w:r>
              <w:rPr>
                <w:rFonts w:hint="eastAsia" w:ascii="宋体" w:hAnsi="宋体" w:eastAsia="宋体" w:cs="宋体"/>
                <w:b w:val="0"/>
                <w:bCs w:val="0"/>
                <w:color w:val="000000"/>
                <w:kern w:val="0"/>
                <w:sz w:val="20"/>
                <w:szCs w:val="20"/>
                <w:lang w:val="en-US" w:eastAsia="zh-CN"/>
              </w:rPr>
              <w:t>2、出库：经成品检验合格后出库。</w:t>
            </w:r>
          </w:p>
          <w:p>
            <w:pPr>
              <w:numPr>
                <w:ilvl w:val="0"/>
                <w:numId w:val="0"/>
              </w:numPr>
              <w:spacing w:line="240" w:lineRule="auto"/>
              <w:ind w:left="0" w:leftChars="0" w:firstLine="0" w:firstLineChars="0"/>
              <w:rPr>
                <w:rFonts w:hint="eastAsia" w:ascii="宋体" w:hAnsi="宋体" w:eastAsia="宋体" w:cs="宋体"/>
                <w:b w:val="0"/>
                <w:bCs w:val="0"/>
                <w:color w:val="000000"/>
                <w:kern w:val="0"/>
                <w:sz w:val="20"/>
                <w:szCs w:val="20"/>
                <w:lang w:val="en-US" w:eastAsia="zh-CN" w:bidi="ar-SA"/>
              </w:rPr>
            </w:pPr>
            <w:r>
              <w:rPr>
                <w:rFonts w:hint="eastAsia" w:ascii="宋体" w:hAnsi="宋体" w:eastAsia="宋体" w:cs="宋体"/>
                <w:b w:val="0"/>
                <w:bCs w:val="0"/>
                <w:color w:val="000000"/>
                <w:kern w:val="0"/>
                <w:sz w:val="20"/>
                <w:szCs w:val="20"/>
                <w:lang w:val="en-US" w:eastAsia="zh-CN"/>
              </w:rPr>
              <w:t>3、运输：运输过程符合运输药品的存放条件。</w:t>
            </w:r>
          </w:p>
          <w:p>
            <w:pPr>
              <w:numPr>
                <w:ilvl w:val="0"/>
                <w:numId w:val="0"/>
              </w:numPr>
              <w:spacing w:line="240" w:lineRule="auto"/>
              <w:ind w:left="0" w:leftChars="0" w:firstLine="0" w:firstLineChars="0"/>
              <w:rPr>
                <w:rFonts w:hint="eastAsia" w:ascii="宋体" w:hAnsi="宋体" w:eastAsia="宋体" w:cs="宋体"/>
                <w:b w:val="0"/>
                <w:bCs w:val="0"/>
                <w:color w:val="000000"/>
                <w:kern w:val="0"/>
                <w:sz w:val="20"/>
                <w:szCs w:val="20"/>
                <w:lang w:val="en-US" w:eastAsia="zh-CN" w:bidi="ar-SA"/>
              </w:rPr>
            </w:pPr>
            <w:r>
              <w:rPr>
                <w:rFonts w:hint="eastAsia" w:ascii="宋体" w:hAnsi="宋体" w:eastAsia="宋体" w:cs="宋体"/>
                <w:b w:val="0"/>
                <w:bCs w:val="0"/>
                <w:color w:val="000000"/>
                <w:kern w:val="0"/>
                <w:sz w:val="20"/>
                <w:szCs w:val="20"/>
                <w:lang w:val="en-US" w:eastAsia="zh-CN"/>
              </w:rPr>
              <w:t>4、交接验货：双方当面查验药品外观无损坏及污染，数量准确。</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numPr>
                <w:ilvl w:val="0"/>
                <w:numId w:val="0"/>
              </w:numPr>
              <w:spacing w:line="240" w:lineRule="auto"/>
              <w:ind w:left="0" w:leftChars="0" w:firstLine="0" w:firstLineChars="0"/>
              <w:jc w:val="center"/>
              <w:rPr>
                <w:rFonts w:hint="eastAsia" w:ascii="宋体" w:hAnsi="宋体" w:eastAsia="宋体" w:cs="宋体"/>
                <w:b w:val="0"/>
                <w:bCs w:val="0"/>
                <w:color w:val="000000"/>
                <w:kern w:val="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restart"/>
            <w:tcBorders>
              <w:top w:val="single" w:color="auto" w:sz="4" w:space="0"/>
              <w:left w:val="single" w:color="auto" w:sz="4" w:space="0"/>
              <w:right w:val="single" w:color="auto" w:sz="4" w:space="0"/>
            </w:tcBorders>
            <w:shd w:val="clear" w:color="000000" w:fill="FFFFFF"/>
            <w:noWrap w:val="0"/>
            <w:vAlign w:val="center"/>
          </w:tcPr>
          <w:p>
            <w:pPr>
              <w:widowControl/>
              <w:spacing w:line="240" w:lineRule="auto"/>
              <w:jc w:val="center"/>
              <w:rPr>
                <w:rFonts w:hint="eastAsia" w:ascii="宋体" w:hAnsi="宋体" w:eastAsia="宋体" w:cs="宋体"/>
                <w:b/>
                <w:bCs/>
                <w:color w:val="000000"/>
                <w:kern w:val="0"/>
                <w:sz w:val="21"/>
                <w:szCs w:val="21"/>
                <w:lang w:val="en-US" w:eastAsia="zh-CN"/>
              </w:rPr>
            </w:pPr>
            <w:r>
              <w:rPr>
                <w:rFonts w:hint="eastAsia" w:ascii="宋体" w:hAnsi="宋体" w:cs="宋体"/>
                <w:b/>
                <w:bCs/>
                <w:color w:val="000000"/>
                <w:kern w:val="0"/>
                <w:sz w:val="21"/>
                <w:szCs w:val="21"/>
                <w:lang w:val="en-US" w:eastAsia="zh-CN"/>
              </w:rPr>
              <w:t>3</w:t>
            </w:r>
          </w:p>
        </w:tc>
        <w:tc>
          <w:tcPr>
            <w:tcW w:w="1475"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jc w:val="center"/>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企业能力</w:t>
            </w: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numPr>
                <w:ilvl w:val="0"/>
                <w:numId w:val="2"/>
              </w:numPr>
              <w:spacing w:line="240" w:lineRule="auto"/>
              <w:jc w:val="left"/>
              <w:rPr>
                <w:rFonts w:hint="eastAsia" w:ascii="宋体" w:hAnsi="宋体"/>
                <w:color w:val="000000"/>
                <w:sz w:val="20"/>
                <w:szCs w:val="20"/>
                <w:lang w:val="en-US" w:eastAsia="zh-CN"/>
              </w:rPr>
            </w:pPr>
            <w:r>
              <w:rPr>
                <w:rFonts w:hint="eastAsia" w:ascii="宋体" w:hAnsi="宋体"/>
                <w:color w:val="000000"/>
                <w:sz w:val="20"/>
                <w:szCs w:val="20"/>
                <w:lang w:val="en-US" w:eastAsia="zh-CN"/>
              </w:rPr>
              <w:t>企业资质情况</w:t>
            </w:r>
          </w:p>
          <w:p>
            <w:pPr>
              <w:numPr>
                <w:ilvl w:val="0"/>
                <w:numId w:val="0"/>
              </w:numPr>
              <w:spacing w:line="240" w:lineRule="auto"/>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具有保证中药制剂-颗粒剂生产质量的管理制度、流程、规范。</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numPr>
                <w:ilvl w:val="0"/>
                <w:numId w:val="0"/>
              </w:num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430"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eastAsia" w:ascii="宋体" w:hAnsi="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widowControl/>
              <w:spacing w:line="240" w:lineRule="auto"/>
              <w:jc w:val="center"/>
              <w:rPr>
                <w:rFonts w:hint="eastAsia" w:ascii="宋体" w:hAnsi="宋体"/>
                <w:color w:val="000000"/>
                <w:sz w:val="20"/>
                <w:szCs w:val="20"/>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numPr>
                <w:ilvl w:val="0"/>
                <w:numId w:val="0"/>
              </w:numPr>
              <w:spacing w:line="240" w:lineRule="auto"/>
              <w:jc w:val="left"/>
              <w:rPr>
                <w:rFonts w:hint="eastAsia" w:ascii="宋体" w:hAnsi="宋体"/>
                <w:color w:val="000000"/>
                <w:sz w:val="20"/>
                <w:szCs w:val="20"/>
                <w:lang w:val="en-US" w:eastAsia="zh-CN"/>
              </w:rPr>
            </w:pPr>
            <w:r>
              <w:rPr>
                <w:rFonts w:hint="eastAsia" w:ascii="宋体" w:hAnsi="宋体"/>
                <w:color w:val="000000"/>
                <w:sz w:val="20"/>
                <w:szCs w:val="20"/>
                <w:lang w:val="en-US" w:eastAsia="zh-CN"/>
              </w:rPr>
              <w:t>（二）中药饮片和中药提取颗粒的管理</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numPr>
                <w:ilvl w:val="0"/>
                <w:numId w:val="0"/>
              </w:numPr>
              <w:spacing w:line="240" w:lineRule="auto"/>
              <w:jc w:val="left"/>
              <w:rPr>
                <w:rFonts w:hint="eastAsia" w:ascii="宋体" w:hAnsi="宋体"/>
                <w:color w:val="000000"/>
                <w:sz w:val="20"/>
                <w:szCs w:val="20"/>
                <w:lang w:val="en-US" w:eastAsia="zh-CN"/>
              </w:rPr>
            </w:pP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1、具有中药饮片储存、调配、配送所使用的场地、设备、环境卫生和人员资质等必须符合国家相关法律法规的要求。</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2、中药颗粒剂的生产有一系列的生产和质量管理流程。</w:t>
            </w:r>
            <w:r>
              <w:rPr>
                <w:rFonts w:hint="eastAsia" w:ascii="宋体" w:hAnsi="宋体" w:eastAsia="宋体" w:cs="Times New Roman"/>
                <w:color w:val="000000"/>
                <w:sz w:val="20"/>
                <w:szCs w:val="20"/>
                <w:lang w:val="en-US" w:eastAsia="zh-CN"/>
              </w:rPr>
              <w:t>有严格的内控药品标准（包括原料、各单元工艺环节物料、颗粒成品检验标准及过程控制指标），明确生产全过程质量控制的措施、关键质控点及相关质量要求，使作为提取用原料的中药饮片、作为制剂用原料的中间体和作为终产品的成品符合相关部门规定，保证颗粒的质量。</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310"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ind w:firstLine="0" w:firstLineChars="0"/>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（三）中药制剂生产设施与检验检测能力</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ind w:firstLine="0" w:firstLineChars="0"/>
              <w:jc w:val="left"/>
              <w:rPr>
                <w:rFonts w:hint="eastAsia" w:ascii="宋体" w:hAnsi="宋体"/>
                <w:color w:val="000000"/>
                <w:sz w:val="20"/>
                <w:szCs w:val="20"/>
                <w:lang w:val="en-US" w:eastAsia="zh-CN"/>
              </w:rPr>
            </w:pP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1、拟提供的制剂车间需有满足采购人制剂所需的关键设备，包括但不限于提取浓缩机组、喷雾干燥、湿法制粒机、混合机。</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385"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2、具备原辅料及成品的检测能力。</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3、人员资质：药学初级或</w:t>
            </w:r>
            <w:r>
              <w:rPr>
                <w:rFonts w:hint="eastAsia"/>
                <w:color w:val="000000"/>
                <w:sz w:val="20"/>
                <w:szCs w:val="21"/>
                <w:lang w:val="en-US" w:eastAsia="zh-CN"/>
              </w:rPr>
              <w:t>以上职称</w:t>
            </w:r>
            <w:r>
              <w:rPr>
                <w:rFonts w:hint="eastAsia" w:ascii="宋体" w:hAnsi="宋体"/>
                <w:color w:val="000000"/>
                <w:sz w:val="20"/>
                <w:szCs w:val="20"/>
                <w:lang w:val="en-US" w:eastAsia="zh-CN"/>
              </w:rPr>
              <w:t>5名</w:t>
            </w:r>
            <w:r>
              <w:rPr>
                <w:rFonts w:hint="eastAsia"/>
                <w:color w:val="000000"/>
                <w:sz w:val="20"/>
                <w:szCs w:val="21"/>
                <w:lang w:val="en-US" w:eastAsia="zh-CN"/>
              </w:rPr>
              <w:t>或</w:t>
            </w:r>
            <w:r>
              <w:rPr>
                <w:rFonts w:hint="eastAsia" w:ascii="宋体" w:hAnsi="宋体"/>
                <w:color w:val="000000"/>
                <w:sz w:val="20"/>
                <w:szCs w:val="20"/>
                <w:lang w:val="en-US" w:eastAsia="zh-CN"/>
              </w:rPr>
              <w:t>以上，中药学中级或以上职称1名或以上。</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350"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ind w:firstLine="0" w:firstLineChars="0"/>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（四）质量管理规范</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ind w:firstLine="0" w:firstLineChars="0"/>
              <w:jc w:val="left"/>
              <w:rPr>
                <w:rFonts w:hint="eastAsia" w:ascii="宋体" w:hAnsi="宋体"/>
                <w:color w:val="000000"/>
                <w:sz w:val="20"/>
                <w:szCs w:val="20"/>
                <w:lang w:val="en-US" w:eastAsia="zh-CN"/>
              </w:rPr>
            </w:pPr>
          </w:p>
        </w:tc>
      </w:tr>
      <w:tr>
        <w:tblPrEx>
          <w:tblCellMar>
            <w:top w:w="0" w:type="dxa"/>
            <w:left w:w="108" w:type="dxa"/>
            <w:bottom w:w="0" w:type="dxa"/>
            <w:right w:w="108" w:type="dxa"/>
          </w:tblCellMar>
        </w:tblPrEx>
        <w:trPr>
          <w:trHeight w:val="310"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1、具有生产质量管理体系。</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2、有自己的售后服务团队，能够及时处理医生、药师、患者咨询、投诉等。</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445"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3、生产投料期间接受采购人对原材料现场取样与检查。</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380"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ind w:firstLine="0" w:firstLineChars="0"/>
              <w:jc w:val="left"/>
              <w:rPr>
                <w:rFonts w:hint="default" w:ascii="宋体" w:hAnsi="宋体" w:cs="宋体"/>
                <w:b/>
                <w:bCs/>
                <w:color w:val="000000"/>
                <w:kern w:val="0"/>
                <w:sz w:val="21"/>
                <w:szCs w:val="21"/>
                <w:lang w:val="en-US"/>
              </w:rPr>
            </w:pPr>
            <w:r>
              <w:rPr>
                <w:rFonts w:hint="eastAsia" w:ascii="宋体" w:hAnsi="宋体"/>
                <w:color w:val="000000"/>
                <w:sz w:val="20"/>
                <w:szCs w:val="20"/>
                <w:lang w:val="en-US" w:eastAsia="zh-CN"/>
              </w:rPr>
              <w:t>（五）生产与供应能力  </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ind w:firstLine="0" w:firstLineChars="0"/>
              <w:jc w:val="left"/>
              <w:rPr>
                <w:rFonts w:hint="eastAsia" w:ascii="宋体" w:hAnsi="宋体"/>
                <w:color w:val="000000"/>
                <w:sz w:val="20"/>
                <w:szCs w:val="20"/>
                <w:lang w:val="en-US" w:eastAsia="zh-CN"/>
              </w:rPr>
            </w:pPr>
          </w:p>
        </w:tc>
      </w:tr>
      <w:tr>
        <w:tblPrEx>
          <w:tblCellMar>
            <w:top w:w="0" w:type="dxa"/>
            <w:left w:w="108" w:type="dxa"/>
            <w:bottom w:w="0" w:type="dxa"/>
            <w:right w:w="108" w:type="dxa"/>
          </w:tblCellMar>
        </w:tblPrEx>
        <w:trPr>
          <w:trHeight w:val="90"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right w:val="single" w:color="auto" w:sz="4" w:space="0"/>
            </w:tcBorders>
            <w:shd w:val="clear" w:color="000000" w:fill="FFFFFF"/>
            <w:noWrap w:val="0"/>
            <w:vAlign w:val="top"/>
          </w:tcPr>
          <w:p>
            <w:pPr>
              <w:spacing w:line="240" w:lineRule="auto"/>
              <w:jc w:val="left"/>
              <w:rPr>
                <w:rFonts w:hint="eastAsia" w:ascii="宋体" w:hAnsi="宋体"/>
                <w:color w:val="000000"/>
                <w:sz w:val="20"/>
                <w:szCs w:val="20"/>
                <w:lang w:val="en-US" w:eastAsia="zh-CN"/>
              </w:rPr>
            </w:pPr>
            <w:r>
              <w:rPr>
                <w:rFonts w:hint="eastAsia" w:ascii="宋体" w:hAnsi="宋体"/>
                <w:color w:val="000000"/>
                <w:sz w:val="20"/>
                <w:szCs w:val="20"/>
                <w:lang w:val="en-US" w:eastAsia="zh-CN"/>
              </w:rPr>
              <w:t>1、交货期：</w:t>
            </w:r>
          </w:p>
          <w:p>
            <w:pPr>
              <w:spacing w:line="240" w:lineRule="auto"/>
              <w:jc w:val="both"/>
              <w:rPr>
                <w:rFonts w:hint="default" w:ascii="宋体" w:hAnsi="宋体" w:cs="宋体"/>
                <w:b/>
                <w:bCs/>
                <w:color w:val="000000"/>
                <w:kern w:val="0"/>
                <w:sz w:val="21"/>
                <w:szCs w:val="21"/>
                <w:lang w:val="en-US"/>
              </w:rPr>
            </w:pPr>
            <w:r>
              <w:rPr>
                <w:rFonts w:hint="eastAsia" w:ascii="宋体" w:hAnsi="宋体" w:eastAsia="宋体" w:cs="宋体"/>
                <w:b w:val="0"/>
                <w:bCs w:val="0"/>
                <w:color w:val="000000"/>
                <w:sz w:val="20"/>
                <w:szCs w:val="20"/>
                <w:u w:val="none"/>
                <w:lang w:eastAsia="zh-CN"/>
              </w:rPr>
              <w:t>在收到采购人的生产计划，</w:t>
            </w:r>
            <w:r>
              <w:rPr>
                <w:rFonts w:hint="eastAsia" w:ascii="宋体" w:hAnsi="宋体" w:cs="宋体"/>
                <w:b w:val="0"/>
                <w:bCs w:val="0"/>
                <w:color w:val="000000"/>
                <w:sz w:val="20"/>
                <w:szCs w:val="20"/>
                <w:u w:val="none"/>
                <w:lang w:val="en-US" w:eastAsia="zh-CN"/>
              </w:rPr>
              <w:t>60日历</w:t>
            </w:r>
            <w:r>
              <w:rPr>
                <w:rFonts w:hint="eastAsia" w:ascii="宋体" w:hAnsi="宋体" w:eastAsia="宋体" w:cs="宋体"/>
                <w:b w:val="0"/>
                <w:bCs w:val="0"/>
                <w:color w:val="000000"/>
                <w:sz w:val="20"/>
                <w:szCs w:val="20"/>
                <w:u w:val="none"/>
                <w:lang w:val="en-US" w:eastAsia="zh-CN"/>
              </w:rPr>
              <w:t>日内将生产完成后的产品送到医院</w:t>
            </w:r>
            <w:r>
              <w:rPr>
                <w:rFonts w:hint="eastAsia" w:ascii="宋体" w:hAnsi="宋体" w:cs="宋体"/>
                <w:b w:val="0"/>
                <w:bCs w:val="0"/>
                <w:color w:val="000000"/>
                <w:sz w:val="20"/>
                <w:szCs w:val="20"/>
                <w:u w:val="none"/>
                <w:lang w:val="en-US" w:eastAsia="zh-CN"/>
              </w:rPr>
              <w:t>，并附上成品检验报告书</w:t>
            </w:r>
            <w:r>
              <w:rPr>
                <w:rFonts w:hint="eastAsia" w:ascii="宋体" w:hAnsi="宋体" w:eastAsia="宋体" w:cs="宋体"/>
                <w:b w:val="0"/>
                <w:bCs w:val="0"/>
                <w:color w:val="000000"/>
                <w:sz w:val="20"/>
                <w:szCs w:val="20"/>
                <w:u w:val="none"/>
                <w:lang w:val="en-US" w:eastAsia="zh-CN"/>
              </w:rPr>
              <w:t>。</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val="0"/>
                <w:bCs w:val="0"/>
                <w:color w:val="000000"/>
                <w:sz w:val="20"/>
                <w:szCs w:val="20"/>
                <w:u w:val="none"/>
                <w:lang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eastAsia" w:ascii="宋体" w:hAnsi="宋体"/>
                <w:color w:val="000000"/>
                <w:sz w:val="20"/>
                <w:szCs w:val="20"/>
                <w:lang w:val="en-US" w:eastAsia="zh-CN"/>
              </w:rPr>
            </w:pPr>
            <w:r>
              <w:rPr>
                <w:rFonts w:hint="eastAsia" w:ascii="宋体" w:hAnsi="宋体"/>
                <w:color w:val="000000"/>
                <w:sz w:val="20"/>
                <w:szCs w:val="20"/>
                <w:lang w:val="en-US" w:eastAsia="zh-CN"/>
              </w:rPr>
              <w:t>2、产能：</w:t>
            </w:r>
          </w:p>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提取：能够提供的提取罐产能不低于200吨/年。</w:t>
            </w:r>
          </w:p>
          <w:p>
            <w:pPr>
              <w:spacing w:line="240" w:lineRule="auto"/>
              <w:jc w:val="both"/>
              <w:rPr>
                <w:rFonts w:hint="default"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 xml:space="preserve">制粒：能够提供的湿法制粒产能不低于160吨/年 。   </w:t>
            </w:r>
          </w:p>
          <w:p>
            <w:pPr>
              <w:spacing w:line="240" w:lineRule="auto"/>
              <w:jc w:val="both"/>
              <w:rPr>
                <w:rFonts w:hint="eastAsia" w:ascii="宋体" w:hAnsi="宋体" w:eastAsia="宋体" w:cs="宋体"/>
                <w:b w:val="0"/>
                <w:bCs w:val="0"/>
                <w:color w:val="000000"/>
                <w:sz w:val="20"/>
                <w:szCs w:val="20"/>
                <w:u w:val="none"/>
                <w:lang w:eastAsia="zh-CN"/>
              </w:rPr>
            </w:pPr>
            <w:r>
              <w:rPr>
                <w:rFonts w:hint="eastAsia" w:ascii="宋体" w:hAnsi="宋体" w:eastAsia="宋体" w:cs="宋体"/>
                <w:b w:val="0"/>
                <w:bCs w:val="0"/>
                <w:color w:val="000000"/>
                <w:sz w:val="20"/>
                <w:szCs w:val="20"/>
                <w:u w:val="none"/>
                <w:lang w:val="en-US" w:eastAsia="zh-CN"/>
              </w:rPr>
              <w:t>包装：能够提供的颗粒填充机产能不低于1000万袋/年。</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val="0"/>
                <w:bCs w:val="0"/>
                <w:color w:val="000000"/>
                <w:sz w:val="20"/>
                <w:szCs w:val="20"/>
                <w:u w:val="none"/>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395"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ind w:firstLine="0" w:firstLineChars="0"/>
              <w:jc w:val="left"/>
              <w:rPr>
                <w:rFonts w:hint="eastAsia" w:ascii="宋体" w:hAnsi="宋体"/>
                <w:color w:val="000000"/>
                <w:sz w:val="20"/>
                <w:szCs w:val="20"/>
                <w:lang w:val="en-US" w:eastAsia="zh-CN"/>
              </w:rPr>
            </w:pPr>
            <w:r>
              <w:rPr>
                <w:rFonts w:hint="eastAsia" w:ascii="宋体" w:hAnsi="宋体"/>
                <w:color w:val="000000"/>
                <w:sz w:val="20"/>
                <w:szCs w:val="20"/>
                <w:lang w:val="en-US" w:eastAsia="zh-CN"/>
              </w:rPr>
              <w:t>（六）增值服务</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ind w:firstLine="0" w:firstLineChars="0"/>
              <w:jc w:val="left"/>
              <w:rPr>
                <w:rFonts w:hint="eastAsia" w:ascii="宋体" w:hAnsi="宋体"/>
                <w:color w:val="000000"/>
                <w:sz w:val="20"/>
                <w:szCs w:val="20"/>
                <w:lang w:val="en-US" w:eastAsia="zh-CN"/>
              </w:rPr>
            </w:pPr>
          </w:p>
        </w:tc>
      </w:tr>
      <w:tr>
        <w:tblPrEx>
          <w:tblCellMar>
            <w:top w:w="0" w:type="dxa"/>
            <w:left w:w="108" w:type="dxa"/>
            <w:bottom w:w="0" w:type="dxa"/>
            <w:right w:w="108" w:type="dxa"/>
          </w:tblCellMar>
        </w:tblPrEx>
        <w:trPr>
          <w:trHeight w:val="410"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eastAsia" w:ascii="宋体" w:hAnsi="宋体"/>
                <w:color w:val="000000"/>
                <w:sz w:val="20"/>
                <w:szCs w:val="20"/>
                <w:lang w:val="en-US" w:eastAsia="zh-CN"/>
              </w:rPr>
            </w:pPr>
            <w:r>
              <w:rPr>
                <w:rFonts w:hint="eastAsia" w:ascii="宋体" w:hAnsi="宋体"/>
                <w:color w:val="000000"/>
                <w:sz w:val="20"/>
                <w:szCs w:val="20"/>
                <w:lang w:val="en-US" w:eastAsia="zh-CN"/>
              </w:rPr>
              <w:t>1、协助采购人改进产品的生产工艺、提升产品质量控制标准。</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400"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eastAsia" w:ascii="宋体" w:hAnsi="宋体"/>
                <w:color w:val="000000"/>
                <w:sz w:val="20"/>
                <w:szCs w:val="20"/>
                <w:lang w:val="en-US" w:eastAsia="zh-CN"/>
              </w:rPr>
            </w:pPr>
            <w:r>
              <w:rPr>
                <w:rFonts w:hint="eastAsia" w:ascii="宋体" w:hAnsi="宋体"/>
                <w:color w:val="000000"/>
                <w:sz w:val="20"/>
                <w:szCs w:val="20"/>
                <w:lang w:val="en-US" w:eastAsia="zh-CN"/>
              </w:rPr>
              <w:t>2、开展稳定性试验，协助延长产品效期。</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olor w:val="000000"/>
                <w:sz w:val="20"/>
                <w:szCs w:val="20"/>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vMerge w:val="continue"/>
            <w:tcBorders>
              <w:left w:val="single" w:color="auto" w:sz="4" w:space="0"/>
              <w:bottom w:val="single" w:color="auto" w:sz="4" w:space="0"/>
              <w:right w:val="single" w:color="auto" w:sz="4" w:space="0"/>
            </w:tcBorders>
            <w:shd w:val="clear" w:color="000000" w:fill="FFFFFF"/>
            <w:noWrap w:val="0"/>
            <w:vAlign w:val="center"/>
          </w:tcPr>
          <w:p>
            <w:pPr>
              <w:widowControl/>
              <w:spacing w:line="240" w:lineRule="auto"/>
              <w:jc w:val="left"/>
              <w:rPr>
                <w:rFonts w:hint="default" w:ascii="宋体" w:hAnsi="宋体" w:eastAsia="宋体" w:cs="宋体"/>
                <w:b/>
                <w:bCs/>
                <w:color w:val="000000"/>
                <w:kern w:val="0"/>
                <w:sz w:val="21"/>
                <w:szCs w:val="21"/>
                <w:lang w:val="en-US" w:eastAsia="zh-CN"/>
              </w:rPr>
            </w:pPr>
          </w:p>
        </w:tc>
        <w:tc>
          <w:tcPr>
            <w:tcW w:w="1475"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rPr>
                <w:rFonts w:hint="default" w:ascii="宋体" w:hAnsi="宋体" w:cs="宋体"/>
                <w:b/>
                <w:bCs/>
                <w:color w:val="000000"/>
                <w:kern w:val="0"/>
                <w:sz w:val="21"/>
                <w:szCs w:val="21"/>
                <w:lang w:val="en-US"/>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top"/>
          </w:tcPr>
          <w:p>
            <w:pPr>
              <w:spacing w:line="240" w:lineRule="auto"/>
              <w:jc w:val="left"/>
              <w:rPr>
                <w:rFonts w:hint="eastAsia" w:ascii="宋体" w:hAnsi="宋体"/>
                <w:color w:val="000000"/>
                <w:sz w:val="20"/>
                <w:szCs w:val="20"/>
                <w:lang w:val="en-US" w:eastAsia="zh-CN"/>
              </w:rPr>
            </w:pPr>
            <w:r>
              <w:rPr>
                <w:rFonts w:hint="eastAsia" w:ascii="宋体" w:hAnsi="宋体" w:cs="Times New Roman"/>
                <w:b w:val="0"/>
                <w:bCs w:val="0"/>
                <w:color w:val="000000"/>
                <w:kern w:val="2"/>
                <w:sz w:val="20"/>
                <w:szCs w:val="20"/>
                <w:u w:val="none"/>
                <w:lang w:val="en-US" w:eastAsia="zh-CN"/>
              </w:rPr>
              <w:t>3、</w:t>
            </w:r>
            <w:r>
              <w:rPr>
                <w:rFonts w:hint="eastAsia" w:ascii="宋体" w:hAnsi="宋体" w:eastAsia="宋体" w:cs="Times New Roman"/>
                <w:b w:val="0"/>
                <w:bCs w:val="0"/>
                <w:color w:val="000000"/>
                <w:kern w:val="2"/>
                <w:sz w:val="20"/>
                <w:szCs w:val="20"/>
                <w:u w:val="none"/>
                <w:lang w:eastAsia="zh-CN"/>
              </w:rPr>
              <w:t>提供</w:t>
            </w:r>
            <w:r>
              <w:rPr>
                <w:rFonts w:hint="eastAsia" w:ascii="宋体" w:hAnsi="宋体" w:eastAsia="宋体" w:cs="Times New Roman"/>
                <w:color w:val="000000"/>
                <w:kern w:val="2"/>
                <w:sz w:val="20"/>
                <w:szCs w:val="20"/>
              </w:rPr>
              <w:t>与项目相关的人才培养服务</w:t>
            </w:r>
            <w:r>
              <w:rPr>
                <w:rFonts w:hint="eastAsia" w:ascii="宋体" w:hAnsi="宋体" w:cs="Times New Roman"/>
                <w:color w:val="000000"/>
                <w:kern w:val="2"/>
                <w:sz w:val="20"/>
                <w:szCs w:val="20"/>
                <w:u w:val="none"/>
                <w:lang w:val="en-US" w:eastAsia="zh-CN"/>
              </w:rPr>
              <w:t>；</w:t>
            </w:r>
            <w:r>
              <w:rPr>
                <w:rFonts w:hint="eastAsia" w:ascii="宋体" w:hAnsi="宋体" w:eastAsia="宋体" w:cs="Times New Roman"/>
                <w:color w:val="000000"/>
                <w:kern w:val="2"/>
                <w:sz w:val="20"/>
                <w:szCs w:val="20"/>
                <w:lang w:val="en-US" w:eastAsia="zh-CN"/>
              </w:rPr>
              <w:t>指导申报</w:t>
            </w:r>
            <w:r>
              <w:rPr>
                <w:rFonts w:hint="eastAsia" w:ascii="宋体" w:hAnsi="宋体" w:eastAsia="宋体" w:cs="Times New Roman"/>
                <w:color w:val="000000"/>
                <w:kern w:val="2"/>
                <w:sz w:val="20"/>
                <w:szCs w:val="20"/>
              </w:rPr>
              <w:t>与项目相关</w:t>
            </w:r>
            <w:r>
              <w:rPr>
                <w:rFonts w:hint="eastAsia" w:ascii="宋体" w:hAnsi="宋体" w:eastAsia="宋体" w:cs="Times New Roman"/>
                <w:color w:val="000000"/>
                <w:kern w:val="2"/>
                <w:sz w:val="20"/>
                <w:szCs w:val="20"/>
                <w:lang w:val="en-US" w:eastAsia="zh-CN"/>
              </w:rPr>
              <w:t>的</w:t>
            </w:r>
            <w:r>
              <w:rPr>
                <w:rFonts w:hint="eastAsia" w:ascii="宋体" w:hAnsi="宋体" w:cs="Times New Roman"/>
                <w:color w:val="000000"/>
                <w:kern w:val="2"/>
                <w:sz w:val="20"/>
                <w:szCs w:val="20"/>
                <w:lang w:val="en-US" w:eastAsia="zh-CN"/>
              </w:rPr>
              <w:t>科研</w:t>
            </w:r>
            <w:r>
              <w:rPr>
                <w:rFonts w:hint="eastAsia" w:ascii="宋体" w:hAnsi="宋体" w:eastAsia="宋体" w:cs="Times New Roman"/>
                <w:color w:val="000000"/>
                <w:sz w:val="20"/>
                <w:szCs w:val="20"/>
                <w:lang w:val="en-US" w:eastAsia="zh-CN"/>
              </w:rPr>
              <w:t>课题研究项目</w:t>
            </w:r>
            <w:r>
              <w:rPr>
                <w:rFonts w:hint="eastAsia" w:ascii="宋体" w:hAnsi="宋体" w:cs="Times New Roman"/>
                <w:color w:val="000000"/>
                <w:sz w:val="20"/>
                <w:szCs w:val="20"/>
                <w:lang w:val="en-US" w:eastAsia="zh-CN"/>
              </w:rPr>
              <w:t>。</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cs="Times New Roman"/>
                <w:b w:val="0"/>
                <w:bCs w:val="0"/>
                <w:color w:val="000000"/>
                <w:kern w:val="2"/>
                <w:sz w:val="20"/>
                <w:szCs w:val="20"/>
                <w:u w:val="none"/>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jc w:val="center"/>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4</w:t>
            </w:r>
          </w:p>
        </w:tc>
        <w:tc>
          <w:tcPr>
            <w:tcW w:w="147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jc w:val="center"/>
              <w:rPr>
                <w:rFonts w:hint="eastAsia" w:ascii="宋体" w:hAnsi="宋体" w:cs="Times New Roman"/>
                <w:b w:val="0"/>
                <w:bCs w:val="0"/>
                <w:color w:val="000000"/>
                <w:kern w:val="2"/>
                <w:sz w:val="20"/>
                <w:szCs w:val="20"/>
                <w:u w:val="none"/>
                <w:lang w:val="en-US" w:eastAsia="zh-CN"/>
              </w:rPr>
            </w:pPr>
            <w:r>
              <w:rPr>
                <w:rFonts w:hint="eastAsia" w:ascii="宋体" w:hAnsi="宋体" w:eastAsia="宋体" w:cs="Times New Roman"/>
                <w:color w:val="000000"/>
                <w:sz w:val="20"/>
                <w:szCs w:val="20"/>
                <w:lang w:val="en-US" w:eastAsia="zh-CN"/>
              </w:rPr>
              <w:t>项目商务要求</w:t>
            </w: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（一）服务期限：</w:t>
            </w:r>
          </w:p>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为保证产品质量稳定性与延续性，合作年限初定一年，合作期间药品质量及满意度评估合格，每次续签1年，合作续签不超过两次。若合作期间出现严重药品质量问题，或每年合作质量与满意度评估，评价不满意（具体评价细则另行制定），院方将重新启动招标。</w:t>
            </w:r>
          </w:p>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（二）服务地点：</w:t>
            </w:r>
          </w:p>
          <w:p>
            <w:pPr>
              <w:spacing w:line="240" w:lineRule="auto"/>
              <w:jc w:val="both"/>
              <w:rPr>
                <w:rFonts w:hint="eastAsia" w:ascii="宋体" w:hAnsi="宋体" w:cs="Times New Roman"/>
                <w:b w:val="0"/>
                <w:bCs w:val="0"/>
                <w:color w:val="000000"/>
                <w:kern w:val="2"/>
                <w:sz w:val="20"/>
                <w:szCs w:val="20"/>
                <w:u w:val="none"/>
                <w:lang w:val="en-US" w:eastAsia="zh-CN"/>
              </w:rPr>
            </w:pPr>
            <w:r>
              <w:rPr>
                <w:rFonts w:hint="eastAsia" w:ascii="宋体" w:hAnsi="宋体" w:eastAsia="宋体" w:cs="宋体"/>
                <w:b w:val="0"/>
                <w:bCs w:val="0"/>
                <w:color w:val="000000"/>
                <w:sz w:val="20"/>
                <w:szCs w:val="20"/>
                <w:u w:val="none"/>
                <w:lang w:val="en-US" w:eastAsia="zh-CN"/>
              </w:rPr>
              <w:t>深圳市。</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val="0"/>
                <w:bCs w:val="0"/>
                <w:color w:val="000000"/>
                <w:sz w:val="20"/>
                <w:szCs w:val="20"/>
                <w:u w:val="none"/>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45" w:hRule="atLeast"/>
          <w:jc w:val="center"/>
        </w:trPr>
        <w:tc>
          <w:tcPr>
            <w:tcW w:w="66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40" w:lineRule="auto"/>
              <w:jc w:val="center"/>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5</w:t>
            </w:r>
          </w:p>
        </w:tc>
        <w:tc>
          <w:tcPr>
            <w:tcW w:w="147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center"/>
              <w:rPr>
                <w:rFonts w:hint="default" w:ascii="宋体" w:hAnsi="宋体" w:cs="Times New Roman"/>
                <w:b w:val="0"/>
                <w:bCs w:val="0"/>
                <w:color w:val="000000"/>
                <w:kern w:val="2"/>
                <w:sz w:val="20"/>
                <w:szCs w:val="20"/>
                <w:u w:val="none"/>
                <w:lang w:val="en-US" w:eastAsia="zh-CN"/>
              </w:rPr>
            </w:pPr>
            <w:r>
              <w:rPr>
                <w:rFonts w:hint="eastAsia" w:ascii="宋体" w:hAnsi="宋体" w:cs="Times New Roman"/>
                <w:b w:val="0"/>
                <w:bCs w:val="0"/>
                <w:color w:val="000000"/>
                <w:kern w:val="2"/>
                <w:sz w:val="20"/>
                <w:szCs w:val="20"/>
                <w:u w:val="none"/>
                <w:lang w:val="en-US" w:eastAsia="zh-CN"/>
              </w:rPr>
              <w:t>报价要求</w:t>
            </w: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default"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1、本</w:t>
            </w:r>
            <w:r>
              <w:rPr>
                <w:rFonts w:hint="default" w:ascii="宋体" w:hAnsi="宋体" w:eastAsia="宋体" w:cs="宋体"/>
                <w:b w:val="0"/>
                <w:bCs w:val="0"/>
                <w:color w:val="000000"/>
                <w:sz w:val="20"/>
                <w:szCs w:val="20"/>
                <w:u w:val="none"/>
                <w:lang w:val="en-US" w:eastAsia="zh-CN"/>
              </w:rPr>
              <w:t>项目报价包括委托生产所用的中药饮片、辅料、内外包装材料、标签及说明书</w:t>
            </w:r>
            <w:r>
              <w:rPr>
                <w:rFonts w:hint="eastAsia" w:ascii="宋体" w:hAnsi="宋体" w:eastAsia="宋体" w:cs="宋体"/>
                <w:b w:val="0"/>
                <w:bCs w:val="0"/>
                <w:color w:val="000000"/>
                <w:sz w:val="20"/>
                <w:szCs w:val="20"/>
                <w:u w:val="none"/>
                <w:lang w:val="en-US" w:eastAsia="zh-CN"/>
              </w:rPr>
              <w:t>等生产物资的购买，制剂</w:t>
            </w:r>
            <w:r>
              <w:rPr>
                <w:rFonts w:hint="default" w:ascii="宋体" w:hAnsi="宋体" w:eastAsia="宋体" w:cs="宋体"/>
                <w:b w:val="0"/>
                <w:bCs w:val="0"/>
                <w:color w:val="000000"/>
                <w:sz w:val="20"/>
                <w:szCs w:val="20"/>
                <w:u w:val="none"/>
                <w:lang w:val="en-US" w:eastAsia="zh-CN"/>
              </w:rPr>
              <w:t>检验(</w:t>
            </w:r>
            <w:r>
              <w:rPr>
                <w:rFonts w:hint="eastAsia" w:ascii="宋体" w:hAnsi="宋体" w:eastAsia="宋体" w:cs="宋体"/>
                <w:b w:val="0"/>
                <w:bCs w:val="0"/>
                <w:color w:val="000000"/>
                <w:sz w:val="20"/>
                <w:szCs w:val="20"/>
                <w:u w:val="none"/>
                <w:lang w:val="en-US" w:eastAsia="zh-CN"/>
              </w:rPr>
              <w:t>中药饮片</w:t>
            </w:r>
            <w:r>
              <w:rPr>
                <w:rFonts w:hint="default" w:ascii="宋体" w:hAnsi="宋体" w:eastAsia="宋体" w:cs="宋体"/>
                <w:b w:val="0"/>
                <w:bCs w:val="0"/>
                <w:color w:val="000000"/>
                <w:sz w:val="20"/>
                <w:szCs w:val="20"/>
                <w:u w:val="none"/>
                <w:lang w:val="en-US" w:eastAsia="zh-CN"/>
              </w:rPr>
              <w:t>、中间品、成品）、配制、包装、仓储、物流运输等</w:t>
            </w:r>
            <w:r>
              <w:rPr>
                <w:rFonts w:hint="eastAsia" w:ascii="宋体" w:hAnsi="宋体" w:eastAsia="宋体" w:cs="宋体"/>
                <w:b w:val="0"/>
                <w:bCs w:val="0"/>
                <w:color w:val="000000"/>
                <w:sz w:val="20"/>
                <w:szCs w:val="20"/>
                <w:u w:val="none"/>
                <w:lang w:val="en-US" w:eastAsia="zh-CN"/>
              </w:rPr>
              <w:t>所有流程的</w:t>
            </w:r>
            <w:r>
              <w:rPr>
                <w:rFonts w:hint="default" w:ascii="宋体" w:hAnsi="宋体" w:eastAsia="宋体" w:cs="宋体"/>
                <w:b w:val="0"/>
                <w:bCs w:val="0"/>
                <w:color w:val="000000"/>
                <w:sz w:val="20"/>
                <w:szCs w:val="20"/>
                <w:u w:val="none"/>
                <w:lang w:val="en-US" w:eastAsia="zh-CN"/>
              </w:rPr>
              <w:t>费用。</w:t>
            </w:r>
          </w:p>
          <w:p>
            <w:pPr>
              <w:spacing w:line="240" w:lineRule="auto"/>
              <w:jc w:val="both"/>
              <w:rPr>
                <w:rFonts w:hint="eastAsia" w:ascii="宋体" w:hAnsi="宋体" w:cs="Times New Roman"/>
                <w:b w:val="0"/>
                <w:bCs w:val="0"/>
                <w:color w:val="000000"/>
                <w:kern w:val="2"/>
                <w:sz w:val="20"/>
                <w:szCs w:val="20"/>
                <w:u w:val="none"/>
                <w:lang w:val="en-US" w:eastAsia="zh-CN"/>
              </w:rPr>
            </w:pPr>
            <w:r>
              <w:rPr>
                <w:rFonts w:hint="eastAsia" w:ascii="宋体" w:hAnsi="宋体" w:eastAsia="宋体" w:cs="宋体"/>
                <w:b w:val="0"/>
                <w:bCs w:val="0"/>
                <w:color w:val="000000"/>
                <w:sz w:val="20"/>
                <w:szCs w:val="20"/>
                <w:u w:val="none"/>
                <w:lang w:val="en-US" w:eastAsia="zh-CN"/>
              </w:rPr>
              <w:t>2、以折扣率报价，满足招标文件要求且投标折扣率最低的为评标基准价。一经中标，投标折扣率作为中标人与采购人签定的合同依据，合同期限内不做调整。因落实政府采购政策进行价格调整的，以调整后的价格计算评标基准价和投标报价。</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val="0"/>
                <w:bCs w:val="0"/>
                <w:color w:val="000000"/>
                <w:sz w:val="20"/>
                <w:szCs w:val="20"/>
                <w:u w:val="none"/>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2371" w:hRule="atLeast"/>
          <w:jc w:val="center"/>
        </w:trPr>
        <w:tc>
          <w:tcPr>
            <w:tcW w:w="660" w:type="dxa"/>
            <w:vMerge w:val="restart"/>
            <w:tcBorders>
              <w:top w:val="single" w:color="auto" w:sz="4" w:space="0"/>
              <w:left w:val="single" w:color="auto" w:sz="4" w:space="0"/>
              <w:right w:val="single" w:color="auto" w:sz="4" w:space="0"/>
            </w:tcBorders>
            <w:shd w:val="clear" w:color="000000" w:fill="FFFFFF"/>
            <w:noWrap w:val="0"/>
            <w:vAlign w:val="center"/>
          </w:tcPr>
          <w:p>
            <w:pPr>
              <w:widowControl/>
              <w:spacing w:line="240" w:lineRule="auto"/>
              <w:jc w:val="center"/>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6</w:t>
            </w:r>
          </w:p>
        </w:tc>
        <w:tc>
          <w:tcPr>
            <w:tcW w:w="1475" w:type="dxa"/>
            <w:vMerge w:val="restart"/>
            <w:tcBorders>
              <w:top w:val="single" w:color="auto" w:sz="4" w:space="0"/>
              <w:left w:val="single" w:color="auto" w:sz="4" w:space="0"/>
              <w:right w:val="single" w:color="auto" w:sz="4" w:space="0"/>
            </w:tcBorders>
            <w:shd w:val="clear" w:color="000000" w:fill="FFFFFF"/>
            <w:noWrap w:val="0"/>
            <w:vAlign w:val="center"/>
          </w:tcPr>
          <w:p>
            <w:pPr>
              <w:spacing w:line="240" w:lineRule="auto"/>
              <w:jc w:val="center"/>
              <w:rPr>
                <w:rFonts w:hint="default" w:ascii="宋体" w:hAnsi="宋体" w:cs="Times New Roman"/>
                <w:b w:val="0"/>
                <w:bCs w:val="0"/>
                <w:color w:val="000000"/>
                <w:kern w:val="2"/>
                <w:sz w:val="20"/>
                <w:szCs w:val="20"/>
                <w:u w:val="none"/>
                <w:lang w:val="en-US" w:eastAsia="zh-CN"/>
              </w:rPr>
            </w:pPr>
            <w:r>
              <w:rPr>
                <w:rFonts w:hint="eastAsia" w:ascii="宋体" w:hAnsi="宋体" w:cs="Times New Roman"/>
                <w:b w:val="0"/>
                <w:bCs w:val="0"/>
                <w:color w:val="000000"/>
                <w:kern w:val="2"/>
                <w:sz w:val="20"/>
                <w:szCs w:val="20"/>
                <w:u w:val="none"/>
                <w:lang w:val="en-US" w:eastAsia="zh-CN"/>
              </w:rPr>
              <w:t>其他要求</w:t>
            </w: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（一）投标人须承诺：签订合同后，中标人需无条件协助采购人到</w:t>
            </w:r>
            <w:r>
              <w:rPr>
                <w:rFonts w:hint="eastAsia" w:ascii="宋体" w:hAnsi="宋体" w:cs="宋体"/>
                <w:b w:val="0"/>
                <w:bCs w:val="0"/>
                <w:color w:val="000000"/>
                <w:sz w:val="20"/>
                <w:szCs w:val="20"/>
                <w:u w:val="none"/>
                <w:lang w:val="en-US" w:eastAsia="zh-CN"/>
              </w:rPr>
              <w:t>广东省药品监督管理局</w:t>
            </w:r>
            <w:r>
              <w:rPr>
                <w:rFonts w:hint="eastAsia" w:ascii="宋体" w:hAnsi="宋体" w:eastAsia="宋体" w:cs="宋体"/>
                <w:b w:val="0"/>
                <w:bCs w:val="0"/>
                <w:color w:val="000000"/>
                <w:sz w:val="20"/>
                <w:szCs w:val="20"/>
                <w:u w:val="none"/>
                <w:lang w:val="en-US" w:eastAsia="zh-CN"/>
              </w:rPr>
              <w:t>备案申请《医疗机构中药制剂委托配制批件》，中标人需保证申报过程中所提供的资料真实准确无误，同时应做好相关现场检查准备，保证能顺利通过药监局的现场检查。过程所产生的费用由中标人负责。如出现因中标人原因导致无法申请到《医疗机构中药制剂委托配制批件》的，采购人有权解除合同，中标人赔偿一切损失。</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val="0"/>
                <w:bCs w:val="0"/>
                <w:color w:val="000000"/>
                <w:sz w:val="20"/>
                <w:szCs w:val="20"/>
                <w:u w:val="none"/>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2371"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default"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（二）付款方式：</w:t>
            </w:r>
          </w:p>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1、制剂委托生产项目完成且产品质量经采购人验收合格后，中标人提供经双方签字的送货及验收合格单、结算送货批次汇总表、合规的等额票据，款项</w:t>
            </w:r>
            <w:r>
              <w:rPr>
                <w:rFonts w:hint="default" w:ascii="宋体" w:hAnsi="宋体" w:eastAsia="宋体" w:cs="宋体"/>
                <w:b w:val="0"/>
                <w:bCs w:val="0"/>
                <w:color w:val="000000"/>
                <w:sz w:val="20"/>
                <w:szCs w:val="20"/>
                <w:u w:val="none"/>
                <w:lang w:val="en-US" w:eastAsia="zh-CN"/>
              </w:rPr>
              <w:t>按制剂实际采购数量*折扣价结算，（折扣价=招标</w:t>
            </w:r>
            <w:r>
              <w:rPr>
                <w:rFonts w:hint="eastAsia" w:ascii="宋体" w:hAnsi="宋体" w:eastAsia="宋体" w:cs="宋体"/>
                <w:b w:val="0"/>
                <w:bCs w:val="0"/>
                <w:color w:val="000000"/>
                <w:sz w:val="20"/>
                <w:szCs w:val="20"/>
                <w:u w:val="none"/>
                <w:lang w:val="en-US" w:eastAsia="zh-CN"/>
              </w:rPr>
              <w:t>单价</w:t>
            </w:r>
            <w:r>
              <w:rPr>
                <w:rFonts w:hint="default" w:ascii="宋体" w:hAnsi="宋体" w:eastAsia="宋体" w:cs="宋体"/>
                <w:b w:val="0"/>
                <w:bCs w:val="0"/>
                <w:color w:val="000000"/>
                <w:sz w:val="20"/>
                <w:szCs w:val="20"/>
                <w:u w:val="none"/>
                <w:lang w:val="en-US" w:eastAsia="zh-CN"/>
              </w:rPr>
              <w:t>最高限价*中标折扣率，四舍五入后保留2位小数）。</w:t>
            </w:r>
          </w:p>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2、中标人应在采购人支付货款前开具相应金额的发票给采购人。若因财政拨款因素导致中标人付款延迟采购人不承担违约责任。</w:t>
            </w:r>
          </w:p>
          <w:p>
            <w:pPr>
              <w:spacing w:line="240" w:lineRule="auto"/>
              <w:jc w:val="both"/>
              <w:rPr>
                <w:rFonts w:hint="eastAsia" w:ascii="宋体" w:hAnsi="宋体" w:eastAsia="宋体" w:cs="宋体"/>
                <w:b/>
                <w:bCs/>
                <w:color w:val="000000"/>
                <w:kern w:val="0"/>
                <w:sz w:val="21"/>
                <w:szCs w:val="21"/>
                <w:lang w:val="en-US" w:eastAsia="zh-CN"/>
              </w:rPr>
            </w:pPr>
            <w:r>
              <w:rPr>
                <w:rFonts w:hint="default" w:ascii="宋体" w:hAnsi="宋体" w:eastAsia="宋体" w:cs="宋体"/>
                <w:b w:val="0"/>
                <w:bCs w:val="0"/>
                <w:color w:val="000000"/>
                <w:sz w:val="20"/>
                <w:szCs w:val="20"/>
                <w:u w:val="none"/>
                <w:lang w:val="en-US" w:eastAsia="zh-CN"/>
              </w:rPr>
              <w:t>未尽事宜，双方另行协商约定。</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417"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r>
              <w:rPr>
                <w:rFonts w:hint="eastAsia" w:ascii="宋体" w:hAnsi="宋体" w:eastAsia="宋体" w:cs="宋体"/>
                <w:b w:val="0"/>
                <w:bCs w:val="0"/>
                <w:color w:val="000000"/>
                <w:sz w:val="20"/>
                <w:szCs w:val="20"/>
                <w:u w:val="none"/>
                <w:lang w:val="en-US" w:eastAsia="zh-CN"/>
              </w:rPr>
              <w:t>（三）售后服务要求及交货要求：</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r>
      <w:tr>
        <w:tblPrEx>
          <w:tblCellMar>
            <w:top w:w="0" w:type="dxa"/>
            <w:left w:w="108" w:type="dxa"/>
            <w:bottom w:w="0" w:type="dxa"/>
            <w:right w:w="108" w:type="dxa"/>
          </w:tblCellMar>
        </w:tblPrEx>
        <w:trPr>
          <w:trHeight w:val="626"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r>
              <w:rPr>
                <w:rFonts w:hint="eastAsia" w:ascii="宋体" w:hAnsi="宋体" w:eastAsia="宋体" w:cs="宋体"/>
                <w:b w:val="0"/>
                <w:bCs w:val="0"/>
                <w:color w:val="000000"/>
                <w:sz w:val="20"/>
                <w:szCs w:val="20"/>
                <w:u w:val="none"/>
                <w:lang w:val="en-US" w:eastAsia="zh-CN"/>
              </w:rPr>
              <w:t>1、在合作期间中标人应提供与项目相关的技术支持及人才培养服务。</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71"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2、中标人需在收到医院的生产计划，60日历日内将生产完成后的产品送到医院。</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1001"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default"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（四）验收要求：</w:t>
            </w:r>
          </w:p>
          <w:p>
            <w:pPr>
              <w:spacing w:line="240" w:lineRule="auto"/>
              <w:jc w:val="both"/>
              <w:rPr>
                <w:rFonts w:hint="eastAsia" w:ascii="宋体" w:hAnsi="宋体" w:eastAsia="宋体" w:cs="宋体"/>
                <w:b/>
                <w:bCs/>
                <w:color w:val="000000"/>
                <w:kern w:val="0"/>
                <w:sz w:val="21"/>
                <w:szCs w:val="21"/>
                <w:lang w:val="en-US" w:eastAsia="zh-CN"/>
              </w:rPr>
            </w:pPr>
            <w:r>
              <w:rPr>
                <w:rFonts w:hint="eastAsia" w:ascii="宋体" w:hAnsi="宋体" w:eastAsia="宋体" w:cs="宋体"/>
                <w:b w:val="0"/>
                <w:bCs w:val="0"/>
                <w:color w:val="000000"/>
                <w:sz w:val="20"/>
                <w:szCs w:val="20"/>
                <w:u w:val="none"/>
                <w:lang w:val="en-US" w:eastAsia="zh-CN"/>
              </w:rPr>
              <w:t>每批制剂附有检验合格的质量检验报告和完整的生产记录。近效期6个月之内的制剂成品，采购人有权拒绝收货。</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1576"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default"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（五）违约责任：</w:t>
            </w:r>
          </w:p>
          <w:p>
            <w:pPr>
              <w:spacing w:line="240" w:lineRule="auto"/>
              <w:jc w:val="both"/>
              <w:rPr>
                <w:rFonts w:hint="eastAsia" w:ascii="宋体" w:hAnsi="宋体" w:eastAsia="宋体" w:cs="宋体"/>
                <w:b/>
                <w:bCs/>
                <w:color w:val="000000"/>
                <w:kern w:val="0"/>
                <w:sz w:val="21"/>
                <w:szCs w:val="21"/>
                <w:lang w:val="en-US" w:eastAsia="zh-CN"/>
              </w:rPr>
            </w:pPr>
            <w:r>
              <w:rPr>
                <w:rFonts w:hint="eastAsia" w:ascii="宋体" w:hAnsi="宋体" w:eastAsia="宋体" w:cs="宋体"/>
                <w:b w:val="0"/>
                <w:bCs w:val="0"/>
                <w:color w:val="000000"/>
                <w:sz w:val="20"/>
                <w:szCs w:val="20"/>
                <w:u w:val="none"/>
                <w:lang w:val="en-US" w:eastAsia="zh-CN"/>
              </w:rPr>
              <w:t>1、因中标人原因，未能按规定时间完成合同约定服务内容，每延误一日历天，采购人可在支付合同余款中扣除合同总价款5‰，若延误60日历天，采购人有权解除合同，并要求中标人返还所有已付价款。给采购人造成损失的，中标人应当承担全部赔偿责任。</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90"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2、由于中标人原因造成项目成果质量低劣，不能满足合同约定项目验收要求时，应继续完善项目工作，其费用由中标人承担。</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716"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3、如中标人提供的服务不符合合同约定的质量要求，必须在采购人提出要求7日历天内无条件整改，其费用由中标人承担。</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911"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4、如中标人工作人员违反合同项下关于保密义务的规定的，给采购人造成损失的，中标人应当承担全部赔偿责任，涉及违法犯罪的人员，采购人可移送有关机关处理。</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991"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5、</w:t>
            </w:r>
            <w:r>
              <w:rPr>
                <w:rFonts w:hint="default" w:ascii="宋体" w:hAnsi="宋体" w:eastAsia="宋体" w:cs="宋体"/>
                <w:b w:val="0"/>
                <w:bCs w:val="0"/>
                <w:color w:val="000000"/>
                <w:sz w:val="20"/>
                <w:szCs w:val="20"/>
                <w:u w:val="none"/>
                <w:lang w:val="en-US" w:eastAsia="zh-CN"/>
              </w:rPr>
              <w:t>中标人对整个委托生产过程中的原辅材料的购买、制剂的生产、检验、运输等过程负全部责任，如有产品质量不符合质量标准要求而导致的损失，中标人负有赔偿责任。</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1023"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6、</w:t>
            </w:r>
            <w:r>
              <w:rPr>
                <w:rFonts w:hint="default" w:ascii="宋体" w:hAnsi="宋体" w:eastAsia="宋体" w:cs="宋体"/>
                <w:b w:val="0"/>
                <w:bCs w:val="0"/>
                <w:color w:val="000000"/>
                <w:sz w:val="20"/>
                <w:szCs w:val="20"/>
                <w:u w:val="none"/>
                <w:lang w:val="en-US" w:eastAsia="zh-CN"/>
              </w:rPr>
              <w:t>在委托生产期间，中标人必须按要求合规合法生产，因药监部门对中标人进行现场检查发现有违规生产等行为，一切与</w:t>
            </w:r>
            <w:r>
              <w:rPr>
                <w:rFonts w:hint="eastAsia" w:ascii="宋体" w:hAnsi="宋体" w:eastAsia="宋体" w:cs="宋体"/>
                <w:b w:val="0"/>
                <w:bCs w:val="0"/>
                <w:color w:val="000000"/>
                <w:sz w:val="20"/>
                <w:szCs w:val="20"/>
                <w:u w:val="none"/>
                <w:lang w:val="en-US" w:eastAsia="zh-CN"/>
              </w:rPr>
              <w:t>采购</w:t>
            </w:r>
            <w:r>
              <w:rPr>
                <w:rFonts w:hint="default" w:ascii="宋体" w:hAnsi="宋体" w:eastAsia="宋体" w:cs="宋体"/>
                <w:b w:val="0"/>
                <w:bCs w:val="0"/>
                <w:color w:val="000000"/>
                <w:sz w:val="20"/>
                <w:szCs w:val="20"/>
                <w:u w:val="none"/>
                <w:lang w:val="en-US" w:eastAsia="zh-CN"/>
              </w:rPr>
              <w:t>人无关，对</w:t>
            </w:r>
            <w:r>
              <w:rPr>
                <w:rFonts w:hint="eastAsia" w:ascii="宋体" w:hAnsi="宋体" w:eastAsia="宋体" w:cs="宋体"/>
                <w:b w:val="0"/>
                <w:bCs w:val="0"/>
                <w:color w:val="000000"/>
                <w:sz w:val="20"/>
                <w:szCs w:val="20"/>
                <w:u w:val="none"/>
                <w:lang w:val="en-US" w:eastAsia="zh-CN"/>
              </w:rPr>
              <w:t>采购</w:t>
            </w:r>
            <w:r>
              <w:rPr>
                <w:rFonts w:hint="default" w:ascii="宋体" w:hAnsi="宋体" w:eastAsia="宋体" w:cs="宋体"/>
                <w:b w:val="0"/>
                <w:bCs w:val="0"/>
                <w:color w:val="000000"/>
                <w:sz w:val="20"/>
                <w:szCs w:val="20"/>
                <w:u w:val="none"/>
                <w:lang w:val="en-US" w:eastAsia="zh-CN"/>
              </w:rPr>
              <w:t>人造成损失的，中标人负有赔偿责任。</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626" w:hRule="atLeast"/>
          <w:jc w:val="center"/>
        </w:trPr>
        <w:tc>
          <w:tcPr>
            <w:tcW w:w="660"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7、</w:t>
            </w:r>
            <w:r>
              <w:rPr>
                <w:rFonts w:hint="default" w:ascii="宋体" w:hAnsi="宋体" w:eastAsia="宋体" w:cs="宋体"/>
                <w:b w:val="0"/>
                <w:bCs w:val="0"/>
                <w:color w:val="000000"/>
                <w:sz w:val="20"/>
                <w:szCs w:val="20"/>
                <w:u w:val="none"/>
                <w:lang w:val="en-US" w:eastAsia="zh-CN"/>
              </w:rPr>
              <w:t>药监部门对所委托生产的品种抽检，如检验不合格，中标人须承担所有责任，并赔偿采购人的损失。</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r>
        <w:tblPrEx>
          <w:tblCellMar>
            <w:top w:w="0" w:type="dxa"/>
            <w:left w:w="108" w:type="dxa"/>
            <w:bottom w:w="0" w:type="dxa"/>
            <w:right w:w="108" w:type="dxa"/>
          </w:tblCellMar>
        </w:tblPrEx>
        <w:trPr>
          <w:trHeight w:val="1391" w:hRule="atLeast"/>
          <w:jc w:val="center"/>
        </w:trPr>
        <w:tc>
          <w:tcPr>
            <w:tcW w:w="660" w:type="dxa"/>
            <w:vMerge w:val="continue"/>
            <w:tcBorders>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1475" w:type="dxa"/>
            <w:vMerge w:val="continue"/>
            <w:tcBorders>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bCs/>
                <w:color w:val="000000"/>
                <w:kern w:val="0"/>
                <w:sz w:val="21"/>
                <w:szCs w:val="21"/>
                <w:lang w:val="en-US" w:eastAsia="zh-CN"/>
              </w:rPr>
            </w:pPr>
          </w:p>
        </w:tc>
        <w:tc>
          <w:tcPr>
            <w:tcW w:w="626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240" w:lineRule="auto"/>
              <w:jc w:val="both"/>
              <w:rPr>
                <w:rFonts w:hint="eastAsia" w:ascii="宋体" w:hAnsi="宋体" w:eastAsia="宋体" w:cs="宋体"/>
                <w:b w:val="0"/>
                <w:bCs w:val="0"/>
                <w:color w:val="000000"/>
                <w:sz w:val="20"/>
                <w:szCs w:val="20"/>
                <w:u w:val="none"/>
                <w:lang w:val="en-US" w:eastAsia="zh-CN"/>
              </w:rPr>
            </w:pPr>
            <w:r>
              <w:rPr>
                <w:rFonts w:hint="eastAsia" w:ascii="宋体" w:hAnsi="宋体" w:eastAsia="宋体" w:cs="宋体"/>
                <w:b w:val="0"/>
                <w:bCs w:val="0"/>
                <w:color w:val="000000"/>
                <w:sz w:val="20"/>
                <w:szCs w:val="20"/>
                <w:u w:val="none"/>
                <w:lang w:val="en-US" w:eastAsia="zh-CN"/>
              </w:rPr>
              <w:t>8、因不可抗力（包括但不限于自然灾害、政府行为、政策调整等事件）造成本协议延迟履行或任何一方违约，双方均无需承担违约责任，受影响一方应尽可能及时通知另一方。如前述事件妨碍协议履行达三个月以上的，双方可协商修改合同或终止合同。</w:t>
            </w:r>
          </w:p>
        </w:tc>
        <w:tc>
          <w:tcPr>
            <w:tcW w:w="14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pStyle w:val="19"/>
              <w:pageBreakBefore w:val="0"/>
              <w:numPr>
                <w:ilvl w:val="0"/>
                <w:numId w:val="0"/>
              </w:numPr>
              <w:kinsoku/>
              <w:wordWrap/>
              <w:overflowPunct/>
              <w:topLinePunct w:val="0"/>
              <w:autoSpaceDE/>
              <w:autoSpaceDN/>
              <w:bidi w:val="0"/>
              <w:spacing w:line="320" w:lineRule="exact"/>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是</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p>
            <w:pPr>
              <w:spacing w:line="240" w:lineRule="auto"/>
              <w:jc w:val="center"/>
              <w:rPr>
                <w:rFonts w:hint="eastAsia" w:ascii="宋体" w:hAnsi="宋体" w:eastAsia="宋体" w:cs="宋体"/>
                <w:b/>
                <w:bCs/>
                <w:color w:val="000000"/>
                <w:kern w:val="0"/>
                <w:sz w:val="21"/>
                <w:szCs w:val="21"/>
                <w:lang w:val="en-US" w:eastAsia="zh-CN"/>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sym w:font="Wingdings 2" w:char="00A3"/>
            </w:r>
          </w:p>
        </w:tc>
      </w:tr>
    </w:tbl>
    <w:p>
      <w:pPr>
        <w:widowControl/>
        <w:jc w:val="left"/>
        <w:rPr>
          <w:rFonts w:ascii="宋体" w:hAnsi="宋体" w:cs="宋体"/>
          <w:b/>
          <w:bCs/>
          <w:color w:val="3F3F3F"/>
          <w:kern w:val="0"/>
          <w:szCs w:val="21"/>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D4529E"/>
    <w:multiLevelType w:val="singleLevel"/>
    <w:tmpl w:val="E8D4529E"/>
    <w:lvl w:ilvl="0" w:tentative="0">
      <w:start w:val="1"/>
      <w:numFmt w:val="chineseCounting"/>
      <w:suff w:val="nothing"/>
      <w:lvlText w:val="（%1）"/>
      <w:lvlJc w:val="left"/>
      <w:rPr>
        <w:rFonts w:hint="eastAsia"/>
      </w:rPr>
    </w:lvl>
  </w:abstractNum>
  <w:abstractNum w:abstractNumId="1">
    <w:nsid w:val="492A045B"/>
    <w:multiLevelType w:val="multilevel"/>
    <w:tmpl w:val="492A045B"/>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YjhjOGVmNmE1ODdhZDEwYjgxNDY0MjE2MDFlZjMifQ=="/>
  </w:docVars>
  <w:rsids>
    <w:rsidRoot w:val="00180716"/>
    <w:rsid w:val="000E0A0A"/>
    <w:rsid w:val="00153BBB"/>
    <w:rsid w:val="00180716"/>
    <w:rsid w:val="001F5A61"/>
    <w:rsid w:val="00217BF9"/>
    <w:rsid w:val="002C0BFD"/>
    <w:rsid w:val="00397900"/>
    <w:rsid w:val="004607A8"/>
    <w:rsid w:val="00513746"/>
    <w:rsid w:val="00612575"/>
    <w:rsid w:val="006B7040"/>
    <w:rsid w:val="00705EF8"/>
    <w:rsid w:val="00712468"/>
    <w:rsid w:val="00803FA4"/>
    <w:rsid w:val="0086395D"/>
    <w:rsid w:val="008F2A81"/>
    <w:rsid w:val="0091437C"/>
    <w:rsid w:val="0092593E"/>
    <w:rsid w:val="00936324"/>
    <w:rsid w:val="00980851"/>
    <w:rsid w:val="00A15F96"/>
    <w:rsid w:val="00A54EDE"/>
    <w:rsid w:val="00A6345B"/>
    <w:rsid w:val="00A70CB8"/>
    <w:rsid w:val="00AA10B5"/>
    <w:rsid w:val="00BE5B4B"/>
    <w:rsid w:val="00C138A3"/>
    <w:rsid w:val="00C3057F"/>
    <w:rsid w:val="00C70023"/>
    <w:rsid w:val="00C70D64"/>
    <w:rsid w:val="00CA1F88"/>
    <w:rsid w:val="00CB053E"/>
    <w:rsid w:val="00CD76E2"/>
    <w:rsid w:val="00D068AE"/>
    <w:rsid w:val="00D57EC2"/>
    <w:rsid w:val="00D81886"/>
    <w:rsid w:val="00E13D8B"/>
    <w:rsid w:val="00E151AC"/>
    <w:rsid w:val="00E84839"/>
    <w:rsid w:val="00E87DEE"/>
    <w:rsid w:val="00EA7CE7"/>
    <w:rsid w:val="00ED525A"/>
    <w:rsid w:val="00F472BE"/>
    <w:rsid w:val="00FD2108"/>
    <w:rsid w:val="08007A98"/>
    <w:rsid w:val="08401EA7"/>
    <w:rsid w:val="08507C91"/>
    <w:rsid w:val="0D0860BD"/>
    <w:rsid w:val="0EEF6951"/>
    <w:rsid w:val="157F0D8F"/>
    <w:rsid w:val="15AA616B"/>
    <w:rsid w:val="16FB4072"/>
    <w:rsid w:val="198F20E8"/>
    <w:rsid w:val="19F47144"/>
    <w:rsid w:val="1B6603B7"/>
    <w:rsid w:val="1C712C07"/>
    <w:rsid w:val="1F982966"/>
    <w:rsid w:val="1FE22078"/>
    <w:rsid w:val="211508B6"/>
    <w:rsid w:val="2725381D"/>
    <w:rsid w:val="2ABD3ED7"/>
    <w:rsid w:val="2C170559"/>
    <w:rsid w:val="2CFC73DB"/>
    <w:rsid w:val="2D645651"/>
    <w:rsid w:val="30452F0A"/>
    <w:rsid w:val="30BD2F4A"/>
    <w:rsid w:val="31CC7A13"/>
    <w:rsid w:val="31E02B28"/>
    <w:rsid w:val="32DD5869"/>
    <w:rsid w:val="34F80113"/>
    <w:rsid w:val="355E5B28"/>
    <w:rsid w:val="38504493"/>
    <w:rsid w:val="39EC5C9A"/>
    <w:rsid w:val="39FF15AC"/>
    <w:rsid w:val="3A800B22"/>
    <w:rsid w:val="3A8B1925"/>
    <w:rsid w:val="3B5350EE"/>
    <w:rsid w:val="3BEB7461"/>
    <w:rsid w:val="3E880BE0"/>
    <w:rsid w:val="41BC4FC9"/>
    <w:rsid w:val="43190CA7"/>
    <w:rsid w:val="44E84EF8"/>
    <w:rsid w:val="477F66B9"/>
    <w:rsid w:val="4AC85F98"/>
    <w:rsid w:val="4B237456"/>
    <w:rsid w:val="4FE93076"/>
    <w:rsid w:val="50557B37"/>
    <w:rsid w:val="52743765"/>
    <w:rsid w:val="554D3E65"/>
    <w:rsid w:val="5AEA181B"/>
    <w:rsid w:val="5BBD6E4C"/>
    <w:rsid w:val="5D453C8C"/>
    <w:rsid w:val="5E0F1C0D"/>
    <w:rsid w:val="60015AC4"/>
    <w:rsid w:val="605A0612"/>
    <w:rsid w:val="611B0D45"/>
    <w:rsid w:val="67BE3C72"/>
    <w:rsid w:val="683A16E7"/>
    <w:rsid w:val="77584115"/>
    <w:rsid w:val="77C83101"/>
    <w:rsid w:val="7A151DF5"/>
    <w:rsid w:val="7BB33BBE"/>
    <w:rsid w:val="7C494D9F"/>
    <w:rsid w:val="7FF627D5"/>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
    <w:pPr>
      <w:keepNext/>
      <w:keepLines/>
      <w:spacing w:before="120" w:after="120"/>
      <w:outlineLvl w:val="1"/>
    </w:pPr>
    <w:rPr>
      <w:rFonts w:ascii="Cambria" w:hAnsi="Cambria" w:eastAsia="仿宋"/>
      <w:b/>
      <w:bCs/>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rPr>
      <w:rFonts w:ascii="Times New Roman" w:hAnsi="Times New Roman"/>
      <w:szCs w:val="21"/>
    </w:rPr>
  </w:style>
  <w:style w:type="paragraph" w:styleId="4">
    <w:name w:val="Body Text"/>
    <w:basedOn w:val="1"/>
    <w:next w:val="5"/>
    <w:qFormat/>
    <w:uiPriority w:val="0"/>
    <w:pPr>
      <w:tabs>
        <w:tab w:val="left" w:pos="4760"/>
      </w:tabs>
      <w:jc w:val="left"/>
    </w:pPr>
  </w:style>
  <w:style w:type="paragraph" w:styleId="5">
    <w:name w:val="Body Text 2"/>
    <w:basedOn w:val="1"/>
    <w:qFormat/>
    <w:uiPriority w:val="0"/>
    <w:pPr>
      <w:spacing w:line="360" w:lineRule="auto"/>
    </w:pPr>
    <w:rPr>
      <w:rFonts w:ascii="宋体" w:hAnsi="宋体"/>
      <w:color w:val="000000"/>
      <w:sz w:val="24"/>
      <w:szCs w:val="20"/>
    </w:rPr>
  </w:style>
  <w:style w:type="paragraph" w:styleId="6">
    <w:name w:val="Plain Text"/>
    <w:basedOn w:val="1"/>
    <w:qFormat/>
    <w:uiPriority w:val="99"/>
    <w:rPr>
      <w:rFonts w:ascii="宋体" w:hAnsi="Courier New"/>
    </w:rPr>
  </w:style>
  <w:style w:type="paragraph" w:styleId="7">
    <w:name w:val="footer"/>
    <w:basedOn w:val="1"/>
    <w:link w:val="16"/>
    <w:unhideWhenUsed/>
    <w:qFormat/>
    <w:uiPriority w:val="99"/>
    <w:pPr>
      <w:tabs>
        <w:tab w:val="center" w:pos="4153"/>
        <w:tab w:val="right" w:pos="8306"/>
      </w:tabs>
      <w:snapToGrid w:val="0"/>
      <w:jc w:val="left"/>
    </w:pPr>
    <w:rPr>
      <w:kern w:val="0"/>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semiHidden/>
    <w:unhideWhenUsed/>
    <w:qFormat/>
    <w:uiPriority w:val="99"/>
    <w:rPr>
      <w:sz w:val="21"/>
      <w:szCs w:val="21"/>
    </w:rPr>
  </w:style>
  <w:style w:type="paragraph" w:styleId="14">
    <w:name w:val="Quote"/>
    <w:basedOn w:val="1"/>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character" w:customStyle="1" w:styleId="15">
    <w:name w:val="页眉 Char"/>
    <w:link w:val="8"/>
    <w:qFormat/>
    <w:uiPriority w:val="99"/>
    <w:rPr>
      <w:sz w:val="18"/>
      <w:szCs w:val="18"/>
    </w:rPr>
  </w:style>
  <w:style w:type="character" w:customStyle="1" w:styleId="16">
    <w:name w:val="页脚 Char"/>
    <w:link w:val="7"/>
    <w:qFormat/>
    <w:uiPriority w:val="99"/>
    <w:rPr>
      <w:sz w:val="18"/>
      <w:szCs w:val="18"/>
    </w:rPr>
  </w:style>
  <w:style w:type="character" w:customStyle="1" w:styleId="17">
    <w:name w:val="批注文字 Char"/>
    <w:link w:val="3"/>
    <w:semiHidden/>
    <w:qFormat/>
    <w:uiPriority w:val="99"/>
    <w:rPr>
      <w:rFonts w:ascii="Times New Roman" w:hAnsi="Times New Roman"/>
      <w:kern w:val="2"/>
      <w:sz w:val="21"/>
      <w:szCs w:val="21"/>
    </w:rPr>
  </w:style>
  <w:style w:type="paragraph" w:customStyle="1" w:styleId="18">
    <w:name w:val="正文文本11"/>
    <w:basedOn w:val="1"/>
    <w:qFormat/>
    <w:uiPriority w:val="0"/>
    <w:pPr>
      <w:widowControl/>
      <w:spacing w:line="360" w:lineRule="auto"/>
      <w:jc w:val="left"/>
    </w:pPr>
    <w:rPr>
      <w:rFonts w:ascii="Times New Roman" w:hAnsi="Times New Roman"/>
      <w:sz w:val="24"/>
      <w:szCs w:val="20"/>
    </w:rPr>
  </w:style>
  <w:style w:type="paragraph" w:customStyle="1" w:styleId="19">
    <w:name w:val="null3"/>
    <w:hidden/>
    <w:qFormat/>
    <w:uiPriority w:val="0"/>
    <w:rPr>
      <w:rFonts w:hint="eastAsia" w:asciiTheme="minorHAnsi" w:hAnsiTheme="minorHAnsi" w:eastAsiaTheme="minorEastAsia" w:cstheme="minorBidi"/>
      <w:lang w:val="en-US" w:eastAsia="zh-Hans"/>
    </w:rPr>
  </w:style>
  <w:style w:type="paragraph" w:styleId="20">
    <w:name w:val="List Paragraph"/>
    <w:basedOn w:val="1"/>
    <w:unhideWhenUsed/>
    <w:qFormat/>
    <w:uiPriority w:val="99"/>
    <w:pPr>
      <w:ind w:firstLine="420" w:firstLineChars="200"/>
    </w:pPr>
  </w:style>
  <w:style w:type="paragraph" w:customStyle="1" w:styleId="21">
    <w:name w:val="列出段落3"/>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5</Pages>
  <Words>4119</Words>
  <Characters>4179</Characters>
  <Lines>9</Lines>
  <Paragraphs>2</Paragraphs>
  <TotalTime>1</TotalTime>
  <ScaleCrop>false</ScaleCrop>
  <LinksUpToDate>false</LinksUpToDate>
  <CharactersWithSpaces>4199</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2023-04-28T01:13:00Z</dcterms:created>
  <dc:creator>Sky123.Org</dc:creator>
  <cp:lastModifiedBy>阿营</cp:lastModifiedBy>
  <dcterms:modified xsi:type="dcterms:W3CDTF">2026-03-26T12:49:33Z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eyJoZGlkIjoiMjY5MDljOWNhMTZjZmE3NmVjOGVkMmIzZWRhMzc0Y2IiLCJ1c2VySWQiOiIzMjE4MDkyNTYifQ==</vt:lpwstr>
  </property>
  <property fmtid="{D5CDD505-2E9C-101B-9397-08002B2CF9AE}" pid="3" name="KSOProductBuildVer">
    <vt:lpwstr>2052-12.1.0.15946</vt:lpwstr>
  </property>
  <property fmtid="{D5CDD505-2E9C-101B-9397-08002B2CF9AE}" pid="4" name="ICV">
    <vt:lpwstr>54947B1860E741F385F7D95A5753003C_13</vt:lpwstr>
  </property>
</Properties>
</file>