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lang w:val="en-US" w:eastAsia="zh-CN"/>
              </w:rPr>
              <w:t>50</w:t>
            </w:r>
            <w:r>
              <w:rPr>
                <w:rFonts w:hint="eastAsia" w:ascii="宋体" w:hAnsi="宋体"/>
                <w:color w:val="auto"/>
                <w:sz w:val="24"/>
                <w:szCs w:val="24"/>
              </w:rPr>
              <w:t>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投标人应如实填写《技术规格偏离表》，评审委员会根据技术需求参数响应情况进行打分，各项技术参数指标及要求全部满足的得45分，每负偏离一项扣</w:t>
            </w:r>
            <w:r>
              <w:rPr>
                <w:rFonts w:hint="eastAsia" w:ascii="宋体" w:hAnsi="宋体" w:eastAsia="宋体" w:cs="宋体"/>
                <w:b/>
                <w:bCs/>
                <w:color w:val="C00000"/>
                <w:sz w:val="24"/>
                <w:szCs w:val="24"/>
                <w:lang w:val="en-US" w:eastAsia="zh-CN"/>
              </w:rPr>
              <w:t>2.</w:t>
            </w:r>
            <w:r>
              <w:rPr>
                <w:rFonts w:hint="eastAsia" w:ascii="宋体" w:hAnsi="宋体" w:cs="宋体"/>
                <w:b/>
                <w:bCs/>
                <w:color w:val="C00000"/>
                <w:sz w:val="24"/>
                <w:szCs w:val="24"/>
                <w:lang w:val="en-US" w:eastAsia="zh-CN"/>
              </w:rPr>
              <w:t>2</w:t>
            </w:r>
            <w:r>
              <w:rPr>
                <w:rFonts w:hint="eastAsia" w:ascii="宋体" w:hAnsi="宋体" w:eastAsia="宋体" w:cs="宋体"/>
                <w:b/>
                <w:bCs/>
                <w:color w:val="C00000"/>
                <w:sz w:val="24"/>
                <w:szCs w:val="24"/>
                <w:lang w:val="en-US" w:eastAsia="zh-CN"/>
              </w:rPr>
              <w:t>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5</w:t>
            </w:r>
            <w:r>
              <w:rPr>
                <w:rFonts w:hint="eastAsia" w:ascii="宋体" w:hAnsi="宋体"/>
                <w:color w:val="auto"/>
                <w:sz w:val="24"/>
                <w:szCs w:val="24"/>
              </w:rPr>
              <w:t>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lang w:val="en-US" w:eastAsia="zh-CN"/>
              </w:rPr>
              <w:t>4</w:t>
            </w:r>
            <w:r>
              <w:rPr>
                <w:rFonts w:hint="eastAsia" w:ascii="宋体" w:hAnsi="宋体" w:cs="宋体"/>
                <w:sz w:val="24"/>
                <w:szCs w:val="24"/>
              </w:rPr>
              <w:t>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5"/>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997946"/>
      <w:bookmarkStart w:id="3" w:name="_Toc201401658"/>
      <w:bookmarkStart w:id="4" w:name="_Toc201742861"/>
      <w:bookmarkStart w:id="5" w:name="_Toc201743116"/>
      <w:bookmarkStart w:id="6" w:name="_Toc201719118"/>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0"/>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3"/>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787"/>
        <w:gridCol w:w="6984"/>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17625"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3614"/>
              <w:gridCol w:w="624"/>
              <w:gridCol w:w="691"/>
              <w:gridCol w:w="2300"/>
              <w:gridCol w:w="1569"/>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3614" w:type="dxa"/>
                  <w:tcBorders>
                    <w:top w:val="single" w:color="auto" w:sz="4" w:space="0"/>
                    <w:left w:val="single" w:color="FFFFFF" w:sz="6" w:space="0"/>
                    <w:bottom w:val="single" w:color="auto" w:sz="4" w:space="0"/>
                    <w:right w:val="single" w:color="auto" w:sz="4" w:space="0"/>
                  </w:tcBorders>
                  <w:shd w:val="clear" w:color="auto" w:fill="auto"/>
                  <w:noWrap w:val="0"/>
                  <w:vAlign w:val="center"/>
                </w:tcPr>
                <w:p w14:paraId="641DA30F">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设备</w:t>
                  </w:r>
                  <w:r>
                    <w:rPr>
                      <w:rFonts w:ascii="宋体" w:hAnsi="宋体" w:cs="宋体"/>
                      <w:b/>
                      <w:bCs/>
                      <w:color w:val="auto"/>
                      <w:kern w:val="0"/>
                      <w:sz w:val="24"/>
                      <w:szCs w:val="24"/>
                    </w:rPr>
                    <w:t xml:space="preserve">名称 </w:t>
                  </w:r>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8A72E">
                  <w:pPr>
                    <w:widowControl/>
                    <w:jc w:val="center"/>
                    <w:rPr>
                      <w:rFonts w:hint="eastAsia" w:ascii="宋体" w:hAnsi="宋体" w:eastAsia="宋体" w:cs="宋体"/>
                      <w:b/>
                      <w:bCs/>
                      <w:color w:val="auto"/>
                      <w:kern w:val="0"/>
                      <w:sz w:val="24"/>
                      <w:szCs w:val="24"/>
                      <w:lang w:val="en-US" w:eastAsia="zh-CN" w:bidi="ar-SA"/>
                    </w:rPr>
                  </w:pPr>
                  <w:r>
                    <w:rPr>
                      <w:rFonts w:ascii="宋体" w:hAnsi="宋体" w:cs="宋体"/>
                      <w:b/>
                      <w:bCs/>
                      <w:color w:val="auto"/>
                      <w:kern w:val="0"/>
                      <w:sz w:val="24"/>
                      <w:szCs w:val="24"/>
                    </w:rPr>
                    <w:t>数量</w:t>
                  </w:r>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332CA">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单位</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50D7E">
                  <w:pPr>
                    <w:widowControl/>
                    <w:jc w:val="center"/>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rPr>
                    <w:t>总</w:t>
                  </w:r>
                  <w:r>
                    <w:rPr>
                      <w:rFonts w:ascii="宋体" w:hAnsi="宋体" w:cs="宋体"/>
                      <w:b/>
                      <w:bCs/>
                      <w:color w:val="auto"/>
                      <w:kern w:val="0"/>
                      <w:sz w:val="24"/>
                      <w:szCs w:val="24"/>
                    </w:rPr>
                    <w:t>预算</w:t>
                  </w:r>
                  <w:r>
                    <w:rPr>
                      <w:rFonts w:hint="eastAsia" w:ascii="宋体" w:hAnsi="宋体" w:cs="宋体"/>
                      <w:b/>
                      <w:bCs/>
                      <w:color w:val="auto"/>
                      <w:kern w:val="0"/>
                      <w:sz w:val="24"/>
                      <w:szCs w:val="24"/>
                    </w:rPr>
                    <w:t>金</w:t>
                  </w:r>
                  <w:r>
                    <w:rPr>
                      <w:rFonts w:ascii="宋体" w:hAnsi="宋体" w:cs="宋体"/>
                      <w:b/>
                      <w:bCs/>
                      <w:color w:val="auto"/>
                      <w:kern w:val="0"/>
                      <w:sz w:val="24"/>
                      <w:szCs w:val="24"/>
                    </w:rPr>
                    <w:t>额(元)</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BA260">
                  <w:pPr>
                    <w:widowControl/>
                    <w:jc w:val="center"/>
                    <w:rPr>
                      <w:rFonts w:hint="eastAsia" w:ascii="宋体" w:hAnsi="宋体" w:eastAsia="宋体" w:cs="宋体"/>
                      <w:b/>
                      <w:bCs/>
                      <w:color w:val="auto"/>
                      <w:kern w:val="0"/>
                      <w:sz w:val="24"/>
                      <w:szCs w:val="24"/>
                      <w:lang w:val="en-US" w:eastAsia="zh-CN" w:bidi="ar-SA"/>
                    </w:rPr>
                  </w:pPr>
                  <w:r>
                    <w:rPr>
                      <w:rFonts w:ascii="宋体" w:hAnsi="宋体" w:cs="宋体"/>
                      <w:b/>
                      <w:bCs/>
                      <w:color w:val="auto"/>
                      <w:kern w:val="0"/>
                      <w:sz w:val="24"/>
                      <w:szCs w:val="24"/>
                    </w:rPr>
                    <w:t>备注</w:t>
                  </w:r>
                </w:p>
              </w:tc>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0B505">
                  <w:pPr>
                    <w:widowControl/>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移液器</w:t>
                  </w:r>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F17961">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22</w:t>
                  </w:r>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AD3062">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eastAsia="zh-CN"/>
                    </w:rPr>
                    <w:t>套</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450989">
                  <w:pPr>
                    <w:widowControl/>
                    <w:tabs>
                      <w:tab w:val="left" w:pos="487"/>
                    </w:tabs>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63500</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E16DB">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拒绝</w:t>
                  </w:r>
                  <w:r>
                    <w:rPr>
                      <w:rFonts w:hint="eastAsia" w:ascii="宋体" w:hAnsi="宋体" w:cs="宋体"/>
                      <w:color w:val="auto"/>
                      <w:kern w:val="0"/>
                      <w:sz w:val="24"/>
                      <w:szCs w:val="24"/>
                      <w:lang w:eastAsia="zh-CN"/>
                    </w:rPr>
                    <w:t>进口</w:t>
                  </w:r>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脑电仿生电刺激仪</w:t>
                  </w: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128000</w:t>
                  </w: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r w14:paraId="6D58B8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8798"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7884F506">
                  <w:pPr>
                    <w:widowControl/>
                    <w:jc w:val="left"/>
                    <w:rPr>
                      <w:rFonts w:hint="default" w:ascii="宋体" w:hAnsi="宋体" w:eastAsia="宋体" w:cs="宋体"/>
                      <w:color w:val="auto"/>
                      <w:kern w:val="0"/>
                      <w:sz w:val="24"/>
                      <w:szCs w:val="24"/>
                      <w:lang w:val="en-US" w:eastAsia="zh-CN" w:bidi="ar-SA"/>
                    </w:rPr>
                  </w:pPr>
                  <w:r>
                    <w:rPr>
                      <w:rFonts w:hint="eastAsia" w:ascii="宋体" w:hAnsi="宋体" w:cs="宋体"/>
                      <w:b/>
                      <w:bCs/>
                      <w:color w:val="auto"/>
                      <w:sz w:val="24"/>
                      <w:szCs w:val="24"/>
                      <w:lang w:val="en-US" w:eastAsia="zh-CN"/>
                    </w:rPr>
                    <w:t>其中：</w:t>
                  </w:r>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06CFC695">
                  <w:pPr>
                    <w:widowControl/>
                    <w:jc w:val="center"/>
                    <w:rPr>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4621A2E9">
                  <w:pPr>
                    <w:widowControl/>
                    <w:jc w:val="center"/>
                    <w:rPr>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C35CD7D">
                  <w:pPr>
                    <w:widowControl/>
                    <w:jc w:val="center"/>
                    <w:rPr>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43AF55FA">
                  <w:pPr>
                    <w:widowControl/>
                    <w:tabs>
                      <w:tab w:val="left" w:pos="487"/>
                    </w:tabs>
                    <w:jc w:val="center"/>
                    <w:rPr>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F8CECC1">
                  <w:pPr>
                    <w:widowControl/>
                    <w:jc w:val="center"/>
                    <w:rPr>
                      <w:rFonts w:hint="eastAsia" w:ascii="宋体" w:hAnsi="宋体" w:cs="宋体"/>
                      <w:color w:val="000000"/>
                      <w:kern w:val="0"/>
                      <w:sz w:val="24"/>
                      <w:szCs w:val="24"/>
                      <w:lang w:val="en-US" w:eastAsia="zh-CN"/>
                    </w:rPr>
                  </w:pPr>
                </w:p>
              </w:tc>
            </w:tr>
            <w:tr w14:paraId="6D92CA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4A29A">
                  <w:pPr>
                    <w:widowControl/>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电动移液器</w:t>
                  </w:r>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944B22">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2</w:t>
                  </w:r>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F4F3F1">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eastAsia="zh-CN"/>
                    </w:rPr>
                    <w:t>套</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B4CC95">
                  <w:pPr>
                    <w:widowControl/>
                    <w:tabs>
                      <w:tab w:val="left" w:pos="487"/>
                    </w:tabs>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10000</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04610">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拒绝</w:t>
                  </w:r>
                  <w:r>
                    <w:rPr>
                      <w:rFonts w:hint="eastAsia" w:ascii="宋体" w:hAnsi="宋体" w:cs="宋体"/>
                      <w:color w:val="auto"/>
                      <w:kern w:val="0"/>
                      <w:sz w:val="24"/>
                      <w:szCs w:val="24"/>
                      <w:lang w:eastAsia="zh-CN"/>
                    </w:rPr>
                    <w:t>进口</w:t>
                  </w:r>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276478B8">
                  <w:pPr>
                    <w:widowControl/>
                    <w:jc w:val="center"/>
                    <w:rPr>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7F5B7857">
                  <w:pPr>
                    <w:widowControl/>
                    <w:jc w:val="center"/>
                    <w:rPr>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B18F4A8">
                  <w:pPr>
                    <w:widowControl/>
                    <w:jc w:val="center"/>
                    <w:rPr>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55CA60AF">
                  <w:pPr>
                    <w:widowControl/>
                    <w:tabs>
                      <w:tab w:val="left" w:pos="487"/>
                    </w:tabs>
                    <w:jc w:val="center"/>
                    <w:rPr>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096AEA90">
                  <w:pPr>
                    <w:widowControl/>
                    <w:jc w:val="center"/>
                    <w:rPr>
                      <w:rFonts w:hint="eastAsia" w:ascii="宋体" w:hAnsi="宋体" w:cs="宋体"/>
                      <w:color w:val="000000"/>
                      <w:kern w:val="0"/>
                      <w:sz w:val="24"/>
                      <w:szCs w:val="24"/>
                      <w:lang w:val="en-US" w:eastAsia="zh-CN"/>
                    </w:rPr>
                  </w:pPr>
                </w:p>
              </w:tc>
            </w:tr>
            <w:tr w14:paraId="7944E3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6A6A33">
                  <w:pPr>
                    <w:widowControl/>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8道移液枪</w:t>
                  </w:r>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427E79">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3</w:t>
                  </w:r>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6A10C4">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eastAsia="zh-CN"/>
                    </w:rPr>
                    <w:t>套</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F9918">
                  <w:pPr>
                    <w:widowControl/>
                    <w:tabs>
                      <w:tab w:val="left" w:pos="487"/>
                    </w:tabs>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24600</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66952">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拒绝</w:t>
                  </w:r>
                  <w:r>
                    <w:rPr>
                      <w:rFonts w:hint="eastAsia" w:ascii="宋体" w:hAnsi="宋体" w:cs="宋体"/>
                      <w:color w:val="auto"/>
                      <w:kern w:val="0"/>
                      <w:sz w:val="24"/>
                      <w:szCs w:val="24"/>
                      <w:lang w:eastAsia="zh-CN"/>
                    </w:rPr>
                    <w:t>进口</w:t>
                  </w:r>
                </w:p>
              </w:tc>
              <w:tc>
                <w:tcPr>
                  <w:tcW w:w="2476" w:type="dxa"/>
                  <w:tcBorders>
                    <w:top w:val="single" w:color="E9AD1D" w:sz="6" w:space="0"/>
                    <w:left w:val="single" w:color="FFFFFF" w:sz="6" w:space="0"/>
                    <w:bottom w:val="single" w:color="E9AD1D" w:sz="6" w:space="0"/>
                    <w:right w:val="single" w:color="FFFFFF" w:sz="0" w:space="0"/>
                  </w:tcBorders>
                  <w:shd w:val="clear" w:color="auto" w:fill="FFFDFA"/>
                  <w:noWrap w:val="0"/>
                  <w:vAlign w:val="center"/>
                </w:tcPr>
                <w:p w14:paraId="43D53928">
                  <w:pPr>
                    <w:widowControl/>
                    <w:jc w:val="center"/>
                    <w:rPr>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E9AD1D" w:sz="6" w:space="0"/>
                    <w:right w:val="single" w:color="FBF1D7" w:sz="0" w:space="0"/>
                  </w:tcBorders>
                  <w:shd w:val="clear" w:color="auto" w:fill="FFFDFA"/>
                  <w:noWrap w:val="0"/>
                  <w:vAlign w:val="center"/>
                </w:tcPr>
                <w:p w14:paraId="0DA00BA2">
                  <w:pPr>
                    <w:widowControl/>
                    <w:jc w:val="center"/>
                    <w:rPr>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6144EA43">
                  <w:pPr>
                    <w:widowControl/>
                    <w:jc w:val="center"/>
                    <w:rPr>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3D9BAF2C">
                  <w:pPr>
                    <w:widowControl/>
                    <w:tabs>
                      <w:tab w:val="left" w:pos="487"/>
                    </w:tabs>
                    <w:jc w:val="center"/>
                    <w:rPr>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E9AD1D" w:sz="6" w:space="0"/>
                    <w:right w:val="single" w:color="FBF1D7" w:sz="0" w:space="0"/>
                  </w:tcBorders>
                  <w:shd w:val="clear" w:color="auto" w:fill="FFFDFA"/>
                  <w:noWrap w:val="0"/>
                  <w:vAlign w:val="center"/>
                </w:tcPr>
                <w:p w14:paraId="7569DED9">
                  <w:pPr>
                    <w:widowControl/>
                    <w:jc w:val="center"/>
                    <w:rPr>
                      <w:rFonts w:hint="eastAsia" w:ascii="宋体" w:hAnsi="宋体" w:cs="宋体"/>
                      <w:color w:val="000000"/>
                      <w:kern w:val="0"/>
                      <w:sz w:val="24"/>
                      <w:szCs w:val="24"/>
                      <w:lang w:val="en-US" w:eastAsia="zh-CN"/>
                    </w:rPr>
                  </w:pPr>
                </w:p>
              </w:tc>
            </w:tr>
            <w:tr w14:paraId="203E37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3B050">
                  <w:pPr>
                    <w:widowControl/>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单道移液枪</w:t>
                  </w:r>
                </w:p>
              </w:tc>
              <w:tc>
                <w:tcPr>
                  <w:tcW w:w="6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9DA25">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17</w:t>
                  </w:r>
                </w:p>
              </w:tc>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22310">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eastAsia="zh-CN"/>
                    </w:rPr>
                    <w:t>套</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45F8B">
                  <w:pPr>
                    <w:widowControl/>
                    <w:tabs>
                      <w:tab w:val="left" w:pos="487"/>
                    </w:tabs>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28900</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C8C39">
                  <w:pPr>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拒绝</w:t>
                  </w:r>
                  <w:r>
                    <w:rPr>
                      <w:rFonts w:hint="eastAsia" w:ascii="宋体" w:hAnsi="宋体" w:cs="宋体"/>
                      <w:color w:val="auto"/>
                      <w:kern w:val="0"/>
                      <w:sz w:val="24"/>
                      <w:szCs w:val="24"/>
                      <w:lang w:eastAsia="zh-CN"/>
                    </w:rPr>
                    <w:t>进口</w:t>
                  </w:r>
                </w:p>
              </w:tc>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703F284">
                  <w:pPr>
                    <w:widowControl/>
                    <w:jc w:val="center"/>
                    <w:rPr>
                      <w:rFonts w:hint="default" w:ascii="宋体" w:hAnsi="宋体" w:eastAsia="宋体" w:cs="宋体"/>
                      <w:color w:val="000000"/>
                      <w:sz w:val="24"/>
                      <w:szCs w:val="24"/>
                      <w:lang w:val="en-US" w:eastAsia="zh-CN"/>
                    </w:rPr>
                  </w:pP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4BAFECA3">
                  <w:pPr>
                    <w:widowControl/>
                    <w:jc w:val="center"/>
                    <w:rPr>
                      <w:rFonts w:hint="eastAsia" w:ascii="宋体" w:hAnsi="宋体" w:cs="宋体"/>
                      <w:color w:val="000000"/>
                      <w:kern w:val="0"/>
                      <w:sz w:val="24"/>
                      <w:szCs w:val="24"/>
                      <w:lang w:val="en-US" w:eastAsia="zh-CN"/>
                    </w:rPr>
                  </w:pP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65E0C6E0">
                  <w:pPr>
                    <w:widowControl/>
                    <w:jc w:val="center"/>
                    <w:rPr>
                      <w:rFonts w:hint="eastAsia" w:ascii="宋体" w:hAnsi="宋体" w:cs="宋体"/>
                      <w:color w:val="000000"/>
                      <w:kern w:val="0"/>
                      <w:sz w:val="24"/>
                      <w:szCs w:val="24"/>
                      <w:lang w:val="en-US" w:eastAsia="zh-CN"/>
                    </w:rPr>
                  </w:pP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7AB1B09D">
                  <w:pPr>
                    <w:widowControl/>
                    <w:tabs>
                      <w:tab w:val="left" w:pos="487"/>
                    </w:tabs>
                    <w:jc w:val="center"/>
                    <w:rPr>
                      <w:rFonts w:hint="eastAsia" w:ascii="宋体" w:hAnsi="宋体" w:cs="宋体"/>
                      <w:color w:val="000000"/>
                      <w:kern w:val="0"/>
                      <w:sz w:val="24"/>
                      <w:szCs w:val="24"/>
                      <w:lang w:val="en-US" w:eastAsia="zh-CN"/>
                    </w:rPr>
                  </w:pP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22D6F992">
                  <w:pPr>
                    <w:widowControl/>
                    <w:jc w:val="center"/>
                    <w:rPr>
                      <w:rFonts w:hint="eastAsia" w:ascii="宋体" w:hAnsi="宋体" w:cs="宋体"/>
                      <w:color w:val="000000"/>
                      <w:kern w:val="0"/>
                      <w:sz w:val="24"/>
                      <w:szCs w:val="24"/>
                      <w:lang w:val="en-US" w:eastAsia="zh-CN"/>
                    </w:rPr>
                  </w:pPr>
                </w:p>
              </w:tc>
            </w:tr>
          </w:tbl>
          <w:p w14:paraId="3F4A2697">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787"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984"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w:t>
            </w:r>
            <w:r>
              <w:rPr>
                <w:rFonts w:hint="eastAsia" w:ascii="宋体" w:hAnsi="宋体" w:cs="宋体"/>
                <w:b/>
                <w:bCs/>
                <w:color w:val="auto"/>
                <w:kern w:val="0"/>
                <w:sz w:val="24"/>
                <w:szCs w:val="24"/>
                <w:lang w:val="en-US" w:eastAsia="zh-CN"/>
              </w:rPr>
              <w:t>满分</w:t>
            </w:r>
            <w:r>
              <w:rPr>
                <w:rFonts w:hint="eastAsia" w:ascii="宋体" w:hAnsi="宋体" w:eastAsia="宋体" w:cs="宋体"/>
                <w:b/>
                <w:bCs/>
                <w:color w:val="auto"/>
                <w:kern w:val="0"/>
                <w:sz w:val="24"/>
                <w:szCs w:val="24"/>
              </w:rPr>
              <w:t>4</w:t>
            </w:r>
            <w:r>
              <w:rPr>
                <w:rFonts w:hint="eastAsia" w:ascii="宋体" w:hAnsi="宋体" w:cs="宋体"/>
                <w:b/>
                <w:bCs/>
                <w:color w:val="auto"/>
                <w:kern w:val="0"/>
                <w:sz w:val="24"/>
                <w:szCs w:val="24"/>
                <w:lang w:val="en-US" w:eastAsia="zh-CN"/>
              </w:rPr>
              <w:t>5</w:t>
            </w:r>
            <w:r>
              <w:rPr>
                <w:rFonts w:hint="eastAsia" w:ascii="宋体" w:hAnsi="宋体" w:eastAsia="宋体" w:cs="宋体"/>
                <w:b/>
                <w:bCs/>
                <w:color w:val="auto"/>
                <w:kern w:val="0"/>
                <w:sz w:val="24"/>
                <w:szCs w:val="24"/>
              </w:rPr>
              <w:t>分</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扣完为止</w:t>
            </w:r>
            <w:r>
              <w:rPr>
                <w:rFonts w:hint="eastAsia" w:ascii="宋体" w:hAnsi="宋体" w:eastAsia="宋体" w:cs="宋体"/>
                <w:b/>
                <w:bCs/>
                <w:color w:val="auto"/>
                <w:kern w:val="0"/>
                <w:sz w:val="24"/>
                <w:szCs w:val="24"/>
              </w:rPr>
              <w:t>）</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3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D9BAF5E">
            <w:pPr>
              <w:widowControl/>
              <w:spacing w:before="100" w:beforeAutospacing="1" w:after="100" w:afterAutospacing="1"/>
              <w:jc w:val="center"/>
              <w:rPr>
                <w:rFonts w:hint="eastAsia" w:ascii="宋体" w:hAnsi="宋体" w:eastAsia="宋体" w:cs="宋体"/>
                <w:b/>
                <w:bCs/>
                <w:kern w:val="2"/>
                <w:sz w:val="24"/>
                <w:szCs w:val="24"/>
                <w:lang w:val="en-US" w:eastAsia="zh-CN" w:bidi="ar-SA"/>
              </w:rPr>
            </w:pPr>
            <w:r>
              <w:rPr>
                <w:rFonts w:hint="eastAsia" w:ascii="宋体" w:hAnsi="宋体" w:cs="宋体"/>
                <w:b/>
                <w:bCs/>
                <w:sz w:val="24"/>
                <w:szCs w:val="24"/>
                <w:lang w:eastAsia="zh-CN"/>
              </w:rPr>
              <w:t>一</w:t>
            </w:r>
          </w:p>
        </w:tc>
        <w:tc>
          <w:tcPr>
            <w:tcW w:w="6984" w:type="dxa"/>
            <w:tcBorders>
              <w:top w:val="single" w:color="auto" w:sz="6" w:space="0"/>
              <w:left w:val="single" w:color="auto" w:sz="6" w:space="0"/>
              <w:bottom w:val="nil"/>
              <w:right w:val="nil"/>
            </w:tcBorders>
            <w:shd w:val="clear" w:color="auto" w:fill="auto"/>
            <w:noWrap w:val="0"/>
            <w:vAlign w:val="center"/>
          </w:tcPr>
          <w:p w14:paraId="768F944F">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cs="宋体"/>
                <w:b/>
                <w:bCs/>
                <w:color w:val="auto"/>
                <w:sz w:val="24"/>
                <w:szCs w:val="24"/>
                <w:lang w:val="en-US" w:eastAsia="zh-CN"/>
              </w:rPr>
              <w:t>电动移液器，预算单价5000元/套</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00"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BD88AB9">
            <w:pPr>
              <w:widowControl/>
              <w:spacing w:before="100" w:beforeAutospacing="1" w:after="100" w:afterAutospacing="1"/>
              <w:jc w:val="center"/>
              <w:rPr>
                <w:rFonts w:hint="default" w:ascii="宋体" w:hAnsi="宋体" w:eastAsia="宋体" w:cs="宋体"/>
                <w:kern w:val="2"/>
                <w:sz w:val="21"/>
                <w:szCs w:val="20"/>
                <w:lang w:val="en-US" w:eastAsia="zh-CN" w:bidi="ar-SA"/>
              </w:rPr>
            </w:pPr>
            <w:r>
              <w:rPr>
                <w:rFonts w:hint="eastAsia" w:ascii="宋体" w:hAnsi="宋体" w:cs="宋体"/>
                <w:szCs w:val="20"/>
              </w:rPr>
              <w:t>1</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7BD4E7CB">
            <w:pPr>
              <w:widowControl/>
              <w:spacing w:before="100" w:beforeAutospacing="1" w:after="100" w:afterAutospacing="1"/>
              <w:jc w:val="left"/>
              <w:rPr>
                <w:rFonts w:hint="eastAsia" w:ascii="宋体" w:hAnsi="宋体" w:eastAsia="宋体" w:cs="宋体"/>
                <w:szCs w:val="20"/>
                <w:lang w:val="en-US" w:eastAsia="zh-CN"/>
              </w:rPr>
            </w:pPr>
            <w:r>
              <w:rPr>
                <w:rFonts w:hint="eastAsia"/>
              </w:rPr>
              <w:t>单次充电后运行时间≥15h</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2.25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0DB596F1">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rPr>
              <w:t>2</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33BDB3A5">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与有刻度的玻璃和塑料血清移液管配合使用，</w:t>
            </w:r>
            <w:r>
              <w:rPr>
                <w:rFonts w:hint="eastAsia" w:ascii="宋体" w:hAnsi="宋体" w:cs="宋体"/>
                <w:szCs w:val="20"/>
                <w:lang w:val="en-US" w:eastAsia="zh-CN"/>
              </w:rPr>
              <w:t>适配</w:t>
            </w:r>
            <w:r>
              <w:rPr>
                <w:rFonts w:hint="default" w:ascii="宋体" w:hAnsi="宋体" w:eastAsia="宋体" w:cs="宋体"/>
                <w:szCs w:val="20"/>
                <w:lang w:val="en-US" w:eastAsia="zh-CN"/>
              </w:rPr>
              <w:t>0.1</w:t>
            </w:r>
            <w:r>
              <w:rPr>
                <w:rFonts w:hint="eastAsia" w:ascii="宋体" w:hAnsi="宋体" w:cs="宋体"/>
                <w:szCs w:val="20"/>
                <w:lang w:val="en-US" w:eastAsia="zh-CN"/>
              </w:rPr>
              <w:t>-</w:t>
            </w:r>
            <w:r>
              <w:rPr>
                <w:rFonts w:hint="default" w:ascii="宋体" w:hAnsi="宋体" w:eastAsia="宋体" w:cs="宋体"/>
                <w:szCs w:val="20"/>
                <w:lang w:val="en-US" w:eastAsia="zh-CN"/>
              </w:rPr>
              <w:t>100mL移液管</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1DF4C051">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rPr>
              <w:t>3</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78A2EC55">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显示器性能</w:t>
            </w:r>
            <w:r>
              <w:rPr>
                <w:rFonts w:hint="eastAsia" w:ascii="宋体" w:hAnsi="宋体" w:cs="宋体"/>
                <w:szCs w:val="20"/>
                <w:lang w:val="en-US" w:eastAsia="zh-CN"/>
              </w:rPr>
              <w:t>：</w:t>
            </w:r>
            <w:r>
              <w:rPr>
                <w:rFonts w:hint="default" w:ascii="宋体" w:hAnsi="宋体" w:eastAsia="宋体" w:cs="宋体"/>
                <w:szCs w:val="20"/>
                <w:lang w:val="en-US" w:eastAsia="zh-CN"/>
              </w:rPr>
              <w:t>背光LCD显示屏可对电池剩余电量和速度设置进行视觉确认</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3B32453">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rPr>
              <w:t>4</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31069815">
            <w:pPr>
              <w:widowControl/>
              <w:spacing w:before="100" w:beforeAutospacing="1" w:after="100" w:afterAutospacing="1"/>
              <w:jc w:val="left"/>
              <w:rPr>
                <w:rFonts w:hint="eastAsia" w:ascii="宋体" w:hAnsi="宋体" w:eastAsia="宋体" w:cs="宋体"/>
                <w:szCs w:val="20"/>
                <w:lang w:val="en-US" w:eastAsia="zh-CN"/>
              </w:rPr>
            </w:pPr>
            <w:r>
              <w:rPr>
                <w:rFonts w:hint="eastAsia" w:ascii="宋体" w:hAnsi="宋体" w:cs="宋体"/>
                <w:szCs w:val="20"/>
                <w:lang w:val="en-US" w:eastAsia="zh-CN"/>
              </w:rPr>
              <w:t>至少</w:t>
            </w:r>
            <w:r>
              <w:rPr>
                <w:rFonts w:hint="default" w:ascii="宋体" w:hAnsi="宋体" w:eastAsia="宋体" w:cs="宋体"/>
                <w:szCs w:val="20"/>
                <w:lang w:val="en-US" w:eastAsia="zh-CN"/>
              </w:rPr>
              <w:t>八种速度可选，可通过简单的“+”或“-”来调整LCD上显示的移液速度</w:t>
            </w:r>
            <w:bookmarkStart w:id="15" w:name="_GoBack"/>
            <w:bookmarkEnd w:id="15"/>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0C478AB3">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rPr>
              <w:t>5</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14D66A74">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配套桌面支撑架</w:t>
            </w: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5C65907">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rPr>
              <w:t>6</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254EE882">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可整支紫外线灭菌</w:t>
            </w: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16DB3B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94B827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2AB913FF">
            <w:pPr>
              <w:widowControl/>
              <w:spacing w:before="100" w:beforeAutospacing="1" w:after="100" w:afterAutospacing="1"/>
              <w:jc w:val="center"/>
              <w:rPr>
                <w:rFonts w:hint="default" w:ascii="宋体" w:hAnsi="宋体" w:eastAsia="宋体" w:cs="宋体"/>
                <w:b/>
                <w:bCs/>
                <w:kern w:val="2"/>
                <w:sz w:val="21"/>
                <w:szCs w:val="20"/>
                <w:lang w:val="en-US" w:eastAsia="zh-CN" w:bidi="ar-SA"/>
              </w:rPr>
            </w:pPr>
            <w:r>
              <w:rPr>
                <w:rFonts w:hint="eastAsia" w:ascii="宋体" w:hAnsi="宋体" w:cs="宋体"/>
                <w:b/>
                <w:bCs/>
                <w:szCs w:val="20"/>
                <w:lang w:eastAsia="zh-CN"/>
              </w:rPr>
              <w:t>二</w:t>
            </w:r>
          </w:p>
        </w:tc>
        <w:tc>
          <w:tcPr>
            <w:tcW w:w="6984" w:type="dxa"/>
            <w:tcBorders>
              <w:top w:val="single" w:color="auto" w:sz="6" w:space="0"/>
              <w:left w:val="single" w:color="auto" w:sz="6" w:space="0"/>
              <w:bottom w:val="nil"/>
              <w:right w:val="nil"/>
            </w:tcBorders>
            <w:shd w:val="clear" w:color="auto" w:fill="auto"/>
            <w:noWrap w:val="0"/>
            <w:vAlign w:val="center"/>
          </w:tcPr>
          <w:p w14:paraId="2CC5BA7E">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cs="宋体"/>
                <w:b/>
                <w:bCs/>
                <w:color w:val="auto"/>
                <w:sz w:val="24"/>
                <w:szCs w:val="24"/>
                <w:lang w:val="en-US" w:eastAsia="zh-CN"/>
              </w:rPr>
              <w:t>8道移液枪，预算单价8200元/套</w:t>
            </w:r>
          </w:p>
        </w:tc>
        <w:tc>
          <w:tcPr>
            <w:tcW w:w="1109" w:type="dxa"/>
            <w:tcBorders>
              <w:top w:val="single" w:color="auto" w:sz="6" w:space="0"/>
              <w:left w:val="single" w:color="auto" w:sz="6" w:space="0"/>
              <w:bottom w:val="nil"/>
              <w:right w:val="nil"/>
            </w:tcBorders>
            <w:noWrap w:val="0"/>
            <w:vAlign w:val="center"/>
          </w:tcPr>
          <w:p w14:paraId="0F733EED">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0A4357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66BE0FA">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4C9DEF71">
            <w:pPr>
              <w:widowControl/>
              <w:spacing w:before="100" w:beforeAutospacing="1" w:after="100" w:afterAutospacing="1"/>
              <w:jc w:val="center"/>
              <w:rPr>
                <w:rFonts w:hint="default" w:ascii="宋体" w:hAnsi="宋体" w:eastAsia="宋体" w:cs="宋体"/>
                <w:kern w:val="2"/>
                <w:sz w:val="21"/>
                <w:szCs w:val="20"/>
                <w:lang w:val="en-US" w:eastAsia="zh-CN" w:bidi="ar-SA"/>
              </w:rPr>
            </w:pPr>
            <w:r>
              <w:rPr>
                <w:rFonts w:hint="eastAsia" w:ascii="宋体" w:hAnsi="宋体" w:cs="宋体"/>
                <w:szCs w:val="20"/>
              </w:rPr>
              <w:t>1</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7519C724">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重量≤80g</w:t>
            </w:r>
          </w:p>
        </w:tc>
        <w:tc>
          <w:tcPr>
            <w:tcW w:w="1109" w:type="dxa"/>
            <w:tcBorders>
              <w:top w:val="single" w:color="auto" w:sz="6" w:space="0"/>
              <w:left w:val="single" w:color="auto" w:sz="6" w:space="0"/>
              <w:bottom w:val="nil"/>
              <w:right w:val="nil"/>
            </w:tcBorders>
            <w:noWrap w:val="0"/>
            <w:vAlign w:val="center"/>
          </w:tcPr>
          <w:p w14:paraId="0E5C6EF9">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5BCFA5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58FD581">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1D66A703">
            <w:pPr>
              <w:widowControl/>
              <w:spacing w:before="100" w:beforeAutospacing="1" w:after="100" w:afterAutospacing="1"/>
              <w:jc w:val="center"/>
              <w:rPr>
                <w:rFonts w:hint="default" w:ascii="宋体" w:hAnsi="宋体" w:eastAsia="宋体" w:cs="宋体"/>
                <w:kern w:val="2"/>
                <w:sz w:val="21"/>
                <w:szCs w:val="20"/>
                <w:lang w:val="en-US" w:eastAsia="zh-CN" w:bidi="ar-SA"/>
              </w:rPr>
            </w:pPr>
            <w:r>
              <w:rPr>
                <w:rFonts w:hint="eastAsia" w:ascii="宋体" w:hAnsi="宋体" w:cs="宋体"/>
                <w:szCs w:val="20"/>
              </w:rPr>
              <w:t>2</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58C985A6">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耐高温抗腐蚀</w:t>
            </w:r>
            <w:r>
              <w:rPr>
                <w:rFonts w:hint="eastAsia" w:ascii="宋体" w:hAnsi="宋体" w:cs="宋体"/>
                <w:szCs w:val="20"/>
                <w:lang w:eastAsia="zh-CN"/>
              </w:rPr>
              <w:t>；</w:t>
            </w:r>
            <w:r>
              <w:rPr>
                <w:rFonts w:hint="default" w:ascii="宋体" w:hAnsi="宋体" w:eastAsia="宋体" w:cs="宋体"/>
                <w:szCs w:val="20"/>
                <w:lang w:val="en-US" w:eastAsia="zh-CN"/>
              </w:rPr>
              <w:t>可整支高温高压灭菌和紫外线灭菌</w:t>
            </w:r>
          </w:p>
        </w:tc>
        <w:tc>
          <w:tcPr>
            <w:tcW w:w="1109" w:type="dxa"/>
            <w:tcBorders>
              <w:top w:val="single" w:color="auto" w:sz="6" w:space="0"/>
              <w:left w:val="single" w:color="auto" w:sz="6" w:space="0"/>
              <w:bottom w:val="nil"/>
              <w:right w:val="nil"/>
            </w:tcBorders>
            <w:noWrap w:val="0"/>
            <w:vAlign w:val="center"/>
          </w:tcPr>
          <w:p w14:paraId="1AAD1065">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2D1CBA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12A6734">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79D01C1">
            <w:pPr>
              <w:widowControl/>
              <w:spacing w:before="100" w:beforeAutospacing="1" w:after="100" w:afterAutospacing="1"/>
              <w:jc w:val="center"/>
              <w:rPr>
                <w:rFonts w:hint="default" w:ascii="宋体" w:hAnsi="宋体" w:eastAsia="宋体" w:cs="宋体"/>
                <w:kern w:val="2"/>
                <w:sz w:val="21"/>
                <w:szCs w:val="20"/>
                <w:lang w:val="en-US" w:eastAsia="zh-CN" w:bidi="ar-SA"/>
              </w:rPr>
            </w:pPr>
            <w:r>
              <w:rPr>
                <w:rFonts w:hint="eastAsia" w:ascii="宋体" w:hAnsi="宋体" w:cs="宋体"/>
                <w:szCs w:val="20"/>
              </w:rPr>
              <w:t>3</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78F43D37">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下半支可徒手拆卸</w:t>
            </w:r>
          </w:p>
        </w:tc>
        <w:tc>
          <w:tcPr>
            <w:tcW w:w="1109" w:type="dxa"/>
            <w:tcBorders>
              <w:top w:val="single" w:color="auto" w:sz="6" w:space="0"/>
              <w:left w:val="single" w:color="auto" w:sz="6" w:space="0"/>
              <w:bottom w:val="nil"/>
              <w:right w:val="nil"/>
            </w:tcBorders>
            <w:noWrap w:val="0"/>
            <w:vAlign w:val="center"/>
          </w:tcPr>
          <w:p w14:paraId="48CCF67C">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277009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51557E6">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779DB28">
            <w:pPr>
              <w:widowControl/>
              <w:spacing w:before="100" w:beforeAutospacing="1" w:after="100" w:afterAutospacing="1"/>
              <w:jc w:val="center"/>
              <w:rPr>
                <w:rFonts w:hint="default" w:ascii="宋体" w:hAnsi="宋体" w:eastAsia="宋体" w:cs="宋体"/>
                <w:kern w:val="2"/>
                <w:sz w:val="21"/>
                <w:szCs w:val="20"/>
                <w:lang w:val="en-US" w:eastAsia="zh-CN" w:bidi="ar-SA"/>
              </w:rPr>
            </w:pPr>
            <w:r>
              <w:rPr>
                <w:rFonts w:hint="eastAsia" w:ascii="宋体" w:hAnsi="宋体" w:cs="宋体"/>
                <w:szCs w:val="20"/>
              </w:rPr>
              <w:t>4</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642DFD77">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伸缩式弹性吸嘴</w:t>
            </w:r>
          </w:p>
        </w:tc>
        <w:tc>
          <w:tcPr>
            <w:tcW w:w="1109" w:type="dxa"/>
            <w:tcBorders>
              <w:top w:val="single" w:color="auto" w:sz="6" w:space="0"/>
              <w:left w:val="single" w:color="auto" w:sz="6" w:space="0"/>
              <w:bottom w:val="nil"/>
              <w:right w:val="nil"/>
            </w:tcBorders>
            <w:noWrap w:val="0"/>
            <w:vAlign w:val="center"/>
          </w:tcPr>
          <w:p w14:paraId="7E77D215">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33095C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A4C172A">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79DC6EE5">
            <w:pPr>
              <w:widowControl/>
              <w:spacing w:before="100" w:beforeAutospacing="1" w:after="100" w:afterAutospacing="1"/>
              <w:jc w:val="center"/>
              <w:rPr>
                <w:rFonts w:hint="default" w:ascii="宋体" w:hAnsi="宋体" w:eastAsia="宋体" w:cs="宋体"/>
                <w:kern w:val="2"/>
                <w:sz w:val="21"/>
                <w:szCs w:val="20"/>
                <w:lang w:val="en-US" w:eastAsia="zh-CN" w:bidi="ar-SA"/>
              </w:rPr>
            </w:pPr>
            <w:r>
              <w:rPr>
                <w:rFonts w:hint="eastAsia" w:ascii="宋体" w:hAnsi="宋体" w:cs="宋体"/>
                <w:szCs w:val="20"/>
              </w:rPr>
              <w:t>5</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1B0A07E8">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四位数字放大体积显示</w:t>
            </w:r>
          </w:p>
        </w:tc>
        <w:tc>
          <w:tcPr>
            <w:tcW w:w="1109" w:type="dxa"/>
            <w:tcBorders>
              <w:top w:val="single" w:color="auto" w:sz="6" w:space="0"/>
              <w:left w:val="single" w:color="auto" w:sz="6" w:space="0"/>
              <w:bottom w:val="nil"/>
              <w:right w:val="nil"/>
            </w:tcBorders>
            <w:noWrap w:val="0"/>
            <w:vAlign w:val="center"/>
          </w:tcPr>
          <w:p w14:paraId="7157CBD4">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449392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AE2E64E">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3B668909">
            <w:pPr>
              <w:widowControl/>
              <w:spacing w:before="100" w:beforeAutospacing="1" w:after="100" w:afterAutospacing="1"/>
              <w:jc w:val="center"/>
              <w:rPr>
                <w:rFonts w:hint="default" w:ascii="宋体" w:hAnsi="宋体" w:eastAsia="宋体" w:cs="宋体"/>
                <w:kern w:val="2"/>
                <w:sz w:val="21"/>
                <w:szCs w:val="20"/>
                <w:lang w:val="en-US" w:eastAsia="zh-CN" w:bidi="ar-SA"/>
              </w:rPr>
            </w:pPr>
            <w:r>
              <w:rPr>
                <w:rFonts w:hint="eastAsia" w:ascii="宋体" w:hAnsi="宋体" w:cs="宋体"/>
                <w:szCs w:val="20"/>
              </w:rPr>
              <w:t>6</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08B42754">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体积视窗位置在前面，可单手设定体积及操作</w:t>
            </w:r>
          </w:p>
        </w:tc>
        <w:tc>
          <w:tcPr>
            <w:tcW w:w="1109" w:type="dxa"/>
            <w:tcBorders>
              <w:top w:val="single" w:color="auto" w:sz="6" w:space="0"/>
              <w:left w:val="single" w:color="auto" w:sz="6" w:space="0"/>
              <w:bottom w:val="nil"/>
              <w:right w:val="nil"/>
            </w:tcBorders>
            <w:noWrap w:val="0"/>
            <w:vAlign w:val="center"/>
          </w:tcPr>
          <w:p w14:paraId="773CF39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3FF139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8C3E177">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2A8816D9">
            <w:pPr>
              <w:widowControl/>
              <w:spacing w:before="100" w:beforeAutospacing="1" w:after="100" w:afterAutospacing="1"/>
              <w:jc w:val="center"/>
              <w:rPr>
                <w:rFonts w:hint="default" w:ascii="宋体" w:hAnsi="宋体" w:eastAsia="宋体" w:cs="宋体"/>
                <w:kern w:val="2"/>
                <w:sz w:val="21"/>
                <w:szCs w:val="20"/>
                <w:lang w:val="en-US" w:eastAsia="zh-CN" w:bidi="ar-SA"/>
              </w:rPr>
            </w:pPr>
            <w:r>
              <w:rPr>
                <w:rFonts w:hint="eastAsia" w:ascii="宋体" w:hAnsi="宋体" w:cs="宋体"/>
                <w:szCs w:val="20"/>
              </w:rPr>
              <w:t>7</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0F429B04">
            <w:pPr>
              <w:widowControl/>
              <w:spacing w:before="100" w:beforeAutospacing="1" w:after="100" w:afterAutospacing="1"/>
              <w:jc w:val="left"/>
              <w:rPr>
                <w:rFonts w:hint="eastAsia" w:ascii="宋体" w:hAnsi="宋体" w:eastAsia="宋体" w:cs="宋体"/>
                <w:szCs w:val="20"/>
                <w:lang w:val="en-US" w:eastAsia="zh-CN"/>
              </w:rPr>
            </w:pPr>
            <w:r>
              <w:rPr>
                <w:rFonts w:hint="default" w:ascii="宋体" w:hAnsi="宋体" w:eastAsia="宋体" w:cs="宋体"/>
                <w:szCs w:val="20"/>
                <w:lang w:val="en-US" w:eastAsia="zh-CN"/>
              </w:rPr>
              <w:t>量程</w:t>
            </w:r>
            <w:r>
              <w:rPr>
                <w:rFonts w:hint="eastAsia" w:ascii="宋体" w:hAnsi="宋体" w:cs="宋体"/>
                <w:szCs w:val="20"/>
                <w:lang w:val="en-US" w:eastAsia="zh-CN"/>
              </w:rPr>
              <w:t>：</w:t>
            </w:r>
            <w:r>
              <w:rPr>
                <w:rFonts w:hint="default" w:ascii="宋体" w:hAnsi="宋体" w:eastAsia="宋体" w:cs="宋体"/>
                <w:szCs w:val="20"/>
                <w:lang w:val="en-US" w:eastAsia="zh-CN"/>
              </w:rPr>
              <w:t>0.5-10ul,10-100ul,30-300ul可选</w:t>
            </w:r>
          </w:p>
        </w:tc>
        <w:tc>
          <w:tcPr>
            <w:tcW w:w="1109" w:type="dxa"/>
            <w:tcBorders>
              <w:top w:val="single" w:color="auto" w:sz="6" w:space="0"/>
              <w:left w:val="single" w:color="auto" w:sz="6" w:space="0"/>
              <w:bottom w:val="nil"/>
              <w:right w:val="nil"/>
            </w:tcBorders>
            <w:noWrap w:val="0"/>
            <w:vAlign w:val="center"/>
          </w:tcPr>
          <w:p w14:paraId="09393A9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5F14C5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9FE80ED">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2DAE81A2">
            <w:pPr>
              <w:widowControl/>
              <w:spacing w:before="100" w:beforeAutospacing="1" w:after="100" w:afterAutospacing="1"/>
              <w:jc w:val="center"/>
              <w:rPr>
                <w:rFonts w:hint="default"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三</w:t>
            </w:r>
          </w:p>
        </w:tc>
        <w:tc>
          <w:tcPr>
            <w:tcW w:w="6984" w:type="dxa"/>
            <w:tcBorders>
              <w:top w:val="single" w:color="auto" w:sz="6" w:space="0"/>
              <w:left w:val="single" w:color="auto" w:sz="6" w:space="0"/>
              <w:bottom w:val="nil"/>
              <w:right w:val="nil"/>
            </w:tcBorders>
            <w:shd w:val="clear" w:color="auto" w:fill="auto"/>
            <w:noWrap w:val="0"/>
            <w:vAlign w:val="center"/>
          </w:tcPr>
          <w:p w14:paraId="4B18C42E">
            <w:pPr>
              <w:widowControl/>
              <w:spacing w:before="100" w:beforeAutospacing="1" w:after="100" w:afterAutospacing="1"/>
              <w:jc w:val="left"/>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sz w:val="24"/>
                <w:szCs w:val="24"/>
                <w:lang w:val="en-US" w:eastAsia="zh-CN"/>
              </w:rPr>
              <w:t>单道加样枪，预算单价1700元/套</w:t>
            </w:r>
          </w:p>
        </w:tc>
        <w:tc>
          <w:tcPr>
            <w:tcW w:w="1109" w:type="dxa"/>
            <w:tcBorders>
              <w:top w:val="single" w:color="auto" w:sz="6" w:space="0"/>
              <w:left w:val="single" w:color="auto" w:sz="6" w:space="0"/>
              <w:bottom w:val="nil"/>
              <w:right w:val="nil"/>
            </w:tcBorders>
            <w:noWrap w:val="0"/>
            <w:vAlign w:val="center"/>
          </w:tcPr>
          <w:p w14:paraId="47226B9B">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080C9B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727E27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1DA0D967">
            <w:pPr>
              <w:widowControl/>
              <w:spacing w:before="100" w:beforeAutospacing="1" w:after="100" w:afterAutospacing="1"/>
              <w:jc w:val="center"/>
              <w:rPr>
                <w:rFonts w:hint="default" w:ascii="宋体" w:hAnsi="宋体" w:eastAsia="宋体" w:cs="宋体"/>
                <w:kern w:val="2"/>
                <w:sz w:val="21"/>
                <w:szCs w:val="20"/>
                <w:lang w:val="en-US" w:eastAsia="zh-CN" w:bidi="ar-SA"/>
              </w:rPr>
            </w:pPr>
            <w:r>
              <w:rPr>
                <w:rFonts w:hint="eastAsia" w:ascii="宋体" w:hAnsi="宋体"/>
                <w:color w:val="000000"/>
                <w:szCs w:val="21"/>
              </w:rPr>
              <w:t>1</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3C728B60">
            <w:pPr>
              <w:widowControl/>
              <w:numPr>
                <w:ilvl w:val="0"/>
                <w:numId w:val="0"/>
              </w:numPr>
              <w:spacing w:before="100" w:beforeAutospacing="1" w:after="100" w:afterAutospacing="1"/>
              <w:ind w:left="0" w:leftChars="0" w:firstLine="0" w:firstLineChars="0"/>
              <w:jc w:val="left"/>
              <w:rPr>
                <w:rFonts w:hint="eastAsia" w:ascii="宋体" w:hAnsi="宋体" w:eastAsia="宋体" w:cs="宋体"/>
                <w:kern w:val="2"/>
                <w:sz w:val="21"/>
                <w:szCs w:val="20"/>
                <w:lang w:val="en-US" w:eastAsia="zh-CN" w:bidi="ar-SA"/>
              </w:rPr>
            </w:pPr>
            <w:r>
              <w:rPr>
                <w:rFonts w:hint="eastAsia" w:ascii="宋体" w:hAnsi="宋体" w:cs="宋体"/>
                <w:szCs w:val="20"/>
              </w:rPr>
              <w:t>重量≤80g</w:t>
            </w:r>
          </w:p>
        </w:tc>
        <w:tc>
          <w:tcPr>
            <w:tcW w:w="1109" w:type="dxa"/>
            <w:tcBorders>
              <w:top w:val="single" w:color="auto" w:sz="6" w:space="0"/>
              <w:left w:val="single" w:color="auto" w:sz="6" w:space="0"/>
              <w:bottom w:val="nil"/>
              <w:right w:val="nil"/>
            </w:tcBorders>
            <w:noWrap w:val="0"/>
            <w:vAlign w:val="center"/>
          </w:tcPr>
          <w:p w14:paraId="71CC63A3">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534A66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8CBC0CA">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226E62F9">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lang w:val="en-US" w:eastAsia="zh-CN"/>
              </w:rPr>
              <w:t xml:space="preserve">2. </w:t>
            </w:r>
          </w:p>
        </w:tc>
        <w:tc>
          <w:tcPr>
            <w:tcW w:w="6984" w:type="dxa"/>
            <w:tcBorders>
              <w:top w:val="single" w:color="auto" w:sz="6" w:space="0"/>
              <w:left w:val="single" w:color="auto" w:sz="6" w:space="0"/>
              <w:bottom w:val="nil"/>
              <w:right w:val="nil"/>
            </w:tcBorders>
            <w:shd w:val="clear" w:color="auto" w:fill="auto"/>
            <w:noWrap w:val="0"/>
            <w:vAlign w:val="center"/>
          </w:tcPr>
          <w:p w14:paraId="4D10C501">
            <w:pPr>
              <w:widowControl/>
              <w:spacing w:before="100" w:beforeAutospacing="1" w:after="100" w:afterAutospacing="1"/>
              <w:jc w:val="left"/>
              <w:rPr>
                <w:rFonts w:hint="eastAsia" w:ascii="宋体" w:hAnsi="宋体" w:eastAsia="宋体" w:cs="宋体"/>
                <w:kern w:val="2"/>
                <w:sz w:val="21"/>
                <w:szCs w:val="20"/>
                <w:lang w:val="en-US" w:eastAsia="zh-CN" w:bidi="ar-SA"/>
              </w:rPr>
            </w:pPr>
            <w:r>
              <w:rPr>
                <w:rFonts w:hint="eastAsia" w:ascii="宋体" w:hAnsi="宋体" w:cs="宋体"/>
                <w:szCs w:val="20"/>
              </w:rPr>
              <w:t>耐高温抗腐蚀</w:t>
            </w:r>
            <w:r>
              <w:rPr>
                <w:rFonts w:hint="eastAsia" w:ascii="宋体" w:hAnsi="宋体" w:cs="宋体"/>
                <w:szCs w:val="20"/>
                <w:lang w:eastAsia="zh-CN"/>
              </w:rPr>
              <w:t>；</w:t>
            </w:r>
            <w:r>
              <w:rPr>
                <w:rFonts w:hint="eastAsia" w:ascii="宋体" w:hAnsi="宋体" w:cs="宋体"/>
                <w:szCs w:val="20"/>
              </w:rPr>
              <w:t>可整支高温高压灭菌和紫外线灭菌</w:t>
            </w:r>
          </w:p>
        </w:tc>
        <w:tc>
          <w:tcPr>
            <w:tcW w:w="1109" w:type="dxa"/>
            <w:tcBorders>
              <w:top w:val="single" w:color="auto" w:sz="6" w:space="0"/>
              <w:left w:val="single" w:color="auto" w:sz="6" w:space="0"/>
              <w:bottom w:val="nil"/>
              <w:right w:val="nil"/>
            </w:tcBorders>
            <w:noWrap w:val="0"/>
            <w:vAlign w:val="center"/>
          </w:tcPr>
          <w:p w14:paraId="26DD53F9">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2302C9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0D9A9BB8">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2C1ECB0B">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lang w:val="en-US" w:eastAsia="zh-CN"/>
              </w:rPr>
              <w:t xml:space="preserve">3. </w:t>
            </w:r>
          </w:p>
        </w:tc>
        <w:tc>
          <w:tcPr>
            <w:tcW w:w="6984" w:type="dxa"/>
            <w:tcBorders>
              <w:top w:val="single" w:color="auto" w:sz="6" w:space="0"/>
              <w:left w:val="single" w:color="auto" w:sz="6" w:space="0"/>
              <w:bottom w:val="nil"/>
              <w:right w:val="nil"/>
            </w:tcBorders>
            <w:shd w:val="clear" w:color="auto" w:fill="auto"/>
            <w:noWrap w:val="0"/>
            <w:vAlign w:val="center"/>
          </w:tcPr>
          <w:p w14:paraId="476CCE17">
            <w:pPr>
              <w:widowControl/>
              <w:spacing w:before="100" w:beforeAutospacing="1" w:after="100" w:afterAutospacing="1"/>
              <w:jc w:val="left"/>
              <w:rPr>
                <w:rFonts w:hint="eastAsia" w:ascii="宋体" w:hAnsi="宋体" w:eastAsia="宋体" w:cs="宋体"/>
                <w:kern w:val="2"/>
                <w:sz w:val="21"/>
                <w:szCs w:val="20"/>
                <w:lang w:val="en-US" w:eastAsia="zh-CN" w:bidi="ar-SA"/>
              </w:rPr>
            </w:pPr>
            <w:r>
              <w:rPr>
                <w:rFonts w:hint="eastAsia" w:ascii="宋体" w:hAnsi="宋体" w:cs="宋体"/>
                <w:szCs w:val="20"/>
              </w:rPr>
              <w:t>下半支可徒手拆卸</w:t>
            </w:r>
          </w:p>
        </w:tc>
        <w:tc>
          <w:tcPr>
            <w:tcW w:w="1109" w:type="dxa"/>
            <w:tcBorders>
              <w:top w:val="single" w:color="auto" w:sz="6" w:space="0"/>
              <w:left w:val="single" w:color="auto" w:sz="6" w:space="0"/>
              <w:bottom w:val="nil"/>
              <w:right w:val="nil"/>
            </w:tcBorders>
            <w:noWrap w:val="0"/>
            <w:vAlign w:val="center"/>
          </w:tcPr>
          <w:p w14:paraId="018B3121">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5A34DC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3A214EA2">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1838FE79">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lang w:val="en-US" w:eastAsia="zh-CN"/>
              </w:rPr>
              <w:t xml:space="preserve">4. </w:t>
            </w:r>
          </w:p>
        </w:tc>
        <w:tc>
          <w:tcPr>
            <w:tcW w:w="6984" w:type="dxa"/>
            <w:tcBorders>
              <w:top w:val="single" w:color="auto" w:sz="6" w:space="0"/>
              <w:left w:val="single" w:color="auto" w:sz="6" w:space="0"/>
              <w:bottom w:val="nil"/>
              <w:right w:val="nil"/>
            </w:tcBorders>
            <w:shd w:val="clear" w:color="auto" w:fill="auto"/>
            <w:noWrap w:val="0"/>
            <w:vAlign w:val="center"/>
          </w:tcPr>
          <w:p w14:paraId="77AF18B2">
            <w:pPr>
              <w:widowControl/>
              <w:spacing w:before="100" w:beforeAutospacing="1" w:after="100" w:afterAutospacing="1"/>
              <w:jc w:val="left"/>
              <w:rPr>
                <w:rFonts w:hint="eastAsia" w:ascii="宋体" w:hAnsi="宋体" w:eastAsia="宋体" w:cs="宋体"/>
                <w:kern w:val="2"/>
                <w:sz w:val="21"/>
                <w:szCs w:val="20"/>
                <w:lang w:val="en-US" w:eastAsia="zh-CN" w:bidi="ar-SA"/>
              </w:rPr>
            </w:pPr>
            <w:r>
              <w:rPr>
                <w:rFonts w:hint="eastAsia" w:ascii="宋体" w:hAnsi="宋体" w:cs="宋体"/>
                <w:szCs w:val="20"/>
              </w:rPr>
              <w:t>伸缩式弹性吸嘴</w:t>
            </w:r>
          </w:p>
        </w:tc>
        <w:tc>
          <w:tcPr>
            <w:tcW w:w="1109" w:type="dxa"/>
            <w:tcBorders>
              <w:top w:val="single" w:color="auto" w:sz="6" w:space="0"/>
              <w:left w:val="single" w:color="auto" w:sz="6" w:space="0"/>
              <w:bottom w:val="nil"/>
              <w:right w:val="nil"/>
            </w:tcBorders>
            <w:noWrap w:val="0"/>
            <w:vAlign w:val="center"/>
          </w:tcPr>
          <w:p w14:paraId="5F838648">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06C5E9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15D98957">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236433C3">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lang w:val="en-US" w:eastAsia="zh-CN"/>
              </w:rPr>
              <w:t xml:space="preserve">5. </w:t>
            </w:r>
          </w:p>
        </w:tc>
        <w:tc>
          <w:tcPr>
            <w:tcW w:w="6984" w:type="dxa"/>
            <w:tcBorders>
              <w:top w:val="single" w:color="auto" w:sz="6" w:space="0"/>
              <w:left w:val="single" w:color="auto" w:sz="6" w:space="0"/>
              <w:bottom w:val="nil"/>
              <w:right w:val="nil"/>
            </w:tcBorders>
            <w:shd w:val="clear" w:color="auto" w:fill="auto"/>
            <w:noWrap w:val="0"/>
            <w:vAlign w:val="center"/>
          </w:tcPr>
          <w:p w14:paraId="08448979">
            <w:pPr>
              <w:widowControl/>
              <w:spacing w:before="100" w:beforeAutospacing="1" w:after="100" w:afterAutospacing="1"/>
              <w:jc w:val="left"/>
              <w:rPr>
                <w:rFonts w:hint="eastAsia" w:ascii="宋体" w:hAnsi="宋体" w:eastAsia="宋体" w:cs="宋体"/>
                <w:kern w:val="2"/>
                <w:sz w:val="21"/>
                <w:szCs w:val="20"/>
                <w:lang w:val="en-US" w:eastAsia="zh-CN" w:bidi="ar-SA"/>
              </w:rPr>
            </w:pPr>
            <w:r>
              <w:rPr>
                <w:rFonts w:hint="eastAsia" w:ascii="宋体" w:hAnsi="宋体" w:cs="宋体"/>
                <w:szCs w:val="20"/>
              </w:rPr>
              <w:t>四位数字放大体积显示</w:t>
            </w:r>
          </w:p>
        </w:tc>
        <w:tc>
          <w:tcPr>
            <w:tcW w:w="1109" w:type="dxa"/>
            <w:tcBorders>
              <w:top w:val="single" w:color="auto" w:sz="6" w:space="0"/>
              <w:left w:val="single" w:color="auto" w:sz="6" w:space="0"/>
              <w:bottom w:val="nil"/>
              <w:right w:val="nil"/>
            </w:tcBorders>
            <w:noWrap w:val="0"/>
            <w:vAlign w:val="center"/>
          </w:tcPr>
          <w:p w14:paraId="2EDBBFAC">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2415CF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1522E6B">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0E344BD4">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szCs w:val="20"/>
                <w:lang w:val="en-US" w:eastAsia="zh-CN"/>
              </w:rPr>
              <w:t xml:space="preserve">6. </w:t>
            </w:r>
          </w:p>
        </w:tc>
        <w:tc>
          <w:tcPr>
            <w:tcW w:w="6984" w:type="dxa"/>
            <w:tcBorders>
              <w:top w:val="single" w:color="auto" w:sz="6" w:space="0"/>
              <w:left w:val="single" w:color="auto" w:sz="6" w:space="0"/>
              <w:bottom w:val="nil"/>
              <w:right w:val="nil"/>
            </w:tcBorders>
            <w:shd w:val="clear" w:color="auto" w:fill="auto"/>
            <w:noWrap w:val="0"/>
            <w:vAlign w:val="center"/>
          </w:tcPr>
          <w:p w14:paraId="28BCA0DE">
            <w:pPr>
              <w:widowControl/>
              <w:spacing w:before="100" w:beforeAutospacing="1" w:after="100" w:afterAutospacing="1"/>
              <w:jc w:val="left"/>
              <w:rPr>
                <w:rFonts w:hint="eastAsia" w:ascii="宋体" w:hAnsi="宋体" w:eastAsia="宋体" w:cs="宋体"/>
                <w:kern w:val="2"/>
                <w:sz w:val="21"/>
                <w:szCs w:val="20"/>
                <w:lang w:val="en-US" w:eastAsia="zh-CN" w:bidi="ar-SA"/>
              </w:rPr>
            </w:pPr>
            <w:r>
              <w:rPr>
                <w:rFonts w:hint="eastAsia" w:ascii="宋体" w:hAnsi="宋体" w:cs="宋体"/>
                <w:szCs w:val="20"/>
              </w:rPr>
              <w:t>体积视窗位置在前面，可单手设定体积及操作</w:t>
            </w:r>
          </w:p>
        </w:tc>
        <w:tc>
          <w:tcPr>
            <w:tcW w:w="1109" w:type="dxa"/>
            <w:tcBorders>
              <w:top w:val="single" w:color="auto" w:sz="6" w:space="0"/>
              <w:left w:val="single" w:color="auto" w:sz="6" w:space="0"/>
              <w:bottom w:val="nil"/>
              <w:right w:val="nil"/>
            </w:tcBorders>
            <w:noWrap w:val="0"/>
            <w:vAlign w:val="center"/>
          </w:tcPr>
          <w:p w14:paraId="268307D7">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6C7B6A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2AA6CB51">
            <w:pPr>
              <w:widowControl/>
              <w:spacing w:before="100" w:beforeAutospacing="1" w:after="100" w:afterAutospacing="1"/>
              <w:jc w:val="center"/>
              <w:rPr>
                <w:rFonts w:hint="eastAsia" w:ascii="宋体" w:hAnsi="宋体" w:cs="宋体"/>
                <w:b/>
                <w:kern w:val="0"/>
                <w:sz w:val="24"/>
                <w:szCs w:val="24"/>
              </w:rPr>
            </w:pPr>
          </w:p>
        </w:tc>
        <w:tc>
          <w:tcPr>
            <w:tcW w:w="787" w:type="dxa"/>
            <w:tcBorders>
              <w:top w:val="single" w:color="auto" w:sz="6" w:space="0"/>
              <w:left w:val="single" w:color="auto" w:sz="6" w:space="0"/>
              <w:bottom w:val="nil"/>
              <w:right w:val="nil"/>
            </w:tcBorders>
            <w:shd w:val="clear" w:color="auto" w:fill="auto"/>
            <w:noWrap w:val="0"/>
            <w:vAlign w:val="center"/>
          </w:tcPr>
          <w:p w14:paraId="6F143F1A">
            <w:pPr>
              <w:widowControl/>
              <w:spacing w:before="100" w:beforeAutospacing="1" w:after="100" w:afterAutospacing="1"/>
              <w:jc w:val="center"/>
              <w:rPr>
                <w:rFonts w:hint="eastAsia" w:ascii="宋体" w:hAnsi="宋体" w:eastAsia="宋体" w:cs="宋体"/>
                <w:kern w:val="2"/>
                <w:sz w:val="21"/>
                <w:szCs w:val="20"/>
                <w:lang w:val="en-US" w:eastAsia="zh-CN" w:bidi="ar-SA"/>
              </w:rPr>
            </w:pPr>
            <w:r>
              <w:rPr>
                <w:rFonts w:hint="eastAsia" w:ascii="宋体" w:hAnsi="宋体" w:cs="宋体"/>
                <w:color w:val="3F3F3F"/>
                <w:kern w:val="0"/>
                <w:sz w:val="22"/>
                <w:lang w:val="en-US" w:eastAsia="zh-CN"/>
              </w:rPr>
              <w:t>7</w:t>
            </w:r>
            <w:r>
              <w:rPr>
                <w:rFonts w:hint="eastAsia" w:ascii="宋体" w:hAnsi="宋体" w:cs="宋体"/>
                <w:szCs w:val="20"/>
                <w:lang w:val="en-US" w:eastAsia="zh-CN"/>
              </w:rPr>
              <w:t xml:space="preserve">. </w:t>
            </w:r>
          </w:p>
        </w:tc>
        <w:tc>
          <w:tcPr>
            <w:tcW w:w="6984" w:type="dxa"/>
            <w:tcBorders>
              <w:top w:val="single" w:color="auto" w:sz="6" w:space="0"/>
              <w:left w:val="single" w:color="auto" w:sz="6" w:space="0"/>
              <w:bottom w:val="nil"/>
              <w:right w:val="nil"/>
            </w:tcBorders>
            <w:shd w:val="clear" w:color="auto" w:fill="auto"/>
            <w:noWrap w:val="0"/>
            <w:vAlign w:val="center"/>
          </w:tcPr>
          <w:p w14:paraId="6E465FF5">
            <w:pPr>
              <w:widowControl/>
              <w:spacing w:before="100" w:beforeAutospacing="1" w:after="100" w:afterAutospacing="1"/>
              <w:jc w:val="left"/>
              <w:rPr>
                <w:rFonts w:hint="eastAsia" w:ascii="宋体" w:hAnsi="宋体" w:eastAsia="宋体" w:cs="宋体"/>
                <w:kern w:val="2"/>
                <w:sz w:val="21"/>
                <w:szCs w:val="20"/>
                <w:lang w:val="en-US" w:eastAsia="zh-CN" w:bidi="ar-SA"/>
              </w:rPr>
            </w:pPr>
            <w:r>
              <w:rPr>
                <w:rFonts w:hint="eastAsia" w:ascii="宋体" w:hAnsi="宋体" w:cs="宋体"/>
                <w:szCs w:val="20"/>
              </w:rPr>
              <w:t>量程</w:t>
            </w:r>
            <w:r>
              <w:rPr>
                <w:rFonts w:hint="eastAsia" w:ascii="宋体" w:hAnsi="宋体" w:cs="宋体"/>
                <w:szCs w:val="20"/>
                <w:lang w:eastAsia="zh-CN"/>
              </w:rPr>
              <w:t>：</w:t>
            </w:r>
            <w:r>
              <w:rPr>
                <w:rFonts w:hint="eastAsia" w:ascii="宋体" w:hAnsi="宋体" w:cs="宋体"/>
                <w:szCs w:val="20"/>
              </w:rPr>
              <w:t>0.1-2.5ul,0.5-10ul,2-20ul,10-100ul,20-200ul,100-1000ul可选</w:t>
            </w:r>
          </w:p>
        </w:tc>
        <w:tc>
          <w:tcPr>
            <w:tcW w:w="1109" w:type="dxa"/>
            <w:tcBorders>
              <w:top w:val="single" w:color="auto" w:sz="6" w:space="0"/>
              <w:left w:val="single" w:color="auto" w:sz="6" w:space="0"/>
              <w:bottom w:val="nil"/>
              <w:right w:val="nil"/>
            </w:tcBorders>
            <w:noWrap w:val="0"/>
            <w:vAlign w:val="center"/>
          </w:tcPr>
          <w:p w14:paraId="0613F4EF">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cs="宋体"/>
                <w:b w:val="0"/>
                <w:bCs w:val="0"/>
                <w:color w:val="auto"/>
                <w:kern w:val="0"/>
                <w:sz w:val="24"/>
                <w:szCs w:val="24"/>
                <w:lang w:val="en-US" w:eastAsia="zh-CN" w:bidi="ar-SA"/>
              </w:rPr>
              <w:t>2.25</w:t>
            </w:r>
          </w:p>
        </w:tc>
      </w:tr>
      <w:tr w14:paraId="65B2A8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444A6DBC">
            <w:pPr>
              <w:widowControl/>
              <w:spacing w:before="100" w:beforeAutospacing="1" w:after="100" w:afterAutospacing="1"/>
              <w:jc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配件清单</w:t>
            </w:r>
          </w:p>
        </w:tc>
        <w:tc>
          <w:tcPr>
            <w:tcW w:w="8880" w:type="dxa"/>
            <w:gridSpan w:val="3"/>
            <w:tcBorders>
              <w:top w:val="single" w:color="auto" w:sz="6" w:space="0"/>
              <w:left w:val="single" w:color="auto" w:sz="6" w:space="0"/>
              <w:bottom w:val="nil"/>
              <w:right w:val="nil"/>
            </w:tcBorders>
            <w:noWrap w:val="0"/>
            <w:vAlign w:val="center"/>
          </w:tcPr>
          <w:p w14:paraId="04127DDB">
            <w:pPr>
              <w:bidi w:val="0"/>
              <w:rPr>
                <w:rFonts w:hint="eastAsia"/>
                <w:b/>
                <w:bCs/>
                <w:lang w:val="en-US" w:eastAsia="zh-CN"/>
              </w:rPr>
            </w:pPr>
            <w:r>
              <w:rPr>
                <w:rFonts w:hint="eastAsia"/>
                <w:b/>
                <w:bCs/>
                <w:lang w:val="en-US" w:eastAsia="zh-CN"/>
              </w:rPr>
              <w:t>电动移液器：</w:t>
            </w:r>
          </w:p>
          <w:p w14:paraId="011E4D46">
            <w:pPr>
              <w:pStyle w:val="2"/>
              <w:numPr>
                <w:ilvl w:val="0"/>
                <w:numId w:val="5"/>
              </w:numPr>
              <w:jc w:val="left"/>
              <w:rPr>
                <w:rFonts w:hint="eastAsia"/>
                <w:color w:val="auto"/>
                <w:lang w:val="en-US" w:eastAsia="zh-CN"/>
              </w:rPr>
            </w:pPr>
            <w:r>
              <w:rPr>
                <w:rFonts w:hint="eastAsia"/>
                <w:color w:val="auto"/>
                <w:lang w:val="en-US" w:eastAsia="zh-CN"/>
              </w:rPr>
              <w:t>移液器2把；</w:t>
            </w:r>
          </w:p>
          <w:p w14:paraId="5E6DA6F8">
            <w:pPr>
              <w:pStyle w:val="2"/>
              <w:numPr>
                <w:ilvl w:val="0"/>
                <w:numId w:val="5"/>
              </w:numPr>
              <w:jc w:val="left"/>
              <w:rPr>
                <w:rFonts w:hint="eastAsia"/>
                <w:color w:val="auto"/>
                <w:lang w:val="en-US" w:eastAsia="zh-CN"/>
              </w:rPr>
            </w:pPr>
            <w:r>
              <w:rPr>
                <w:rFonts w:hint="eastAsia"/>
                <w:color w:val="auto"/>
                <w:lang w:val="en-US" w:eastAsia="zh-CN"/>
              </w:rPr>
              <w:t>通用交流电源适配器2个；</w:t>
            </w:r>
          </w:p>
          <w:p w14:paraId="6F2FB699">
            <w:pPr>
              <w:pStyle w:val="2"/>
              <w:numPr>
                <w:ilvl w:val="0"/>
                <w:numId w:val="5"/>
              </w:numPr>
              <w:jc w:val="left"/>
              <w:rPr>
                <w:rFonts w:hint="eastAsia"/>
                <w:color w:val="auto"/>
                <w:lang w:val="en-US" w:eastAsia="zh-CN"/>
              </w:rPr>
            </w:pPr>
            <w:r>
              <w:rPr>
                <w:rFonts w:hint="eastAsia"/>
                <w:color w:val="auto"/>
                <w:lang w:val="en-US" w:eastAsia="zh-CN"/>
              </w:rPr>
              <w:t>0.45um疏水性滤芯2个；</w:t>
            </w:r>
          </w:p>
          <w:p w14:paraId="44608054">
            <w:pPr>
              <w:pStyle w:val="2"/>
              <w:numPr>
                <w:ilvl w:val="0"/>
                <w:numId w:val="5"/>
              </w:numPr>
              <w:jc w:val="left"/>
              <w:rPr>
                <w:rFonts w:hint="eastAsia"/>
                <w:color w:val="auto"/>
                <w:lang w:val="en-US" w:eastAsia="zh-CN"/>
              </w:rPr>
            </w:pPr>
            <w:r>
              <w:rPr>
                <w:rFonts w:hint="eastAsia"/>
                <w:color w:val="auto"/>
                <w:lang w:val="en-US" w:eastAsia="zh-CN"/>
              </w:rPr>
              <w:t>快速入门指南；</w:t>
            </w:r>
          </w:p>
          <w:p w14:paraId="1BDB3E3D">
            <w:pPr>
              <w:pStyle w:val="2"/>
              <w:numPr>
                <w:ilvl w:val="0"/>
                <w:numId w:val="5"/>
              </w:numPr>
              <w:jc w:val="left"/>
              <w:rPr>
                <w:rFonts w:hint="eastAsia"/>
                <w:color w:val="auto"/>
                <w:lang w:val="en-US" w:eastAsia="zh-CN"/>
              </w:rPr>
            </w:pPr>
            <w:r>
              <w:rPr>
                <w:rFonts w:hint="eastAsia"/>
                <w:color w:val="auto"/>
                <w:lang w:val="en-US" w:eastAsia="zh-CN"/>
              </w:rPr>
              <w:t>质量合格证书。</w:t>
            </w:r>
          </w:p>
          <w:p w14:paraId="6820FA48">
            <w:pPr>
              <w:bidi w:val="0"/>
              <w:rPr>
                <w:rFonts w:hint="eastAsia"/>
                <w:b/>
                <w:bCs/>
                <w:lang w:val="en-US" w:eastAsia="zh-CN"/>
              </w:rPr>
            </w:pPr>
            <w:r>
              <w:rPr>
                <w:rFonts w:hint="eastAsia"/>
                <w:b/>
                <w:bCs/>
                <w:lang w:val="en-US" w:eastAsia="zh-CN"/>
              </w:rPr>
              <w:t>8道移液枪：</w:t>
            </w:r>
          </w:p>
          <w:p w14:paraId="7857CD2A">
            <w:pPr>
              <w:pStyle w:val="2"/>
              <w:jc w:val="left"/>
              <w:rPr>
                <w:rFonts w:hint="eastAsia"/>
                <w:color w:val="auto"/>
                <w:lang w:val="en-US" w:eastAsia="zh-CN"/>
              </w:rPr>
            </w:pPr>
            <w:r>
              <w:rPr>
                <w:rFonts w:hint="eastAsia"/>
                <w:color w:val="auto"/>
                <w:lang w:val="en-US" w:eastAsia="zh-CN"/>
              </w:rPr>
              <w:t>1、移液枪：10ul、100ul及300ul，每个量程各1把;</w:t>
            </w:r>
          </w:p>
          <w:p w14:paraId="44846E5A">
            <w:pPr>
              <w:pStyle w:val="2"/>
              <w:jc w:val="left"/>
              <w:rPr>
                <w:rFonts w:hint="eastAsia"/>
                <w:color w:val="auto"/>
                <w:lang w:val="en-US" w:eastAsia="zh-CN"/>
              </w:rPr>
            </w:pPr>
            <w:r>
              <w:rPr>
                <w:rFonts w:hint="eastAsia"/>
                <w:color w:val="auto"/>
                <w:lang w:val="en-US" w:eastAsia="zh-CN"/>
              </w:rPr>
              <w:t>2、说明书；</w:t>
            </w:r>
          </w:p>
          <w:p w14:paraId="3AEC4DCD">
            <w:pPr>
              <w:pStyle w:val="2"/>
              <w:jc w:val="left"/>
              <w:rPr>
                <w:rFonts w:hint="eastAsia"/>
                <w:color w:val="auto"/>
                <w:lang w:val="en-US" w:eastAsia="zh-CN"/>
              </w:rPr>
            </w:pPr>
            <w:r>
              <w:rPr>
                <w:rFonts w:hint="eastAsia"/>
                <w:color w:val="auto"/>
                <w:lang w:val="en-US" w:eastAsia="zh-CN"/>
              </w:rPr>
              <w:t>3、产品标配配件。</w:t>
            </w:r>
          </w:p>
          <w:p w14:paraId="7E145065">
            <w:pPr>
              <w:bidi w:val="0"/>
              <w:rPr>
                <w:rFonts w:hint="eastAsia"/>
                <w:b/>
                <w:bCs/>
                <w:lang w:val="en-US" w:eastAsia="zh-CN"/>
              </w:rPr>
            </w:pPr>
            <w:r>
              <w:rPr>
                <w:rFonts w:hint="eastAsia"/>
                <w:b/>
                <w:bCs/>
                <w:lang w:val="en-US" w:eastAsia="zh-CN"/>
              </w:rPr>
              <w:t>单道加样枪：</w:t>
            </w:r>
          </w:p>
          <w:p w14:paraId="591938A7">
            <w:pPr>
              <w:pStyle w:val="2"/>
              <w:jc w:val="left"/>
              <w:rPr>
                <w:rFonts w:hint="eastAsia" w:eastAsia="宋体"/>
                <w:color w:val="auto"/>
                <w:lang w:eastAsia="zh-CN"/>
              </w:rPr>
            </w:pPr>
            <w:r>
              <w:rPr>
                <w:rFonts w:hint="eastAsia"/>
                <w:color w:val="auto"/>
              </w:rPr>
              <w:t>1、移液枪</w:t>
            </w:r>
            <w:r>
              <w:rPr>
                <w:rFonts w:hint="eastAsia"/>
                <w:color w:val="auto"/>
                <w:lang w:eastAsia="zh-CN"/>
              </w:rPr>
              <w:t>：</w:t>
            </w:r>
            <w:r>
              <w:rPr>
                <w:rFonts w:hint="eastAsia"/>
                <w:color w:val="auto"/>
              </w:rPr>
              <w:t>10ul</w:t>
            </w:r>
            <w:r>
              <w:rPr>
                <w:rFonts w:hint="eastAsia"/>
                <w:color w:val="auto"/>
                <w:lang w:eastAsia="zh-CN"/>
              </w:rPr>
              <w:t>、</w:t>
            </w:r>
            <w:r>
              <w:rPr>
                <w:rFonts w:hint="eastAsia"/>
                <w:color w:val="auto"/>
              </w:rPr>
              <w:t>20ul</w:t>
            </w:r>
            <w:r>
              <w:rPr>
                <w:rFonts w:hint="eastAsia"/>
                <w:color w:val="auto"/>
                <w:lang w:eastAsia="zh-CN"/>
              </w:rPr>
              <w:t>、</w:t>
            </w:r>
            <w:r>
              <w:rPr>
                <w:rFonts w:hint="eastAsia"/>
                <w:color w:val="auto"/>
              </w:rPr>
              <w:t>100ul</w:t>
            </w:r>
            <w:r>
              <w:rPr>
                <w:rFonts w:hint="eastAsia"/>
                <w:color w:val="auto"/>
                <w:lang w:eastAsia="zh-CN"/>
              </w:rPr>
              <w:t>、</w:t>
            </w:r>
            <w:r>
              <w:rPr>
                <w:rFonts w:hint="eastAsia"/>
                <w:color w:val="auto"/>
              </w:rPr>
              <w:t>200ul</w:t>
            </w:r>
            <w:r>
              <w:rPr>
                <w:rFonts w:hint="eastAsia"/>
                <w:color w:val="auto"/>
                <w:lang w:val="en-US" w:eastAsia="zh-CN"/>
              </w:rPr>
              <w:t>及</w:t>
            </w:r>
            <w:r>
              <w:rPr>
                <w:rFonts w:hint="eastAsia"/>
                <w:color w:val="auto"/>
              </w:rPr>
              <w:t>1000ul每个量程各3把</w:t>
            </w:r>
            <w:r>
              <w:rPr>
                <w:rFonts w:hint="eastAsia"/>
                <w:color w:val="auto"/>
                <w:lang w:eastAsia="zh-CN"/>
              </w:rPr>
              <w:t>，</w:t>
            </w:r>
            <w:r>
              <w:rPr>
                <w:rFonts w:hint="eastAsia"/>
                <w:color w:val="auto"/>
              </w:rPr>
              <w:t>2.5ul量程2把</w:t>
            </w:r>
            <w:r>
              <w:rPr>
                <w:rFonts w:hint="eastAsia"/>
                <w:color w:val="auto"/>
                <w:lang w:eastAsia="zh-CN"/>
              </w:rPr>
              <w:t>；</w:t>
            </w:r>
          </w:p>
          <w:p w14:paraId="6848897F">
            <w:pPr>
              <w:pStyle w:val="2"/>
              <w:jc w:val="left"/>
              <w:rPr>
                <w:rFonts w:hint="eastAsia" w:eastAsia="宋体"/>
                <w:color w:val="auto"/>
                <w:lang w:eastAsia="zh-CN"/>
              </w:rPr>
            </w:pPr>
            <w:r>
              <w:rPr>
                <w:rFonts w:hint="eastAsia"/>
                <w:color w:val="auto"/>
              </w:rPr>
              <w:t>2、说明书</w:t>
            </w:r>
            <w:r>
              <w:rPr>
                <w:rFonts w:hint="eastAsia"/>
                <w:color w:val="auto"/>
                <w:lang w:eastAsia="zh-CN"/>
              </w:rPr>
              <w:t>；</w:t>
            </w:r>
          </w:p>
          <w:p w14:paraId="4334FCC4">
            <w:pPr>
              <w:pStyle w:val="2"/>
              <w:jc w:val="left"/>
              <w:rPr>
                <w:rFonts w:hint="eastAsia"/>
              </w:rPr>
            </w:pPr>
            <w:r>
              <w:rPr>
                <w:rFonts w:hint="eastAsia"/>
                <w:color w:val="auto"/>
              </w:rPr>
              <w:t>3、产品标配配件。</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45"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u w:val="single"/>
                      <w:lang w:val="en-US" w:eastAsia="zh-CN"/>
                    </w:rPr>
                    <w:t>伍</w:t>
                  </w:r>
                  <w:r>
                    <w:rPr>
                      <w:rFonts w:hint="eastAsia" w:ascii="宋体" w:hAnsi="宋体" w:cs="宋体"/>
                      <w:b/>
                      <w:bCs/>
                      <w:color w:val="auto"/>
                      <w:kern w:val="0"/>
                      <w:szCs w:val="21"/>
                      <w:u w:val="single"/>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jc w:val="center"/>
                    <w:rPr>
                      <w:rFonts w:hint="eastAsia" w:ascii="宋体" w:hAnsi="宋体" w:eastAsia="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b w:val="0"/>
                      <w:bCs w:val="0"/>
                      <w:color w:val="auto"/>
                      <w:kern w:val="0"/>
                      <w:szCs w:val="21"/>
                      <w:lang w:eastAsia="zh-CN"/>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w:t>
                  </w:r>
                  <w:r>
                    <w:rPr>
                      <w:rFonts w:hint="eastAsia" w:ascii="Times New Roman" w:hAnsi="Times New Roman" w:eastAsia="宋体" w:cs="Times New Roman"/>
                      <w:u w:val="single"/>
                    </w:rPr>
                    <w:t xml:space="preserve"> 4 </w:t>
                  </w:r>
                  <w:r>
                    <w:rPr>
                      <w:rFonts w:hint="eastAsia" w:ascii="Times New Roman" w:hAnsi="Times New Roman" w:eastAsia="宋体" w:cs="Times New Roman"/>
                    </w:rPr>
                    <w:t>小时内响应，</w:t>
                  </w:r>
                  <w:r>
                    <w:rPr>
                      <w:rFonts w:hint="eastAsia" w:ascii="Times New Roman" w:hAnsi="Times New Roman" w:eastAsia="宋体" w:cs="Times New Roman"/>
                      <w:u w:val="single"/>
                    </w:rPr>
                    <w:t xml:space="preserve"> 24 </w:t>
                  </w:r>
                  <w:r>
                    <w:rPr>
                      <w:rFonts w:hint="eastAsia" w:ascii="Times New Roman" w:hAnsi="Times New Roman" w:eastAsia="宋体" w:cs="Times New Roman"/>
                    </w:rPr>
                    <w:t>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5.1</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w:t>
                  </w:r>
                  <w:r>
                    <w:rPr>
                      <w:rFonts w:hint="eastAsia" w:ascii="宋体" w:hAnsi="宋体" w:cs="宋体"/>
                      <w:color w:val="auto"/>
                      <w:kern w:val="0"/>
                      <w:szCs w:val="21"/>
                      <w:lang w:val="en-US" w:eastAsia="zh-CN"/>
                    </w:rPr>
                    <w:t>符合付款条件，</w:t>
                  </w:r>
                  <w:r>
                    <w:rPr>
                      <w:rFonts w:hint="eastAsia" w:ascii="宋体" w:hAnsi="宋体" w:cs="宋体"/>
                      <w:color w:val="auto"/>
                      <w:kern w:val="0"/>
                      <w:szCs w:val="21"/>
                    </w:rPr>
                    <w:t>甲方以银行转账方式支付100%货款给乙方。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hint="eastAsia" w:ascii="宋体" w:hAnsi="宋体" w:eastAsia="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5.2</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hint="eastAsia" w:ascii="宋体" w:hAnsi="宋体" w:eastAsia="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10</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129DF99C">
      <w:pPr>
        <w:rPr>
          <w:rFonts w:hint="eastAsia"/>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5"/>
        <w:spacing w:line="300" w:lineRule="auto"/>
        <w:jc w:val="center"/>
        <w:rPr>
          <w:rFonts w:asciiTheme="minorEastAsia" w:hAnsiTheme="minorEastAsia" w:eastAsiaTheme="minorEastAsia"/>
          <w:szCs w:val="24"/>
        </w:rPr>
      </w:pPr>
      <w:bookmarkStart w:id="12" w:name="_Toc313109540"/>
      <w:bookmarkStart w:id="13" w:name="_Toc201998022"/>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4A9273A">
      <w:pPr>
        <w:pStyle w:val="5"/>
        <w:spacing w:line="300" w:lineRule="auto"/>
        <w:rPr>
          <w:rFonts w:asciiTheme="minorEastAsia" w:hAnsiTheme="minorEastAsia" w:eastAsiaTheme="minorEastAsia"/>
          <w:sz w:val="24"/>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sectPr>
      <w:pgSz w:w="11906" w:h="16838"/>
      <w:pgMar w:top="1701" w:right="1588" w:bottom="1304" w:left="1588" w:header="1247" w:footer="737" w:gutter="0"/>
      <w:pgBorders>
        <w:top w:val="none" w:sz="0" w:space="0"/>
        <w:left w:val="none" w:sz="0" w:space="0"/>
        <w:bottom w:val="none" w:sz="0" w:space="0"/>
        <w:right w:val="none" w:sz="0" w:space="0"/>
      </w:pgBorders>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22:14Z" w:initials="">
    <w:p w14:paraId="64A7D370">
      <w:pPr>
        <w:pStyle w:val="6"/>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D1C1E"/>
    <w:multiLevelType w:val="singleLevel"/>
    <w:tmpl w:val="872D1C1E"/>
    <w:lvl w:ilvl="0" w:tentative="0">
      <w:start w:val="1"/>
      <w:numFmt w:val="decimal"/>
      <w:suff w:val="nothing"/>
      <w:lvlText w:val="%1、"/>
      <w:lvlJc w:val="left"/>
    </w:lvl>
  </w:abstractNum>
  <w:abstractNum w:abstractNumId="1">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3C5B58"/>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BED3719"/>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AE82B97"/>
    <w:rsid w:val="2BB45953"/>
    <w:rsid w:val="2D1347F5"/>
    <w:rsid w:val="2D21664A"/>
    <w:rsid w:val="2D8B5BEE"/>
    <w:rsid w:val="2D943172"/>
    <w:rsid w:val="2E291DF3"/>
    <w:rsid w:val="2E433C51"/>
    <w:rsid w:val="2F203705"/>
    <w:rsid w:val="2F2902C9"/>
    <w:rsid w:val="2F34651F"/>
    <w:rsid w:val="2F425E94"/>
    <w:rsid w:val="2FB81F38"/>
    <w:rsid w:val="2FE95C2E"/>
    <w:rsid w:val="2FFE2912"/>
    <w:rsid w:val="300B6BE0"/>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E5D451A"/>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1A035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A74304"/>
    <w:rsid w:val="53B23A34"/>
    <w:rsid w:val="541702E3"/>
    <w:rsid w:val="55794964"/>
    <w:rsid w:val="55A22FA6"/>
    <w:rsid w:val="55AE397F"/>
    <w:rsid w:val="55D026AD"/>
    <w:rsid w:val="56214ACF"/>
    <w:rsid w:val="56403B5B"/>
    <w:rsid w:val="567505FD"/>
    <w:rsid w:val="56772E9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E2636E"/>
    <w:rsid w:val="5FF81F45"/>
    <w:rsid w:val="60003EDC"/>
    <w:rsid w:val="60405D44"/>
    <w:rsid w:val="604959AE"/>
    <w:rsid w:val="60E216EA"/>
    <w:rsid w:val="610D2545"/>
    <w:rsid w:val="613269C6"/>
    <w:rsid w:val="61371FA3"/>
    <w:rsid w:val="61600D4F"/>
    <w:rsid w:val="61C15C3A"/>
    <w:rsid w:val="62001EE2"/>
    <w:rsid w:val="62077B16"/>
    <w:rsid w:val="620C6CE6"/>
    <w:rsid w:val="62867A17"/>
    <w:rsid w:val="630D2FD2"/>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5F4AF6"/>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宋体" w:hAnsi="宋体"/>
      <w:color w:val="FF0000"/>
      <w:szCs w:val="24"/>
    </w:rPr>
  </w:style>
  <w:style w:type="paragraph" w:styleId="6">
    <w:name w:val="annotation text"/>
    <w:basedOn w:val="1"/>
    <w:autoRedefine/>
    <w:unhideWhenUsed/>
    <w:qFormat/>
    <w:uiPriority w:val="99"/>
    <w:pPr>
      <w:jc w:val="left"/>
    </w:p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5"/>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4"/>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3"/>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6967</Words>
  <Characters>7354</Characters>
  <Lines>48</Lines>
  <Paragraphs>13</Paragraphs>
  <TotalTime>1</TotalTime>
  <ScaleCrop>false</ScaleCrop>
  <LinksUpToDate>false</LinksUpToDate>
  <CharactersWithSpaces>8172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2026-01-29T08:59:17Z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DB1BF560F13C4E5D8136CCEE363E9611_13</vt:lpwstr>
  </property>
  <property fmtid="{D5CDD505-2E9C-101B-9397-08002B2CF9AE}" pid="4" name="KSOTemplateDocerSaveRecord">
    <vt:lpwstr>eyJoZGlkIjoiNjM5NjRmY2Y4YWRlNTU5NzkzZjg3YzljNzkxOTNlNTgiLCJ1c2VySWQiOiIzMTc3OTE5NzcifQ==</vt:lpwstr>
  </property>
</Properties>
</file>