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FD" w:rsidRDefault="000E7CFD">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0E7CFD">
        <w:trPr>
          <w:trHeight w:val="759"/>
        </w:trPr>
        <w:tc>
          <w:tcPr>
            <w:tcW w:w="742" w:type="dxa"/>
            <w:shd w:val="clear" w:color="auto" w:fill="auto"/>
            <w:vAlign w:val="center"/>
          </w:tcPr>
          <w:p w:rsidR="000E7CFD" w:rsidRDefault="004379DE">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shd w:val="clear" w:color="auto" w:fill="auto"/>
            <w:vAlign w:val="center"/>
          </w:tcPr>
          <w:p w:rsidR="000E7CFD" w:rsidRDefault="004379DE">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0E7CFD">
        <w:trPr>
          <w:trHeight w:val="544"/>
        </w:trPr>
        <w:tc>
          <w:tcPr>
            <w:tcW w:w="742" w:type="dxa"/>
            <w:shd w:val="clear" w:color="auto" w:fill="auto"/>
            <w:vAlign w:val="center"/>
          </w:tcPr>
          <w:p w:rsidR="000E7CFD" w:rsidRDefault="004379DE">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rsidR="000E7CFD" w:rsidRDefault="004379DE">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0E7CFD">
        <w:trPr>
          <w:trHeight w:val="1034"/>
        </w:trPr>
        <w:tc>
          <w:tcPr>
            <w:tcW w:w="742" w:type="dxa"/>
            <w:shd w:val="clear" w:color="auto" w:fill="auto"/>
            <w:vAlign w:val="center"/>
          </w:tcPr>
          <w:p w:rsidR="000E7CFD" w:rsidRDefault="000E7CF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0E7CFD" w:rsidRDefault="004379DE">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shd w:val="clear" w:color="auto" w:fill="auto"/>
            <w:vAlign w:val="center"/>
          </w:tcPr>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0E7CFD" w:rsidRDefault="004379DE">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0E7CFD" w:rsidRDefault="004379DE">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0E7CFD" w:rsidRDefault="004379DE">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0E7CFD">
        <w:trPr>
          <w:trHeight w:val="1326"/>
        </w:trPr>
        <w:tc>
          <w:tcPr>
            <w:tcW w:w="742" w:type="dxa"/>
            <w:shd w:val="clear" w:color="auto" w:fill="auto"/>
            <w:vAlign w:val="center"/>
          </w:tcPr>
          <w:p w:rsidR="000E7CFD" w:rsidRDefault="000E7CF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hint="eastAsia"/>
                <w:szCs w:val="21"/>
              </w:rPr>
              <w:t>产品对比</w:t>
            </w:r>
          </w:p>
          <w:p w:rsidR="000E7CFD" w:rsidRDefault="004379DE">
            <w:pPr>
              <w:spacing w:line="300" w:lineRule="exact"/>
              <w:jc w:val="center"/>
              <w:rPr>
                <w:rFonts w:ascii="宋体" w:eastAsia="等线" w:hAnsi="宋体" w:cs="宋体"/>
                <w:szCs w:val="21"/>
              </w:rPr>
            </w:pPr>
            <w:r>
              <w:rPr>
                <w:rFonts w:ascii="宋体" w:eastAsia="等线" w:hAnsi="宋体"/>
                <w:szCs w:val="21"/>
              </w:rPr>
              <w:t>情况</w:t>
            </w:r>
          </w:p>
        </w:tc>
        <w:tc>
          <w:tcPr>
            <w:tcW w:w="6533" w:type="dxa"/>
            <w:shd w:val="clear" w:color="auto" w:fill="auto"/>
            <w:vAlign w:val="center"/>
          </w:tcPr>
          <w:p w:rsidR="000E7CFD" w:rsidRDefault="004379DE">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0E7CFD" w:rsidRDefault="004379DE">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0E7CFD" w:rsidRDefault="004379DE">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0E7CFD" w:rsidRDefault="004379DE">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0E7CFD" w:rsidRDefault="004379DE">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0E7CFD">
        <w:trPr>
          <w:trHeight w:val="1264"/>
        </w:trPr>
        <w:tc>
          <w:tcPr>
            <w:tcW w:w="742" w:type="dxa"/>
            <w:shd w:val="clear" w:color="auto" w:fill="auto"/>
            <w:vAlign w:val="center"/>
          </w:tcPr>
          <w:p w:rsidR="000E7CFD" w:rsidRDefault="000E7CF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0E7CFD" w:rsidRDefault="004379DE">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shd w:val="clear" w:color="auto" w:fill="auto"/>
            <w:vAlign w:val="center"/>
          </w:tcPr>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0E7CFD">
        <w:trPr>
          <w:trHeight w:val="2280"/>
        </w:trPr>
        <w:tc>
          <w:tcPr>
            <w:tcW w:w="742" w:type="dxa"/>
            <w:shd w:val="clear" w:color="auto" w:fill="auto"/>
            <w:vAlign w:val="center"/>
          </w:tcPr>
          <w:p w:rsidR="000E7CFD" w:rsidRDefault="000E7CF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0E7CFD" w:rsidRDefault="004379DE">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shd w:val="clear" w:color="auto" w:fill="auto"/>
            <w:vAlign w:val="center"/>
          </w:tcPr>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0E7CFD" w:rsidRDefault="004379DE">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0E7CFD" w:rsidRDefault="004379DE">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0E7CFD" w:rsidRDefault="004379DE">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0E7CFD" w:rsidRDefault="004379DE">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0E7CFD">
        <w:trPr>
          <w:trHeight w:val="565"/>
        </w:trPr>
        <w:tc>
          <w:tcPr>
            <w:tcW w:w="742" w:type="dxa"/>
            <w:shd w:val="clear" w:color="auto" w:fill="auto"/>
            <w:vAlign w:val="center"/>
          </w:tcPr>
          <w:p w:rsidR="000E7CFD" w:rsidRDefault="004379DE">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rsidR="000E7CFD" w:rsidRDefault="004379DE">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0E7CFD">
        <w:trPr>
          <w:trHeight w:val="701"/>
        </w:trPr>
        <w:tc>
          <w:tcPr>
            <w:tcW w:w="742" w:type="dxa"/>
            <w:shd w:val="clear" w:color="auto" w:fill="auto"/>
            <w:vAlign w:val="center"/>
          </w:tcPr>
          <w:p w:rsidR="000E7CFD" w:rsidRDefault="000E7CFD">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shd w:val="clear" w:color="auto" w:fill="auto"/>
            <w:vAlign w:val="center"/>
          </w:tcPr>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0E7CFD" w:rsidRDefault="004379DE">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0E7CFD" w:rsidRDefault="004379DE">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0E7CFD" w:rsidRDefault="004379DE">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rsidR="000E7CFD" w:rsidRDefault="004379DE">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E7CFD">
        <w:trPr>
          <w:trHeight w:val="843"/>
        </w:trPr>
        <w:tc>
          <w:tcPr>
            <w:tcW w:w="742" w:type="dxa"/>
            <w:shd w:val="clear" w:color="auto" w:fill="auto"/>
            <w:vAlign w:val="center"/>
          </w:tcPr>
          <w:p w:rsidR="000E7CFD" w:rsidRDefault="000E7CFD">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0E7CFD" w:rsidRDefault="004379DE">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shd w:val="clear" w:color="auto" w:fill="auto"/>
            <w:vAlign w:val="center"/>
          </w:tcPr>
          <w:p w:rsidR="000E7CFD" w:rsidRDefault="004379DE">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0E7CFD" w:rsidRDefault="004379DE">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0E7CFD" w:rsidRDefault="004379DE">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0E7CFD" w:rsidRDefault="004379DE">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0E7CFD" w:rsidRDefault="004379DE">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0E7CFD" w:rsidRDefault="004379DE">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0E7CFD" w:rsidRDefault="004379DE">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E7CFD">
        <w:trPr>
          <w:trHeight w:val="2258"/>
        </w:trPr>
        <w:tc>
          <w:tcPr>
            <w:tcW w:w="742" w:type="dxa"/>
            <w:shd w:val="clear" w:color="auto" w:fill="auto"/>
            <w:vAlign w:val="center"/>
          </w:tcPr>
          <w:p w:rsidR="000E7CFD" w:rsidRDefault="004379DE">
            <w:pPr>
              <w:spacing w:line="300" w:lineRule="exact"/>
              <w:ind w:left="420"/>
              <w:rPr>
                <w:rFonts w:ascii="宋体" w:eastAsia="等线" w:hAnsi="宋体"/>
                <w:szCs w:val="21"/>
              </w:rPr>
            </w:pPr>
            <w:r>
              <w:rPr>
                <w:rFonts w:ascii="宋体" w:eastAsia="等线" w:hAnsi="宋体" w:hint="eastAsia"/>
                <w:szCs w:val="21"/>
              </w:rPr>
              <w:lastRenderedPageBreak/>
              <w:t>2</w:t>
            </w:r>
          </w:p>
        </w:tc>
        <w:tc>
          <w:tcPr>
            <w:tcW w:w="1048" w:type="dxa"/>
            <w:shd w:val="clear" w:color="auto" w:fill="auto"/>
            <w:vAlign w:val="center"/>
          </w:tcPr>
          <w:p w:rsidR="000E7CFD" w:rsidRDefault="004379DE">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shd w:val="clear" w:color="auto" w:fill="auto"/>
          </w:tcPr>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0E7CFD">
        <w:trPr>
          <w:trHeight w:val="779"/>
        </w:trPr>
        <w:tc>
          <w:tcPr>
            <w:tcW w:w="742"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0E7CFD">
        <w:trPr>
          <w:trHeight w:val="1400"/>
        </w:trPr>
        <w:tc>
          <w:tcPr>
            <w:tcW w:w="742"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0E7CFD" w:rsidRDefault="004379DE">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shd w:val="clear" w:color="auto" w:fill="auto"/>
            <w:vAlign w:val="center"/>
          </w:tcPr>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E7CFD">
        <w:trPr>
          <w:trHeight w:val="3324"/>
        </w:trPr>
        <w:tc>
          <w:tcPr>
            <w:tcW w:w="742"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shd w:val="clear" w:color="auto" w:fill="auto"/>
            <w:vAlign w:val="center"/>
          </w:tcPr>
          <w:p w:rsidR="000E7CFD" w:rsidRDefault="004379DE">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shd w:val="clear" w:color="auto" w:fill="auto"/>
            <w:vAlign w:val="center"/>
          </w:tcPr>
          <w:p w:rsidR="000E7CFD" w:rsidRDefault="004379DE">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0E7CFD" w:rsidRDefault="004379DE">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0E7CFD" w:rsidRDefault="004379DE">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0E7CFD" w:rsidRDefault="004379DE">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0E7CFD" w:rsidRDefault="004379DE">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0E7CFD">
        <w:trPr>
          <w:trHeight w:val="330"/>
        </w:trPr>
        <w:tc>
          <w:tcPr>
            <w:tcW w:w="742" w:type="dxa"/>
            <w:shd w:val="clear" w:color="auto" w:fill="auto"/>
            <w:vAlign w:val="center"/>
          </w:tcPr>
          <w:p w:rsidR="000E7CFD" w:rsidRDefault="004379DE">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rsidR="000E7CFD" w:rsidRDefault="004379DE">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0E7CFD">
        <w:trPr>
          <w:trHeight w:val="701"/>
        </w:trPr>
        <w:tc>
          <w:tcPr>
            <w:tcW w:w="742"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0E7CFD" w:rsidRDefault="004379DE">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shd w:val="clear" w:color="auto" w:fill="auto"/>
            <w:vAlign w:val="center"/>
          </w:tcPr>
          <w:p w:rsidR="000E7CFD" w:rsidRDefault="004379DE">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0E7CFD" w:rsidRDefault="004379DE">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0E7CFD" w:rsidRDefault="004379DE">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0E7CFD" w:rsidRDefault="004379DE">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0E7CFD">
        <w:trPr>
          <w:trHeight w:val="180"/>
        </w:trPr>
        <w:tc>
          <w:tcPr>
            <w:tcW w:w="8323" w:type="dxa"/>
            <w:gridSpan w:val="3"/>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rsidR="000E7CFD" w:rsidRDefault="004379DE">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0E7CFD" w:rsidRDefault="004379DE">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0E7CFD" w:rsidRDefault="000E7CFD">
      <w:pPr>
        <w:widowControl/>
        <w:spacing w:before="100" w:beforeAutospacing="1" w:after="100" w:afterAutospacing="1"/>
        <w:jc w:val="left"/>
        <w:rPr>
          <w:rFonts w:asciiTheme="minorEastAsia" w:eastAsiaTheme="minorEastAsia" w:hAnsiTheme="minorEastAsia" w:cs="宋体"/>
          <w:kern w:val="0"/>
          <w:sz w:val="24"/>
        </w:rPr>
      </w:pPr>
    </w:p>
    <w:p w:rsidR="000E7CFD" w:rsidRDefault="000E7CFD">
      <w:pPr>
        <w:widowControl/>
        <w:spacing w:before="100" w:beforeAutospacing="1" w:after="100" w:afterAutospacing="1"/>
        <w:jc w:val="left"/>
        <w:rPr>
          <w:rFonts w:asciiTheme="minorEastAsia" w:eastAsiaTheme="minorEastAsia" w:hAnsiTheme="minorEastAsia" w:cs="宋体"/>
          <w:kern w:val="0"/>
          <w:sz w:val="24"/>
        </w:rPr>
      </w:pPr>
    </w:p>
    <w:p w:rsidR="000E7CFD" w:rsidRDefault="000E7CFD">
      <w:pPr>
        <w:widowControl/>
        <w:spacing w:before="100" w:beforeAutospacing="1" w:after="100" w:afterAutospacing="1"/>
        <w:jc w:val="left"/>
        <w:rPr>
          <w:rFonts w:asciiTheme="minorEastAsia" w:eastAsiaTheme="minorEastAsia" w:hAnsiTheme="minorEastAsia" w:cs="宋体"/>
          <w:kern w:val="0"/>
          <w:sz w:val="24"/>
        </w:rPr>
      </w:pPr>
    </w:p>
    <w:p w:rsidR="000E7CFD" w:rsidRDefault="000E7CFD">
      <w:pPr>
        <w:widowControl/>
        <w:spacing w:before="100" w:beforeAutospacing="1" w:after="100" w:afterAutospacing="1"/>
        <w:jc w:val="left"/>
        <w:rPr>
          <w:rFonts w:asciiTheme="minorEastAsia" w:eastAsiaTheme="minorEastAsia" w:hAnsiTheme="minorEastAsia" w:cs="宋体"/>
          <w:kern w:val="0"/>
          <w:sz w:val="24"/>
        </w:rPr>
      </w:pPr>
    </w:p>
    <w:p w:rsidR="000E7CFD" w:rsidRDefault="000E7CFD">
      <w:pPr>
        <w:widowControl/>
        <w:spacing w:before="100" w:beforeAutospacing="1" w:after="100" w:afterAutospacing="1"/>
        <w:jc w:val="left"/>
        <w:rPr>
          <w:rFonts w:asciiTheme="minorEastAsia" w:eastAsiaTheme="minorEastAsia" w:hAnsiTheme="minorEastAsia" w:cs="宋体"/>
          <w:kern w:val="0"/>
          <w:sz w:val="24"/>
        </w:rPr>
      </w:pPr>
    </w:p>
    <w:p w:rsidR="000E7CFD" w:rsidRDefault="004379DE">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94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0"/>
        <w:gridCol w:w="1185"/>
        <w:gridCol w:w="1950"/>
        <w:gridCol w:w="3146"/>
      </w:tblGrid>
      <w:tr w:rsidR="000E7CFD">
        <w:trPr>
          <w:trHeight w:val="653"/>
        </w:trPr>
        <w:tc>
          <w:tcPr>
            <w:tcW w:w="846" w:type="dxa"/>
            <w:vAlign w:val="center"/>
          </w:tcPr>
          <w:p w:rsidR="000E7CFD" w:rsidRDefault="004379DE">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310" w:type="dxa"/>
            <w:vAlign w:val="center"/>
          </w:tcPr>
          <w:p w:rsidR="000E7CFD" w:rsidRDefault="004379DE">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185" w:type="dxa"/>
            <w:vAlign w:val="center"/>
          </w:tcPr>
          <w:p w:rsidR="000E7CFD" w:rsidRDefault="004379DE">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50" w:type="dxa"/>
            <w:vAlign w:val="center"/>
          </w:tcPr>
          <w:p w:rsidR="000E7CFD" w:rsidRDefault="004379DE">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收费标准（元）（人份、次）</w:t>
            </w:r>
          </w:p>
        </w:tc>
        <w:tc>
          <w:tcPr>
            <w:tcW w:w="3146" w:type="dxa"/>
            <w:vAlign w:val="center"/>
          </w:tcPr>
          <w:p w:rsidR="000E7CFD" w:rsidRDefault="004379DE">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w:t>
            </w:r>
            <w:r>
              <w:rPr>
                <w:rFonts w:asciiTheme="minorEastAsia" w:eastAsiaTheme="minorEastAsia" w:hAnsiTheme="minorEastAsia" w:cs="宋体" w:hint="eastAsia"/>
                <w:kern w:val="0"/>
                <w:sz w:val="24"/>
              </w:rPr>
              <w:t>具体参数需求</w:t>
            </w:r>
          </w:p>
        </w:tc>
      </w:tr>
      <w:tr w:rsidR="000E7CFD">
        <w:trPr>
          <w:trHeight w:val="873"/>
        </w:trPr>
        <w:tc>
          <w:tcPr>
            <w:tcW w:w="846" w:type="dxa"/>
            <w:vAlign w:val="center"/>
          </w:tcPr>
          <w:p w:rsidR="000E7CFD" w:rsidRDefault="004379DE">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10" w:type="dxa"/>
            <w:vAlign w:val="center"/>
          </w:tcPr>
          <w:p w:rsidR="000E7CFD" w:rsidRDefault="004379DE">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甲型</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乙型</w:t>
            </w:r>
            <w:r>
              <w:rPr>
                <w:rFonts w:asciiTheme="minorEastAsia" w:eastAsiaTheme="minorEastAsia" w:hAnsiTheme="minorEastAsia" w:cs="宋体" w:hint="eastAsia"/>
                <w:kern w:val="0"/>
                <w:sz w:val="24"/>
              </w:rPr>
              <w:t>流感病毒</w:t>
            </w:r>
            <w:r>
              <w:rPr>
                <w:rFonts w:asciiTheme="minorEastAsia" w:eastAsiaTheme="minorEastAsia" w:hAnsiTheme="minorEastAsia" w:cs="宋体" w:hint="eastAsia"/>
                <w:kern w:val="0"/>
                <w:sz w:val="24"/>
              </w:rPr>
              <w:t>RNA</w:t>
            </w:r>
            <w:r>
              <w:rPr>
                <w:rFonts w:asciiTheme="minorEastAsia" w:eastAsiaTheme="minorEastAsia" w:hAnsiTheme="minorEastAsia" w:cs="宋体" w:hint="eastAsia"/>
                <w:kern w:val="0"/>
                <w:sz w:val="24"/>
              </w:rPr>
              <w:t>检测试剂盒</w:t>
            </w:r>
          </w:p>
        </w:tc>
        <w:tc>
          <w:tcPr>
            <w:tcW w:w="1185" w:type="dxa"/>
            <w:vAlign w:val="center"/>
          </w:tcPr>
          <w:p w:rsidR="000E7CFD" w:rsidRDefault="004379DE">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否</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w:t>
            </w:r>
          </w:p>
        </w:tc>
        <w:tc>
          <w:tcPr>
            <w:tcW w:w="1950" w:type="dxa"/>
            <w:vAlign w:val="center"/>
          </w:tcPr>
          <w:p w:rsidR="000E7CFD" w:rsidRDefault="004379DE">
            <w:pPr>
              <w:widowControl/>
              <w:spacing w:before="100" w:beforeAutospacing="1" w:after="100" w:afterAutospacing="1"/>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60</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人次</w:t>
            </w:r>
          </w:p>
        </w:tc>
        <w:tc>
          <w:tcPr>
            <w:tcW w:w="3146" w:type="dxa"/>
            <w:vAlign w:val="center"/>
          </w:tcPr>
          <w:p w:rsidR="000E7CFD" w:rsidRDefault="004379DE">
            <w:pPr>
              <w:widowControl/>
              <w:numPr>
                <w:ilvl w:val="0"/>
                <w:numId w:val="4"/>
              </w:numPr>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荧光</w:t>
            </w:r>
            <w:r>
              <w:rPr>
                <w:rFonts w:asciiTheme="minorEastAsia" w:eastAsiaTheme="minorEastAsia" w:hAnsiTheme="minorEastAsia" w:cs="宋体" w:hint="eastAsia"/>
                <w:kern w:val="0"/>
                <w:sz w:val="24"/>
              </w:rPr>
              <w:t>PCR</w:t>
            </w:r>
            <w:r>
              <w:rPr>
                <w:rFonts w:asciiTheme="minorEastAsia" w:eastAsiaTheme="minorEastAsia" w:hAnsiTheme="minorEastAsia" w:cs="宋体" w:hint="eastAsia"/>
                <w:kern w:val="0"/>
                <w:sz w:val="24"/>
              </w:rPr>
              <w:t>法；</w:t>
            </w:r>
          </w:p>
          <w:p w:rsidR="000E7CFD" w:rsidRDefault="004379DE">
            <w:pPr>
              <w:widowControl/>
              <w:numPr>
                <w:ilvl w:val="0"/>
                <w:numId w:val="4"/>
              </w:numPr>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含内标；</w:t>
            </w:r>
          </w:p>
          <w:p w:rsidR="000E7CFD" w:rsidRDefault="004379DE">
            <w:pPr>
              <w:widowControl/>
              <w:numPr>
                <w:ilvl w:val="0"/>
                <w:numId w:val="4"/>
              </w:numPr>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灵敏度</w:t>
            </w:r>
            <w:r>
              <w:rPr>
                <w:rFonts w:ascii="宋体" w:hAnsi="宋体" w:cs="宋体" w:hint="eastAsia"/>
                <w:kern w:val="0"/>
                <w:sz w:val="24"/>
              </w:rPr>
              <w:t>≦</w:t>
            </w:r>
            <w:r>
              <w:rPr>
                <w:rFonts w:ascii="宋体" w:hAnsi="宋体" w:cs="宋体" w:hint="eastAsia"/>
                <w:kern w:val="0"/>
                <w:sz w:val="24"/>
              </w:rPr>
              <w:t>5</w:t>
            </w:r>
            <w:r>
              <w:rPr>
                <w:rFonts w:asciiTheme="minorEastAsia" w:eastAsiaTheme="minorEastAsia" w:hAnsiTheme="minorEastAsia" w:cs="宋体" w:hint="eastAsia"/>
                <w:kern w:val="0"/>
                <w:sz w:val="24"/>
              </w:rPr>
              <w:t>00</w:t>
            </w:r>
            <w:r>
              <w:rPr>
                <w:rFonts w:asciiTheme="minorEastAsia" w:eastAsiaTheme="minorEastAsia" w:hAnsiTheme="minorEastAsia" w:cs="宋体" w:hint="eastAsia"/>
                <w:kern w:val="0"/>
                <w:sz w:val="24"/>
              </w:rPr>
              <w:t>拷贝</w:t>
            </w:r>
            <w:r>
              <w:rPr>
                <w:rFonts w:asciiTheme="minorEastAsia" w:eastAsiaTheme="minorEastAsia" w:hAnsiTheme="minorEastAsia" w:cs="宋体" w:hint="eastAsia"/>
                <w:kern w:val="0"/>
                <w:sz w:val="24"/>
              </w:rPr>
              <w:t>/ml</w:t>
            </w:r>
            <w:r>
              <w:rPr>
                <w:rFonts w:asciiTheme="minorEastAsia" w:eastAsiaTheme="minorEastAsia" w:hAnsiTheme="minorEastAsia" w:cs="宋体" w:hint="eastAsia"/>
                <w:kern w:val="0"/>
                <w:sz w:val="24"/>
              </w:rPr>
              <w:t>；</w:t>
            </w:r>
          </w:p>
          <w:p w:rsidR="000E7CFD" w:rsidRDefault="004379DE">
            <w:pPr>
              <w:widowControl/>
              <w:numPr>
                <w:ilvl w:val="0"/>
                <w:numId w:val="4"/>
              </w:numPr>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试剂有效期</w:t>
            </w:r>
            <w:r>
              <w:rPr>
                <w:rFonts w:ascii="宋体" w:hAnsi="宋体" w:cs="宋体" w:hint="eastAsia"/>
                <w:kern w:val="0"/>
                <w:sz w:val="24"/>
              </w:rPr>
              <w:t>≧</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个月。</w:t>
            </w:r>
          </w:p>
        </w:tc>
      </w:tr>
    </w:tbl>
    <w:p w:rsidR="000E7CFD" w:rsidRDefault="000E7CFD" w:rsidP="000F54AE">
      <w:pPr>
        <w:widowControl/>
        <w:spacing w:before="100" w:beforeAutospacing="1" w:after="100" w:afterAutospacing="1"/>
        <w:jc w:val="left"/>
        <w:rPr>
          <w:rFonts w:ascii="宋体" w:hAnsi="宋体"/>
          <w:bCs/>
          <w:sz w:val="24"/>
        </w:rPr>
      </w:pPr>
      <w:bookmarkStart w:id="0" w:name="_GoBack"/>
      <w:bookmarkEnd w:id="0"/>
    </w:p>
    <w:sectPr w:rsidR="000E7CFD">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DE" w:rsidRDefault="004379DE">
      <w:r>
        <w:separator/>
      </w:r>
    </w:p>
  </w:endnote>
  <w:endnote w:type="continuationSeparator" w:id="0">
    <w:p w:rsidR="004379DE" w:rsidRDefault="0043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0E7CFD" w:rsidRDefault="004379DE">
        <w:pPr>
          <w:pStyle w:val="a3"/>
          <w:jc w:val="center"/>
        </w:pPr>
        <w:r>
          <w:fldChar w:fldCharType="begin"/>
        </w:r>
        <w:r>
          <w:instrText>PAGE   \* MERGEFORMAT</w:instrText>
        </w:r>
        <w:r>
          <w:fldChar w:fldCharType="separate"/>
        </w:r>
        <w:r w:rsidR="000F54AE" w:rsidRPr="000F54AE">
          <w:rPr>
            <w:noProof/>
            <w:lang w:val="zh-CN"/>
          </w:rPr>
          <w:t>-</w:t>
        </w:r>
        <w:r w:rsidR="000F54AE">
          <w:rPr>
            <w:noProof/>
          </w:rPr>
          <w:t xml:space="preserve"> 2 -</w:t>
        </w:r>
        <w:r>
          <w:fldChar w:fldCharType="end"/>
        </w:r>
      </w:p>
    </w:sdtContent>
  </w:sdt>
  <w:p w:rsidR="000E7CFD" w:rsidRDefault="000E7CF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DE" w:rsidRDefault="004379DE">
      <w:r>
        <w:separator/>
      </w:r>
    </w:p>
  </w:footnote>
  <w:footnote w:type="continuationSeparator" w:id="0">
    <w:p w:rsidR="004379DE" w:rsidRDefault="00437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E4BA5"/>
    <w:multiLevelType w:val="singleLevel"/>
    <w:tmpl w:val="A75E4BA5"/>
    <w:lvl w:ilvl="0">
      <w:start w:val="1"/>
      <w:numFmt w:val="decimal"/>
      <w:suff w:val="nothing"/>
      <w:lvlText w:val="%1、"/>
      <w:lvlJc w:val="left"/>
    </w:lvl>
  </w:abstractNum>
  <w:abstractNum w:abstractNumId="1"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3"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jJkMjkzNmE3ZjBjYzE4NDZlMzRhMzJjNzY3NDYifQ=="/>
  </w:docVars>
  <w:rsids>
    <w:rsidRoot w:val="00917972"/>
    <w:rsid w:val="0001717B"/>
    <w:rsid w:val="00027BAA"/>
    <w:rsid w:val="000346EE"/>
    <w:rsid w:val="000865FB"/>
    <w:rsid w:val="000A2D9F"/>
    <w:rsid w:val="000B1598"/>
    <w:rsid w:val="000B2248"/>
    <w:rsid w:val="000C46CA"/>
    <w:rsid w:val="000D196D"/>
    <w:rsid w:val="000E1DAE"/>
    <w:rsid w:val="000E7CFD"/>
    <w:rsid w:val="000F54AE"/>
    <w:rsid w:val="001C020B"/>
    <w:rsid w:val="001C5E6B"/>
    <w:rsid w:val="001D0F34"/>
    <w:rsid w:val="001D4F49"/>
    <w:rsid w:val="001F3EC2"/>
    <w:rsid w:val="00203F52"/>
    <w:rsid w:val="0021733B"/>
    <w:rsid w:val="00233710"/>
    <w:rsid w:val="00236EB7"/>
    <w:rsid w:val="002B4449"/>
    <w:rsid w:val="002D3235"/>
    <w:rsid w:val="002D4BC7"/>
    <w:rsid w:val="003113BF"/>
    <w:rsid w:val="00346659"/>
    <w:rsid w:val="0035664E"/>
    <w:rsid w:val="00375B7E"/>
    <w:rsid w:val="00392245"/>
    <w:rsid w:val="00425B19"/>
    <w:rsid w:val="00426CA7"/>
    <w:rsid w:val="004379DE"/>
    <w:rsid w:val="00515A8F"/>
    <w:rsid w:val="00546B4C"/>
    <w:rsid w:val="005672FE"/>
    <w:rsid w:val="005708F0"/>
    <w:rsid w:val="00584E0A"/>
    <w:rsid w:val="005B3A63"/>
    <w:rsid w:val="005D33F2"/>
    <w:rsid w:val="005E3E42"/>
    <w:rsid w:val="005F6C47"/>
    <w:rsid w:val="0063213A"/>
    <w:rsid w:val="006A503A"/>
    <w:rsid w:val="006B695C"/>
    <w:rsid w:val="0070178B"/>
    <w:rsid w:val="0072272A"/>
    <w:rsid w:val="007360B6"/>
    <w:rsid w:val="007557D1"/>
    <w:rsid w:val="007750A0"/>
    <w:rsid w:val="007C5B24"/>
    <w:rsid w:val="0081435D"/>
    <w:rsid w:val="00816F83"/>
    <w:rsid w:val="008412B4"/>
    <w:rsid w:val="0084170E"/>
    <w:rsid w:val="0089445E"/>
    <w:rsid w:val="008A7443"/>
    <w:rsid w:val="008C7BB8"/>
    <w:rsid w:val="008E35C2"/>
    <w:rsid w:val="008F5761"/>
    <w:rsid w:val="00912FAE"/>
    <w:rsid w:val="00917972"/>
    <w:rsid w:val="00977F0E"/>
    <w:rsid w:val="009A1255"/>
    <w:rsid w:val="009B58B3"/>
    <w:rsid w:val="009B7588"/>
    <w:rsid w:val="009F6854"/>
    <w:rsid w:val="00AE7DB5"/>
    <w:rsid w:val="00B1082A"/>
    <w:rsid w:val="00B16D72"/>
    <w:rsid w:val="00B202D7"/>
    <w:rsid w:val="00B34EC8"/>
    <w:rsid w:val="00B418DD"/>
    <w:rsid w:val="00B55854"/>
    <w:rsid w:val="00B56BCF"/>
    <w:rsid w:val="00B703C8"/>
    <w:rsid w:val="00BB1A91"/>
    <w:rsid w:val="00BD4E35"/>
    <w:rsid w:val="00BE41CB"/>
    <w:rsid w:val="00C52EF5"/>
    <w:rsid w:val="00C67A4F"/>
    <w:rsid w:val="00CE5B0C"/>
    <w:rsid w:val="00CF17B4"/>
    <w:rsid w:val="00D3503E"/>
    <w:rsid w:val="00D64BE1"/>
    <w:rsid w:val="00D8305A"/>
    <w:rsid w:val="00DA63C3"/>
    <w:rsid w:val="00DB386B"/>
    <w:rsid w:val="00DD0DE3"/>
    <w:rsid w:val="00DD2F31"/>
    <w:rsid w:val="00E1340D"/>
    <w:rsid w:val="00E73BA4"/>
    <w:rsid w:val="00E9378D"/>
    <w:rsid w:val="00E93F01"/>
    <w:rsid w:val="00EE28F3"/>
    <w:rsid w:val="00EF67F2"/>
    <w:rsid w:val="00F14601"/>
    <w:rsid w:val="00F70376"/>
    <w:rsid w:val="00F81225"/>
    <w:rsid w:val="00F85DB2"/>
    <w:rsid w:val="00F92D50"/>
    <w:rsid w:val="00FA07B8"/>
    <w:rsid w:val="00FF222A"/>
    <w:rsid w:val="00FF7643"/>
    <w:rsid w:val="063C618E"/>
    <w:rsid w:val="09317280"/>
    <w:rsid w:val="0EBD2A59"/>
    <w:rsid w:val="13601FD5"/>
    <w:rsid w:val="1A2C7DEE"/>
    <w:rsid w:val="1D9D5BA4"/>
    <w:rsid w:val="20FD17BE"/>
    <w:rsid w:val="269C2E17"/>
    <w:rsid w:val="26EE059E"/>
    <w:rsid w:val="288B5A00"/>
    <w:rsid w:val="32F669F0"/>
    <w:rsid w:val="36797F10"/>
    <w:rsid w:val="3A491064"/>
    <w:rsid w:val="3A607421"/>
    <w:rsid w:val="3D1600F7"/>
    <w:rsid w:val="47164442"/>
    <w:rsid w:val="49502E85"/>
    <w:rsid w:val="4B171BBE"/>
    <w:rsid w:val="54D57D13"/>
    <w:rsid w:val="58211D7D"/>
    <w:rsid w:val="5FF2755C"/>
    <w:rsid w:val="71E156F8"/>
    <w:rsid w:val="736566AF"/>
    <w:rsid w:val="799D7E4B"/>
    <w:rsid w:val="7E2B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16C2FE"/>
  <w15:docId w15:val="{C9D2A42A-CA83-45B9-814D-9033BB20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paragraph" w:styleId="4">
    <w:name w:val="heading 4"/>
    <w:basedOn w:val="a"/>
    <w:next w:val="a"/>
    <w:autoRedefine/>
    <w:uiPriority w:val="1"/>
    <w:qFormat/>
    <w:pPr>
      <w:spacing w:before="27"/>
      <w:ind w:left="2386"/>
      <w:outlineLvl w:val="3"/>
    </w:pPr>
    <w:rPr>
      <w:rFonts w:ascii="宋体" w:hAnsi="宋体"/>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6">
    <w:name w:val="页眉 字符"/>
    <w:basedOn w:val="a0"/>
    <w:link w:val="a5"/>
    <w:autoRedefine/>
    <w:uiPriority w:val="99"/>
    <w:qFormat/>
    <w:rPr>
      <w:rFonts w:ascii="Calibri" w:eastAsia="宋体" w:hAnsi="Calibri" w:cs="Times New Roman"/>
      <w:sz w:val="18"/>
      <w:szCs w:val="18"/>
    </w:rPr>
  </w:style>
  <w:style w:type="character" w:customStyle="1" w:styleId="a4">
    <w:name w:val="页脚 字符"/>
    <w:basedOn w:val="a0"/>
    <w:link w:val="a3"/>
    <w:autoRedefine/>
    <w:uiPriority w:val="99"/>
    <w:qFormat/>
    <w:rPr>
      <w:rFonts w:ascii="Calibri" w:eastAsia="宋体" w:hAnsi="Calibri" w:cs="Times New Roman"/>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34</cp:revision>
  <cp:lastPrinted>2023-07-12T02:54:00Z</cp:lastPrinted>
  <dcterms:created xsi:type="dcterms:W3CDTF">2022-01-20T08:17:00Z</dcterms:created>
  <dcterms:modified xsi:type="dcterms:W3CDTF">2026-02-09T00:55:00Z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5F347D4704F74065A020E1DAAB522D18_13</vt:lpwstr>
  </property>
  <property fmtid="{D5CDD505-2E9C-101B-9397-08002B2CF9AE}" pid="4" name="KSOTemplateDocerSaveRecord">
    <vt:lpwstr>eyJoZGlkIjoiZDQ5M2VlMDgwZjNiZDkyMDUxZGUzZDA5ZDAzNDI3ODUiLCJ1c2VySWQiOiIyMDc2NzMxODcifQ==</vt:lpwstr>
  </property>
</Properties>
</file>