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739C">
      <w:pPr>
        <w:jc w:val="center"/>
        <w:rPr>
          <w:rFonts w:hint="eastAsia"/>
          <w:b/>
          <w:bCs/>
          <w:sz w:val="28"/>
          <w:szCs w:val="36"/>
          <w:lang w:eastAsia="zh-CN"/>
        </w:rPr>
      </w:pPr>
      <w:r>
        <w:rPr>
          <w:rFonts w:hint="eastAsia"/>
          <w:b/>
          <w:bCs/>
          <w:sz w:val="28"/>
          <w:szCs w:val="36"/>
          <w:lang w:eastAsia="zh-CN"/>
        </w:rPr>
        <w:t>用户需求书</w:t>
      </w:r>
    </w:p>
    <w:p w14:paraId="19CF214B">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项目名称：笑气吸入镇痛装置</w:t>
      </w:r>
    </w:p>
    <w:p w14:paraId="3FC42F91">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采购预算：150万元</w:t>
      </w:r>
    </w:p>
    <w:p w14:paraId="410E9729">
      <w:pPr>
        <w:pStyle w:val="5"/>
        <w:numPr>
          <w:ilvl w:val="0"/>
          <w:numId w:val="1"/>
        </w:numPr>
        <w:ind w:left="0" w:leftChars="0" w:firstLine="0" w:firstLineChars="0"/>
        <w:rPr>
          <w:rFonts w:hint="eastAsia" w:ascii="宋体" w:hAnsi="宋体" w:eastAsia="宋体" w:cs="宋体"/>
          <w:bCs w:val="0"/>
          <w:spacing w:val="0"/>
          <w:kern w:val="2"/>
          <w:sz w:val="24"/>
          <w:szCs w:val="32"/>
          <w:lang w:val="en-US" w:eastAsia="zh-CN" w:bidi="ar-SA"/>
        </w:rPr>
      </w:pPr>
      <w:r>
        <w:rPr>
          <w:rFonts w:hint="eastAsia" w:ascii="宋体" w:hAnsi="宋体" w:eastAsia="宋体" w:cs="宋体"/>
          <w:bCs w:val="0"/>
          <w:spacing w:val="0"/>
          <w:kern w:val="2"/>
          <w:sz w:val="24"/>
          <w:szCs w:val="32"/>
          <w:lang w:val="en-US" w:eastAsia="zh-CN" w:bidi="ar-SA"/>
        </w:rPr>
        <w:t>采购数量：15台</w:t>
      </w:r>
    </w:p>
    <w:p w14:paraId="4193B33F">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产地：国产</w:t>
      </w:r>
    </w:p>
    <w:p w14:paraId="0B335638">
      <w:pPr>
        <w:numPr>
          <w:ilvl w:val="0"/>
          <w:numId w:val="1"/>
        </w:numPr>
        <w:rPr>
          <w:rFonts w:hint="eastAsia" w:ascii="宋体" w:hAnsi="宋体" w:eastAsia="宋体" w:cs="宋体"/>
          <w:lang w:val="en-US" w:eastAsia="zh-CN"/>
        </w:rPr>
      </w:pPr>
      <w:r>
        <w:rPr>
          <w:rFonts w:hint="eastAsia" w:ascii="宋体" w:hAnsi="宋体" w:eastAsia="宋体" w:cs="宋体"/>
          <w:sz w:val="24"/>
          <w:szCs w:val="32"/>
          <w:lang w:val="en-US" w:eastAsia="zh-CN"/>
        </w:rPr>
        <w:t>参数要求</w:t>
      </w:r>
      <w:r>
        <w:rPr>
          <w:rFonts w:hint="eastAsia" w:ascii="宋体" w:hAnsi="宋体" w:eastAsia="宋体" w:cs="宋体"/>
          <w:lang w:val="en-US" w:eastAsia="zh-CN"/>
        </w:rPr>
        <w:t>：</w:t>
      </w:r>
    </w:p>
    <w:tbl>
      <w:tblPr>
        <w:tblStyle w:val="3"/>
        <w:tblW w:w="9029"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23"/>
        <w:gridCol w:w="7906"/>
      </w:tblGrid>
      <w:tr w14:paraId="5753EB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029" w:type="dxa"/>
            <w:gridSpan w:val="2"/>
            <w:tcBorders>
              <w:top w:val="single" w:color="auto" w:sz="6" w:space="0"/>
              <w:left w:val="single" w:color="auto" w:sz="6" w:space="0"/>
              <w:bottom w:val="nil"/>
              <w:right w:val="nil"/>
            </w:tcBorders>
            <w:vAlign w:val="center"/>
          </w:tcPr>
          <w:p w14:paraId="76628643">
            <w:pPr>
              <w:widowControl/>
              <w:spacing w:before="100" w:beforeAutospacing="1" w:after="100" w:afterAutospacing="1"/>
              <w:jc w:val="center"/>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lang w:eastAsia="zh-CN"/>
              </w:rPr>
              <w:t>技术需</w:t>
            </w:r>
            <w:r>
              <w:rPr>
                <w:rFonts w:hint="eastAsia" w:ascii="宋体" w:hAnsi="宋体" w:eastAsia="宋体" w:cs="宋体"/>
                <w:b/>
                <w:bCs/>
                <w:color w:val="auto"/>
                <w:kern w:val="0"/>
                <w:sz w:val="24"/>
                <w:szCs w:val="24"/>
                <w:highlight w:val="none"/>
              </w:rPr>
              <w:t>求</w:t>
            </w:r>
          </w:p>
        </w:tc>
      </w:tr>
      <w:tr w14:paraId="2BA429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4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8CCEBBA">
            <w:pPr>
              <w:widowControl/>
              <w:spacing w:before="100" w:beforeAutospacing="1" w:after="100" w:afterAutospacing="1"/>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color w:val="auto"/>
                <w:kern w:val="0"/>
                <w:sz w:val="20"/>
                <w:szCs w:val="20"/>
              </w:rPr>
              <w:t>▲</w:t>
            </w:r>
            <w:r>
              <w:rPr>
                <w:rFonts w:hint="eastAsia" w:ascii="宋体" w:hAnsi="宋体" w:eastAsia="宋体" w:cs="宋体"/>
                <w:b/>
                <w:bCs/>
                <w:color w:val="auto"/>
                <w:kern w:val="0"/>
                <w:sz w:val="24"/>
                <w:szCs w:val="24"/>
                <w:highlight w:val="none"/>
                <w:lang w:val="en-US" w:eastAsia="zh-CN" w:bidi="ar-SA"/>
              </w:rPr>
              <w:t>1</w:t>
            </w:r>
          </w:p>
        </w:tc>
        <w:tc>
          <w:tcPr>
            <w:tcW w:w="7906" w:type="dxa"/>
            <w:tcBorders>
              <w:top w:val="single" w:color="auto" w:sz="6" w:space="0"/>
              <w:left w:val="single" w:color="auto" w:sz="6" w:space="0"/>
              <w:bottom w:val="nil"/>
              <w:right w:val="nil"/>
            </w:tcBorders>
            <w:shd w:val="clear" w:color="auto" w:fill="auto"/>
            <w:vAlign w:val="top"/>
          </w:tcPr>
          <w:p w14:paraId="3EB66E94">
            <w:pPr>
              <w:widowControl/>
              <w:spacing w:before="100" w:beforeAutospacing="1" w:after="100" w:afterAutospacing="1"/>
              <w:jc w:val="left"/>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需有中心供氧接口、并配备专用的成人、儿童面罩型和鼻管型输氧管。(投标时需提供产品技术白皮书或说明书扫描件或产品彩页或注册证附页的详细技术参数清单，注：对应参数在上述材料中进行标注，原件备查。)</w:t>
            </w:r>
          </w:p>
        </w:tc>
      </w:tr>
      <w:tr w14:paraId="629AA4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7F573F0">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color w:val="auto"/>
                <w:kern w:val="0"/>
                <w:sz w:val="20"/>
                <w:szCs w:val="20"/>
              </w:rPr>
              <w:t>▲</w:t>
            </w:r>
            <w:r>
              <w:rPr>
                <w:rFonts w:hint="eastAsia" w:ascii="宋体" w:hAnsi="宋体" w:eastAsia="宋体" w:cs="宋体"/>
                <w:b w:val="0"/>
                <w:bCs w:val="0"/>
                <w:color w:val="auto"/>
                <w:kern w:val="0"/>
                <w:sz w:val="24"/>
                <w:szCs w:val="24"/>
                <w:highlight w:val="none"/>
                <w:lang w:val="en-US" w:eastAsia="zh-CN"/>
              </w:rPr>
              <w:t>2</w:t>
            </w:r>
          </w:p>
        </w:tc>
        <w:tc>
          <w:tcPr>
            <w:tcW w:w="7906" w:type="dxa"/>
            <w:tcBorders>
              <w:top w:val="single" w:color="auto" w:sz="6" w:space="0"/>
              <w:left w:val="single" w:color="auto" w:sz="6" w:space="0"/>
              <w:bottom w:val="nil"/>
              <w:right w:val="nil"/>
            </w:tcBorders>
            <w:shd w:val="clear" w:color="auto" w:fill="auto"/>
            <w:vAlign w:val="top"/>
          </w:tcPr>
          <w:p w14:paraId="4E613A1F">
            <w:pPr>
              <w:widowControl/>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0"/>
                <w:sz w:val="20"/>
                <w:szCs w:val="20"/>
                <w:lang w:val="en-US" w:eastAsia="zh-CN"/>
              </w:rPr>
              <w:t>有</w:t>
            </w:r>
            <w:r>
              <w:rPr>
                <w:rFonts w:hint="eastAsia" w:ascii="宋体" w:hAnsi="宋体" w:eastAsia="宋体" w:cs="宋体"/>
                <w:i w:val="0"/>
                <w:iCs w:val="0"/>
                <w:caps w:val="0"/>
                <w:color w:val="auto"/>
                <w:spacing w:val="0"/>
                <w:kern w:val="0"/>
                <w:sz w:val="20"/>
                <w:szCs w:val="20"/>
                <w:lang w:val="en-US" w:eastAsia="zh-CN" w:bidi="ar"/>
              </w:rPr>
              <w:t>呼吸气囊：气囊位置要求便于临床观察观察位置。(投标时需提供产品技术白皮书或说明书扫描件或产品彩页或注册证附页的详细技术参数清单，注：对应参数在上述材料中进行标注，原件备查。)</w:t>
            </w:r>
          </w:p>
        </w:tc>
      </w:tr>
      <w:tr w14:paraId="2FE939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7BBA7FF">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rPr>
              <w:t>3</w:t>
            </w:r>
          </w:p>
        </w:tc>
        <w:tc>
          <w:tcPr>
            <w:tcW w:w="7906" w:type="dxa"/>
            <w:tcBorders>
              <w:top w:val="single" w:color="auto" w:sz="6" w:space="0"/>
              <w:left w:val="single" w:color="auto" w:sz="6" w:space="0"/>
              <w:bottom w:val="nil"/>
              <w:right w:val="nil"/>
            </w:tcBorders>
            <w:shd w:val="clear" w:color="auto" w:fill="auto"/>
            <w:vAlign w:val="top"/>
          </w:tcPr>
          <w:p w14:paraId="4E6CE930">
            <w:pPr>
              <w:widowControl/>
              <w:jc w:val="left"/>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混合气体流量调节范围：0~20L/min；</w:t>
            </w:r>
          </w:p>
          <w:p w14:paraId="3CFBB590">
            <w:pPr>
              <w:widowControl/>
              <w:jc w:val="left"/>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快速紧急供氧流量：25 L／min～75 L／min；</w:t>
            </w:r>
          </w:p>
          <w:p w14:paraId="5F9CC611">
            <w:pPr>
              <w:widowControl/>
              <w:jc w:val="left"/>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氧气浓度调节范围：30%~100%，调节精度为1%；</w:t>
            </w:r>
          </w:p>
          <w:p w14:paraId="3B62383B">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笑气浓度调节范围：0%~70%。笑气浓度调节精度：1%。</w:t>
            </w:r>
          </w:p>
        </w:tc>
      </w:tr>
      <w:tr w14:paraId="425252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3B4B58F3">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4</w:t>
            </w:r>
          </w:p>
        </w:tc>
        <w:tc>
          <w:tcPr>
            <w:tcW w:w="7906" w:type="dxa"/>
            <w:tcBorders>
              <w:top w:val="single" w:color="auto" w:sz="6" w:space="0"/>
              <w:left w:val="single" w:color="auto" w:sz="6" w:space="0"/>
              <w:bottom w:val="nil"/>
              <w:right w:val="nil"/>
            </w:tcBorders>
            <w:shd w:val="clear" w:color="auto" w:fill="auto"/>
            <w:vAlign w:val="top"/>
          </w:tcPr>
          <w:p w14:paraId="23A3AB38">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笑/氧比例有自稳功能：当改变输出气体流量大小时保持笑/氧气体比例不变</w:t>
            </w:r>
          </w:p>
        </w:tc>
      </w:tr>
      <w:tr w14:paraId="4FCB92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66DE1672">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rPr>
              <w:t>5</w:t>
            </w:r>
          </w:p>
        </w:tc>
        <w:tc>
          <w:tcPr>
            <w:tcW w:w="7906" w:type="dxa"/>
            <w:tcBorders>
              <w:top w:val="single" w:color="auto" w:sz="6" w:space="0"/>
              <w:left w:val="single" w:color="auto" w:sz="6" w:space="0"/>
              <w:bottom w:val="nil"/>
              <w:right w:val="nil"/>
            </w:tcBorders>
            <w:shd w:val="clear" w:color="auto" w:fill="auto"/>
            <w:vAlign w:val="top"/>
          </w:tcPr>
          <w:p w14:paraId="3A1B7AD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在氧气压力过低时,设备将自动停止笑气供应,供气不足或氧气耗尽时设备有自动空气补偿功能和报警装置，防止病人的窒息。</w:t>
            </w:r>
          </w:p>
        </w:tc>
      </w:tr>
      <w:tr w14:paraId="69859E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E725985">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rPr>
              <w:t>6</w:t>
            </w:r>
          </w:p>
        </w:tc>
        <w:tc>
          <w:tcPr>
            <w:tcW w:w="7906" w:type="dxa"/>
            <w:tcBorders>
              <w:top w:val="single" w:color="auto" w:sz="6" w:space="0"/>
              <w:left w:val="single" w:color="auto" w:sz="6" w:space="0"/>
              <w:bottom w:val="nil"/>
              <w:right w:val="nil"/>
            </w:tcBorders>
            <w:shd w:val="clear" w:color="auto" w:fill="auto"/>
            <w:vAlign w:val="top"/>
          </w:tcPr>
          <w:p w14:paraId="6FED1AB8">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有气源防误接功能和监察气源误接报警功能。</w:t>
            </w:r>
          </w:p>
        </w:tc>
      </w:tr>
      <w:tr w14:paraId="7E9CC3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A3D76A3">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7</w:t>
            </w:r>
          </w:p>
        </w:tc>
        <w:tc>
          <w:tcPr>
            <w:tcW w:w="7906" w:type="dxa"/>
            <w:tcBorders>
              <w:top w:val="single" w:color="auto" w:sz="6" w:space="0"/>
              <w:left w:val="single" w:color="auto" w:sz="6" w:space="0"/>
              <w:bottom w:val="nil"/>
              <w:right w:val="nil"/>
            </w:tcBorders>
            <w:shd w:val="clear" w:color="auto" w:fill="auto"/>
            <w:vAlign w:val="top"/>
          </w:tcPr>
          <w:p w14:paraId="4A1B1950">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操作界面要求≥ 7寸以上真彩液晶屏，能显示输出混合气体总流量、笑气和氧气浓度、气源压力、时间、电池电量、报警开（关）状态、混合气体开关状态等各项参数图形、数字显示。</w:t>
            </w:r>
          </w:p>
        </w:tc>
      </w:tr>
      <w:tr w14:paraId="69F040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0202D82">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8</w:t>
            </w:r>
          </w:p>
        </w:tc>
        <w:tc>
          <w:tcPr>
            <w:tcW w:w="7906" w:type="dxa"/>
            <w:tcBorders>
              <w:top w:val="single" w:color="auto" w:sz="6" w:space="0"/>
              <w:left w:val="single" w:color="auto" w:sz="6" w:space="0"/>
              <w:bottom w:val="nil"/>
              <w:right w:val="nil"/>
            </w:tcBorders>
            <w:shd w:val="clear" w:color="auto" w:fill="auto"/>
            <w:vAlign w:val="top"/>
          </w:tcPr>
          <w:p w14:paraId="02599F3E">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操作使用便捷，流量调节和浓度调节必须是各自独立的物理旋钮</w:t>
            </w:r>
          </w:p>
        </w:tc>
      </w:tr>
      <w:tr w14:paraId="5660E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92BCF08">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lang w:val="en-US" w:eastAsia="zh-CN"/>
              </w:rPr>
              <w:t>9</w:t>
            </w:r>
          </w:p>
        </w:tc>
        <w:tc>
          <w:tcPr>
            <w:tcW w:w="7906" w:type="dxa"/>
            <w:tcBorders>
              <w:top w:val="single" w:color="auto" w:sz="6" w:space="0"/>
              <w:left w:val="single" w:color="auto" w:sz="6" w:space="0"/>
              <w:bottom w:val="nil"/>
              <w:right w:val="nil"/>
            </w:tcBorders>
            <w:shd w:val="clear" w:color="auto" w:fill="auto"/>
            <w:vAlign w:val="top"/>
          </w:tcPr>
          <w:p w14:paraId="66716F39">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内置备用电源，能够保证设备在断电时持续工作2小时以上。</w:t>
            </w:r>
          </w:p>
        </w:tc>
      </w:tr>
      <w:tr w14:paraId="22DA1D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1BF59230">
            <w:pPr>
              <w:widowControl/>
              <w:spacing w:before="100" w:beforeAutospacing="1" w:after="100" w:afterAutospacing="1"/>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lang w:val="en-US" w:eastAsia="zh-CN"/>
              </w:rPr>
              <w:t>10</w:t>
            </w:r>
          </w:p>
        </w:tc>
        <w:tc>
          <w:tcPr>
            <w:tcW w:w="7906" w:type="dxa"/>
            <w:tcBorders>
              <w:top w:val="single" w:color="auto" w:sz="6" w:space="0"/>
              <w:left w:val="single" w:color="auto" w:sz="6" w:space="0"/>
              <w:bottom w:val="nil"/>
              <w:right w:val="nil"/>
            </w:tcBorders>
            <w:shd w:val="clear" w:color="auto" w:fill="auto"/>
            <w:vAlign w:val="top"/>
          </w:tcPr>
          <w:p w14:paraId="0ADBA52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具有流量累计计算功能。</w:t>
            </w:r>
          </w:p>
        </w:tc>
      </w:tr>
      <w:tr w14:paraId="538191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0CFD408C">
            <w:pPr>
              <w:widowControl/>
              <w:spacing w:before="100" w:beforeAutospacing="1" w:after="100" w:afterAutospacing="1"/>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11</w:t>
            </w:r>
          </w:p>
        </w:tc>
        <w:tc>
          <w:tcPr>
            <w:tcW w:w="7906" w:type="dxa"/>
            <w:tcBorders>
              <w:top w:val="single" w:color="auto" w:sz="6" w:space="0"/>
              <w:left w:val="single" w:color="auto" w:sz="6" w:space="0"/>
              <w:bottom w:val="nil"/>
              <w:right w:val="nil"/>
            </w:tcBorders>
            <w:shd w:val="clear" w:color="auto" w:fill="auto"/>
            <w:vAlign w:val="top"/>
          </w:tcPr>
          <w:p w14:paraId="74684B39">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具有“一键纯氧”功能，按压快捷键可直接按原流量纯氧冲洗。</w:t>
            </w:r>
          </w:p>
        </w:tc>
      </w:tr>
      <w:tr w14:paraId="7ED21B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616386D9">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12</w:t>
            </w:r>
          </w:p>
        </w:tc>
        <w:tc>
          <w:tcPr>
            <w:tcW w:w="7906" w:type="dxa"/>
            <w:tcBorders>
              <w:top w:val="single" w:color="auto" w:sz="6" w:space="0"/>
              <w:left w:val="single" w:color="auto" w:sz="6" w:space="0"/>
              <w:bottom w:val="nil"/>
              <w:right w:val="nil"/>
            </w:tcBorders>
            <w:shd w:val="clear" w:color="auto" w:fill="auto"/>
            <w:vAlign w:val="top"/>
          </w:tcPr>
          <w:p w14:paraId="6C4D6F02">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主机和气瓶机架可分拆，机头直接连接中心供气。</w:t>
            </w:r>
          </w:p>
        </w:tc>
      </w:tr>
      <w:tr w14:paraId="28ECAA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91786ED">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13</w:t>
            </w:r>
          </w:p>
        </w:tc>
        <w:tc>
          <w:tcPr>
            <w:tcW w:w="7906" w:type="dxa"/>
            <w:tcBorders>
              <w:top w:val="single" w:color="auto" w:sz="6" w:space="0"/>
              <w:left w:val="single" w:color="auto" w:sz="6" w:space="0"/>
              <w:bottom w:val="nil"/>
              <w:right w:val="nil"/>
            </w:tcBorders>
            <w:shd w:val="clear" w:color="auto" w:fill="auto"/>
            <w:vAlign w:val="top"/>
          </w:tcPr>
          <w:p w14:paraId="3923A71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封闭式气瓶机架，气瓶不外露。</w:t>
            </w:r>
          </w:p>
        </w:tc>
      </w:tr>
      <w:tr w14:paraId="5D477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3B1E173E">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14</w:t>
            </w:r>
          </w:p>
        </w:tc>
        <w:tc>
          <w:tcPr>
            <w:tcW w:w="7906" w:type="dxa"/>
            <w:tcBorders>
              <w:top w:val="single" w:color="auto" w:sz="6" w:space="0"/>
              <w:left w:val="single" w:color="auto" w:sz="6" w:space="0"/>
              <w:bottom w:val="nil"/>
              <w:right w:val="nil"/>
            </w:tcBorders>
            <w:shd w:val="clear" w:color="auto" w:fill="auto"/>
            <w:vAlign w:val="top"/>
          </w:tcPr>
          <w:p w14:paraId="0D8CDD55">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机箱内置双锁：按照危化品双人双锁管理要求。</w:t>
            </w:r>
          </w:p>
        </w:tc>
      </w:tr>
      <w:tr w14:paraId="20D2AE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9029" w:type="dxa"/>
            <w:gridSpan w:val="2"/>
            <w:tcBorders>
              <w:top w:val="single" w:color="auto" w:sz="6" w:space="0"/>
              <w:left w:val="single" w:color="auto" w:sz="6" w:space="0"/>
              <w:bottom w:val="nil"/>
              <w:right w:val="nil"/>
            </w:tcBorders>
            <w:shd w:val="clear" w:color="auto" w:fill="auto"/>
            <w:vAlign w:val="center"/>
          </w:tcPr>
          <w:p w14:paraId="619E09D9">
            <w:pPr>
              <w:widowControl/>
              <w:spacing w:before="100" w:beforeAutospacing="1" w:after="100" w:afterAutospacing="1"/>
              <w:jc w:val="center"/>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b/>
                <w:bCs/>
                <w:color w:val="auto"/>
                <w:kern w:val="0"/>
                <w:sz w:val="24"/>
                <w:szCs w:val="24"/>
                <w:highlight w:val="none"/>
                <w:lang w:val="en-US" w:eastAsia="zh-CN"/>
              </w:rPr>
              <w:t>商务需求</w:t>
            </w:r>
          </w:p>
        </w:tc>
      </w:tr>
      <w:tr w14:paraId="664AE1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8DABCEC">
            <w:pPr>
              <w:widowControl/>
              <w:spacing w:before="100" w:beforeAutospacing="1" w:after="100" w:afterAutospacing="1"/>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7906" w:type="dxa"/>
            <w:tcBorders>
              <w:top w:val="single" w:color="auto" w:sz="6" w:space="0"/>
              <w:left w:val="single" w:color="auto" w:sz="6" w:space="0"/>
              <w:bottom w:val="nil"/>
              <w:right w:val="nil"/>
            </w:tcBorders>
            <w:shd w:val="clear" w:color="auto" w:fill="auto"/>
            <w:vAlign w:val="top"/>
          </w:tcPr>
          <w:p w14:paraId="2F73A4D6">
            <w:pPr>
              <w:widowControl/>
              <w:jc w:val="left"/>
              <w:rPr>
                <w:rFonts w:hint="default"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整机保修5年</w:t>
            </w:r>
          </w:p>
        </w:tc>
      </w:tr>
      <w:tr w14:paraId="63D23A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28A7C493">
            <w:pPr>
              <w:widowControl/>
              <w:spacing w:before="100" w:beforeAutospacing="1" w:after="100" w:afterAutospacing="1"/>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7906" w:type="dxa"/>
            <w:tcBorders>
              <w:top w:val="single" w:color="auto" w:sz="6" w:space="0"/>
              <w:left w:val="single" w:color="auto" w:sz="6" w:space="0"/>
              <w:bottom w:val="nil"/>
              <w:right w:val="nil"/>
            </w:tcBorders>
            <w:shd w:val="clear" w:color="auto" w:fill="auto"/>
            <w:vAlign w:val="top"/>
          </w:tcPr>
          <w:p w14:paraId="164B05E6">
            <w:pPr>
              <w:widowControl/>
              <w:jc w:val="left"/>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软件终生免费升级</w:t>
            </w:r>
          </w:p>
        </w:tc>
      </w:tr>
    </w:tbl>
    <w:p w14:paraId="0F3753F5">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8C8B"/>
    <w:multiLevelType w:val="singleLevel"/>
    <w:tmpl w:val="A0A68C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6075E"/>
    <w:rsid w:val="16614A1F"/>
    <w:rsid w:val="23BF2C73"/>
    <w:rsid w:val="28BF32F6"/>
    <w:rsid w:val="2B3B677F"/>
    <w:rsid w:val="3D282618"/>
    <w:rsid w:val="4E741224"/>
    <w:rsid w:val="595B6F8A"/>
    <w:rsid w:val="76810A40"/>
    <w:rsid w:val="77F6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customStyle="1" w:styleId="5">
    <w:name w:val="表格文字"/>
    <w:basedOn w:val="1"/>
    <w:qFormat/>
    <w:uiPriority w:val="0"/>
    <w:pPr>
      <w:spacing w:before="25" w:after="25"/>
      <w:jc w:val="left"/>
    </w:pPr>
    <w:rPr>
      <w:bCs/>
      <w:spacing w:val="10"/>
      <w:kern w:val="0"/>
      <w:sz w:val="24"/>
      <w:szCs w:val="20"/>
    </w:rPr>
  </w:style>
  <w:style w:type="paragraph" w:styleId="6">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894</Words>
  <Characters>981</Characters>
  <Lines>0</Lines>
  <Paragraphs>0</Paragraphs>
  <TotalTime>1</TotalTime>
  <ScaleCrop>false</ScaleCrop>
  <LinksUpToDate>false</LinksUpToDate>
  <CharactersWithSpaces>986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2025-11-11T02:31:00Z</dcterms:created>
  <dc:creator>茜茜 ✨</dc:creator>
  <cp:lastModifiedBy>茜茜 ✨</cp:lastModifiedBy>
  <dcterms:modified xsi:type="dcterms:W3CDTF">2026-02-02T00:56:04Z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1AB3AF033DB6489C847429F81AB1D7D4_11</vt:lpwstr>
  </property>
  <property fmtid="{D5CDD505-2E9C-101B-9397-08002B2CF9AE}" pid="4" name="KSOTemplateDocerSaveRecord">
    <vt:lpwstr>eyJoZGlkIjoiMGNjYmY0NDQ3OWE4YmY2NzJlYTA4MDM0NjNhNzdkMzYiLCJ1c2VySWQiOiI1Mzc0MjMyMDUifQ==</vt:lpwstr>
  </property>
</Properties>
</file>