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3132">
      <w:pPr>
        <w:rPr>
          <w:rFonts w:hint="eastAsia" w:ascii="宋体" w:hAnsi="宋体"/>
          <w:b/>
          <w:sz w:val="24"/>
          <w:szCs w:val="24"/>
        </w:rPr>
      </w:pPr>
    </w:p>
    <w:p w14:paraId="5B8F8303">
      <w:pPr>
        <w:ind w:firstLine="2397" w:firstLineChars="199"/>
        <w:rPr>
          <w:b/>
          <w:sz w:val="120"/>
          <w:szCs w:val="120"/>
        </w:rPr>
      </w:pPr>
      <w:r>
        <w:rPr>
          <w:rFonts w:hint="eastAsia"/>
          <w:b/>
          <w:sz w:val="120"/>
          <w:szCs w:val="120"/>
        </w:rPr>
        <w:t>采购文件</w:t>
      </w:r>
    </w:p>
    <w:p w14:paraId="05325A54">
      <w:pPr>
        <w:rPr>
          <w:szCs w:val="22"/>
        </w:rPr>
      </w:pPr>
    </w:p>
    <w:p w14:paraId="41FC470E">
      <w:pPr>
        <w:jc w:val="center"/>
        <w:rPr>
          <w:b/>
          <w:sz w:val="52"/>
          <w:szCs w:val="52"/>
        </w:rPr>
      </w:pPr>
      <w:r>
        <w:rPr>
          <w:rFonts w:hint="eastAsia"/>
          <w:b/>
          <w:sz w:val="52"/>
          <w:szCs w:val="52"/>
        </w:rPr>
        <w:t xml:space="preserve">   （服务类）</w:t>
      </w:r>
    </w:p>
    <w:p w14:paraId="017E70C9">
      <w:pPr>
        <w:rPr>
          <w:szCs w:val="22"/>
        </w:rPr>
      </w:pPr>
    </w:p>
    <w:p w14:paraId="67588004"/>
    <w:p w14:paraId="7D5D4260"/>
    <w:p w14:paraId="1AEBB603"/>
    <w:p w14:paraId="101126D7"/>
    <w:p w14:paraId="514D9F70"/>
    <w:p w14:paraId="40914D3A"/>
    <w:p w14:paraId="3F0888DE"/>
    <w:p w14:paraId="385C2F12"/>
    <w:p w14:paraId="3558F565"/>
    <w:p w14:paraId="247530CD">
      <w:pPr>
        <w:jc w:val="center"/>
        <w:rPr>
          <w:b/>
          <w:sz w:val="44"/>
          <w:szCs w:val="44"/>
        </w:rPr>
      </w:pPr>
    </w:p>
    <w:p w14:paraId="67C706A2">
      <w:pPr>
        <w:jc w:val="center"/>
        <w:rPr>
          <w:b/>
          <w:sz w:val="44"/>
          <w:szCs w:val="44"/>
        </w:rPr>
      </w:pPr>
    </w:p>
    <w:p w14:paraId="4AAFA7D0">
      <w:pPr>
        <w:jc w:val="center"/>
        <w:rPr>
          <w:b/>
          <w:sz w:val="44"/>
          <w:szCs w:val="44"/>
        </w:rPr>
      </w:pPr>
    </w:p>
    <w:p w14:paraId="648A1A4D">
      <w:pPr>
        <w:jc w:val="center"/>
        <w:rPr>
          <w:b/>
          <w:sz w:val="44"/>
          <w:szCs w:val="44"/>
        </w:rPr>
      </w:pPr>
    </w:p>
    <w:p w14:paraId="51016760">
      <w:pPr>
        <w:jc w:val="center"/>
        <w:rPr>
          <w:b/>
          <w:sz w:val="44"/>
          <w:szCs w:val="44"/>
        </w:rPr>
      </w:pPr>
    </w:p>
    <w:p w14:paraId="50FA4DF3">
      <w:pPr>
        <w:jc w:val="center"/>
        <w:rPr>
          <w:b/>
          <w:sz w:val="44"/>
          <w:szCs w:val="44"/>
        </w:rPr>
      </w:pPr>
    </w:p>
    <w:p w14:paraId="3BABD6BC">
      <w:pPr>
        <w:jc w:val="center"/>
        <w:rPr>
          <w:b/>
          <w:sz w:val="44"/>
          <w:szCs w:val="44"/>
        </w:rPr>
      </w:pPr>
    </w:p>
    <w:p w14:paraId="2A3D5CA0">
      <w:pPr>
        <w:jc w:val="center"/>
        <w:rPr>
          <w:b/>
          <w:sz w:val="44"/>
          <w:szCs w:val="44"/>
        </w:rPr>
      </w:pPr>
    </w:p>
    <w:p w14:paraId="03EE2ADB">
      <w:pPr>
        <w:jc w:val="center"/>
        <w:rPr>
          <w:b/>
          <w:sz w:val="44"/>
          <w:szCs w:val="44"/>
        </w:rPr>
      </w:pPr>
    </w:p>
    <w:p w14:paraId="12C3BC55">
      <w:pPr>
        <w:jc w:val="center"/>
        <w:rPr>
          <w:b/>
          <w:sz w:val="44"/>
          <w:szCs w:val="44"/>
        </w:rPr>
      </w:pPr>
    </w:p>
    <w:p w14:paraId="69E971AC">
      <w:pPr>
        <w:jc w:val="center"/>
        <w:rPr>
          <w:sz w:val="80"/>
          <w:szCs w:val="80"/>
        </w:rPr>
      </w:pPr>
      <w:r>
        <w:rPr>
          <w:rFonts w:hint="eastAsia"/>
          <w:b/>
          <w:sz w:val="44"/>
          <w:szCs w:val="44"/>
        </w:rPr>
        <w:t>深圳市儿童医院</w:t>
      </w:r>
    </w:p>
    <w:p w14:paraId="7F2412BF">
      <w:pPr>
        <w:rPr>
          <w:rFonts w:hint="eastAsia" w:ascii="宋体" w:hAnsi="宋体"/>
          <w:b/>
          <w:sz w:val="24"/>
          <w:szCs w:val="24"/>
        </w:rPr>
      </w:pPr>
    </w:p>
    <w:p w14:paraId="20EB01EC">
      <w:pPr>
        <w:rPr>
          <w:rFonts w:hint="eastAsia" w:ascii="宋体" w:hAnsi="宋体"/>
          <w:b/>
          <w:sz w:val="24"/>
          <w:szCs w:val="24"/>
        </w:rPr>
      </w:pPr>
    </w:p>
    <w:p w14:paraId="7C752252">
      <w:pPr>
        <w:snapToGrid w:val="0"/>
        <w:ind w:right="-315" w:rightChars="-150" w:firstLine="420" w:firstLineChars="200"/>
        <w:rPr>
          <w:rFonts w:hint="eastAsia" w:ascii="宋体" w:hAnsi="宋体"/>
          <w:color w:val="000000"/>
          <w:szCs w:val="21"/>
        </w:rPr>
      </w:pPr>
    </w:p>
    <w:p w14:paraId="3763ED51">
      <w:pPr>
        <w:snapToGrid w:val="0"/>
        <w:ind w:right="-315" w:rightChars="-150" w:firstLine="420" w:firstLineChars="200"/>
        <w:rPr>
          <w:rFonts w:hint="eastAsia" w:ascii="宋体" w:hAnsi="宋体"/>
          <w:color w:val="000000"/>
          <w:szCs w:val="21"/>
        </w:rPr>
      </w:pPr>
    </w:p>
    <w:p w14:paraId="62452A33">
      <w:pPr>
        <w:snapToGrid w:val="0"/>
        <w:ind w:right="-315" w:rightChars="-150" w:firstLine="420" w:firstLineChars="200"/>
        <w:rPr>
          <w:rFonts w:hint="eastAsia" w:ascii="宋体" w:hAnsi="宋体"/>
          <w:color w:val="000000"/>
          <w:szCs w:val="21"/>
        </w:rPr>
      </w:pPr>
    </w:p>
    <w:p w14:paraId="65C92AF5">
      <w:pPr>
        <w:snapToGrid w:val="0"/>
        <w:ind w:right="-315" w:rightChars="-150" w:firstLine="420" w:firstLineChars="200"/>
        <w:rPr>
          <w:rFonts w:hint="eastAsia" w:ascii="宋体" w:hAnsi="宋体"/>
          <w:color w:val="000000"/>
          <w:szCs w:val="21"/>
        </w:rPr>
      </w:pPr>
    </w:p>
    <w:p w14:paraId="55F7D27E">
      <w:pPr>
        <w:snapToGrid w:val="0"/>
        <w:ind w:right="-315" w:rightChars="-150" w:firstLine="420" w:firstLineChars="200"/>
        <w:rPr>
          <w:rFonts w:hint="eastAsia" w:ascii="宋体" w:hAnsi="宋体"/>
          <w:color w:val="000000"/>
          <w:szCs w:val="21"/>
        </w:rPr>
      </w:pPr>
    </w:p>
    <w:p w14:paraId="0BAF8D4F">
      <w:pPr>
        <w:snapToGrid w:val="0"/>
        <w:ind w:right="-315" w:rightChars="-150" w:firstLine="420" w:firstLineChars="200"/>
        <w:rPr>
          <w:rFonts w:hint="eastAsia" w:ascii="宋体" w:hAnsi="宋体"/>
          <w:color w:val="000000"/>
          <w:szCs w:val="21"/>
        </w:rPr>
      </w:pPr>
    </w:p>
    <w:p w14:paraId="706DD1C4">
      <w:pPr>
        <w:snapToGrid w:val="0"/>
        <w:ind w:right="-315" w:rightChars="-150" w:firstLine="420" w:firstLineChars="200"/>
        <w:rPr>
          <w:rFonts w:hint="eastAsia" w:ascii="宋体" w:hAnsi="宋体"/>
          <w:color w:val="000000"/>
          <w:szCs w:val="21"/>
        </w:rPr>
      </w:pPr>
    </w:p>
    <w:p w14:paraId="5DECF61A">
      <w:pPr>
        <w:snapToGrid w:val="0"/>
        <w:ind w:right="-315" w:rightChars="-150" w:firstLine="420" w:firstLineChars="200"/>
        <w:rPr>
          <w:rFonts w:hint="eastAsia" w:ascii="宋体" w:hAnsi="宋体"/>
          <w:color w:val="000000"/>
          <w:szCs w:val="21"/>
        </w:rPr>
      </w:pPr>
    </w:p>
    <w:p w14:paraId="73830922">
      <w:pPr>
        <w:ind w:left="420"/>
        <w:rPr>
          <w:rFonts w:ascii="宋体" w:hAnsi="宋体" w:eastAsia="宋体"/>
          <w:b/>
          <w:sz w:val="24"/>
          <w:szCs w:val="24"/>
        </w:rPr>
      </w:pPr>
      <w:r>
        <w:rPr>
          <w:rFonts w:hint="eastAsia" w:ascii="宋体" w:hAnsi="宋体" w:eastAsia="宋体"/>
          <w:b/>
          <w:sz w:val="24"/>
          <w:szCs w:val="24"/>
        </w:rPr>
        <w:t>评标信息</w:t>
      </w:r>
    </w:p>
    <w:p w14:paraId="4CFBAC37">
      <w:pPr>
        <w:ind w:left="420"/>
        <w:rPr>
          <w:rFonts w:ascii="宋体" w:hAnsi="宋体"/>
          <w:sz w:val="24"/>
          <w:szCs w:val="24"/>
        </w:rPr>
      </w:pPr>
      <w:r>
        <w:rPr>
          <w:rFonts w:hint="eastAsia" w:ascii="宋体" w:hAnsi="宋体" w:eastAsia="宋体"/>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27B0066">
      <w:pPr>
        <w:ind w:left="420"/>
        <w:rPr>
          <w:rFonts w:ascii="宋体" w:hAnsi="宋体"/>
          <w:sz w:val="24"/>
          <w:szCs w:val="24"/>
        </w:rPr>
      </w:pPr>
      <w:r>
        <w:rPr>
          <w:rFonts w:hint="eastAsia" w:ascii="宋体" w:hAnsi="宋体"/>
          <w:sz w:val="24"/>
          <w:szCs w:val="24"/>
        </w:rPr>
        <w:t>投标报价得分=(评标基准价／投标报价)×权重分</w:t>
      </w:r>
    </w:p>
    <w:p w14:paraId="16B398ED">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12B4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6E8CC6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39"/>
        <w:gridCol w:w="1130"/>
        <w:gridCol w:w="651"/>
        <w:gridCol w:w="955"/>
        <w:gridCol w:w="5500"/>
      </w:tblGrid>
      <w:tr w14:paraId="589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010B8B21">
            <w:pPr>
              <w:jc w:val="center"/>
              <w:rPr>
                <w:rFonts w:hint="eastAsia" w:ascii="宋体" w:hAnsi="宋体" w:eastAsia="宋体" w:cs="宋体"/>
                <w:sz w:val="24"/>
                <w:szCs w:val="24"/>
              </w:rPr>
            </w:pPr>
            <w:r>
              <w:rPr>
                <w:rFonts w:hint="eastAsia" w:ascii="宋体" w:hAnsi="宋体" w:eastAsia="宋体" w:cs="宋体"/>
                <w:szCs w:val="21"/>
              </w:rPr>
              <w:t>序号</w:t>
            </w:r>
          </w:p>
        </w:tc>
        <w:tc>
          <w:tcPr>
            <w:tcW w:w="3375" w:type="dxa"/>
            <w:gridSpan w:val="4"/>
            <w:noWrap w:val="0"/>
            <w:vAlign w:val="center"/>
          </w:tcPr>
          <w:p w14:paraId="7A8D38E1">
            <w:pPr>
              <w:jc w:val="center"/>
              <w:rPr>
                <w:rFonts w:hint="eastAsia" w:ascii="宋体" w:hAnsi="宋体" w:eastAsia="宋体" w:cs="宋体"/>
                <w:sz w:val="24"/>
                <w:szCs w:val="24"/>
              </w:rPr>
            </w:pPr>
            <w:r>
              <w:rPr>
                <w:rFonts w:hint="eastAsia" w:ascii="宋体" w:hAnsi="宋体" w:eastAsia="宋体" w:cs="宋体"/>
                <w:szCs w:val="21"/>
              </w:rPr>
              <w:t>评分项</w:t>
            </w:r>
          </w:p>
        </w:tc>
        <w:tc>
          <w:tcPr>
            <w:tcW w:w="5500" w:type="dxa"/>
            <w:noWrap w:val="0"/>
            <w:vAlign w:val="center"/>
          </w:tcPr>
          <w:p w14:paraId="1CE8D529">
            <w:pPr>
              <w:jc w:val="center"/>
              <w:rPr>
                <w:rFonts w:hint="eastAsia" w:ascii="宋体" w:hAnsi="宋体" w:eastAsia="宋体" w:cs="宋体"/>
                <w:sz w:val="24"/>
                <w:szCs w:val="24"/>
              </w:rPr>
            </w:pPr>
            <w:r>
              <w:rPr>
                <w:rFonts w:hint="eastAsia" w:ascii="宋体" w:hAnsi="宋体" w:eastAsia="宋体" w:cs="宋体"/>
                <w:szCs w:val="21"/>
              </w:rPr>
              <w:t>权重</w:t>
            </w:r>
          </w:p>
        </w:tc>
      </w:tr>
      <w:tr w14:paraId="0BE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14:paraId="7012B668">
            <w:pPr>
              <w:jc w:val="center"/>
              <w:rPr>
                <w:rFonts w:hint="eastAsia" w:ascii="宋体" w:hAnsi="宋体" w:eastAsia="宋体" w:cs="宋体"/>
                <w:sz w:val="24"/>
                <w:szCs w:val="24"/>
                <w:lang w:eastAsia="zh-CN"/>
              </w:rPr>
            </w:pPr>
            <w:r>
              <w:rPr>
                <w:rFonts w:hint="eastAsia" w:ascii="宋体" w:hAnsi="宋体" w:eastAsia="宋体" w:cs="宋体"/>
                <w:szCs w:val="21"/>
                <w:lang w:val="en-US" w:eastAsia="zh-CN"/>
              </w:rPr>
              <w:t>一</w:t>
            </w:r>
          </w:p>
        </w:tc>
        <w:tc>
          <w:tcPr>
            <w:tcW w:w="3375" w:type="dxa"/>
            <w:gridSpan w:val="4"/>
            <w:noWrap w:val="0"/>
            <w:vAlign w:val="center"/>
          </w:tcPr>
          <w:p w14:paraId="37FCD938">
            <w:pPr>
              <w:jc w:val="center"/>
              <w:rPr>
                <w:rFonts w:hint="eastAsia" w:ascii="宋体" w:hAnsi="宋体" w:eastAsia="宋体" w:cs="宋体"/>
                <w:sz w:val="24"/>
                <w:szCs w:val="24"/>
              </w:rPr>
            </w:pPr>
            <w:r>
              <w:rPr>
                <w:rFonts w:hint="eastAsia" w:ascii="宋体" w:hAnsi="宋体" w:eastAsia="宋体" w:cs="宋体"/>
                <w:szCs w:val="21"/>
              </w:rPr>
              <w:t>价格</w:t>
            </w:r>
          </w:p>
        </w:tc>
        <w:tc>
          <w:tcPr>
            <w:tcW w:w="5500" w:type="dxa"/>
            <w:noWrap w:val="0"/>
            <w:vAlign w:val="center"/>
          </w:tcPr>
          <w:p w14:paraId="7833F4FA">
            <w:pPr>
              <w:jc w:val="center"/>
              <w:rPr>
                <w:rFonts w:hint="default" w:ascii="宋体" w:hAnsi="宋体" w:eastAsia="宋体" w:cs="宋体"/>
                <w:color w:val="auto"/>
                <w:sz w:val="24"/>
                <w:szCs w:val="24"/>
                <w:lang w:val="en-US" w:eastAsia="zh-CN"/>
              </w:rPr>
            </w:pPr>
            <w:r>
              <w:rPr>
                <w:rFonts w:hint="eastAsia" w:ascii="宋体" w:hAnsi="宋体" w:cs="宋体"/>
                <w:szCs w:val="21"/>
                <w:lang w:val="en-US" w:eastAsia="zh-CN"/>
              </w:rPr>
              <w:t>10</w:t>
            </w:r>
          </w:p>
        </w:tc>
      </w:tr>
      <w:tr w14:paraId="0E34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E9B9676">
            <w:pPr>
              <w:jc w:val="center"/>
              <w:rPr>
                <w:rFonts w:hint="eastAsia" w:ascii="宋体" w:hAnsi="宋体" w:eastAsia="宋体" w:cs="宋体"/>
                <w:sz w:val="24"/>
                <w:szCs w:val="24"/>
                <w:lang w:eastAsia="zh-CN"/>
              </w:rPr>
            </w:pPr>
            <w:r>
              <w:rPr>
                <w:rFonts w:hint="eastAsia" w:ascii="宋体" w:hAnsi="宋体" w:eastAsia="宋体" w:cs="宋体"/>
                <w:szCs w:val="21"/>
                <w:lang w:val="en-US" w:eastAsia="zh-CN"/>
              </w:rPr>
              <w:t>二</w:t>
            </w:r>
          </w:p>
        </w:tc>
        <w:tc>
          <w:tcPr>
            <w:tcW w:w="3375" w:type="dxa"/>
            <w:gridSpan w:val="4"/>
            <w:noWrap w:val="0"/>
            <w:vAlign w:val="center"/>
          </w:tcPr>
          <w:p w14:paraId="7DF5C942">
            <w:pPr>
              <w:jc w:val="center"/>
              <w:rPr>
                <w:rFonts w:hint="eastAsia" w:ascii="宋体" w:hAnsi="宋体" w:eastAsia="宋体" w:cs="宋体"/>
                <w:sz w:val="24"/>
                <w:szCs w:val="24"/>
              </w:rPr>
            </w:pPr>
            <w:r>
              <w:rPr>
                <w:rFonts w:hint="eastAsia" w:ascii="宋体" w:hAnsi="宋体" w:eastAsia="宋体" w:cs="宋体"/>
                <w:szCs w:val="21"/>
              </w:rPr>
              <w:t>技术部分</w:t>
            </w:r>
          </w:p>
        </w:tc>
        <w:tc>
          <w:tcPr>
            <w:tcW w:w="5500" w:type="dxa"/>
            <w:noWrap w:val="0"/>
            <w:vAlign w:val="center"/>
          </w:tcPr>
          <w:p w14:paraId="1D4030BD">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61</w:t>
            </w:r>
          </w:p>
        </w:tc>
      </w:tr>
      <w:tr w14:paraId="6223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4DAE665C">
            <w:pPr>
              <w:jc w:val="left"/>
              <w:rPr>
                <w:rFonts w:hint="eastAsia" w:ascii="宋体" w:hAnsi="宋体" w:eastAsia="宋体" w:cs="宋体"/>
                <w:sz w:val="24"/>
                <w:szCs w:val="24"/>
              </w:rPr>
            </w:pPr>
          </w:p>
        </w:tc>
        <w:tc>
          <w:tcPr>
            <w:tcW w:w="639" w:type="dxa"/>
            <w:noWrap w:val="0"/>
            <w:vAlign w:val="center"/>
          </w:tcPr>
          <w:p w14:paraId="3BC62782">
            <w:pPr>
              <w:jc w:val="center"/>
              <w:rPr>
                <w:rFonts w:hint="eastAsia" w:ascii="宋体" w:hAnsi="宋体" w:eastAsia="宋体" w:cs="宋体"/>
                <w:sz w:val="24"/>
                <w:szCs w:val="24"/>
              </w:rPr>
            </w:pPr>
            <w:r>
              <w:rPr>
                <w:rFonts w:hint="eastAsia" w:ascii="宋体" w:hAnsi="宋体" w:eastAsia="宋体" w:cs="宋体"/>
                <w:szCs w:val="21"/>
              </w:rPr>
              <w:t>序号</w:t>
            </w:r>
          </w:p>
        </w:tc>
        <w:tc>
          <w:tcPr>
            <w:tcW w:w="1130" w:type="dxa"/>
            <w:noWrap w:val="0"/>
            <w:vAlign w:val="center"/>
          </w:tcPr>
          <w:p w14:paraId="7A19FEF5">
            <w:pPr>
              <w:jc w:val="center"/>
              <w:rPr>
                <w:rFonts w:hint="eastAsia" w:ascii="宋体" w:hAnsi="宋体" w:eastAsia="宋体" w:cs="宋体"/>
                <w:sz w:val="24"/>
                <w:szCs w:val="24"/>
              </w:rPr>
            </w:pPr>
            <w:r>
              <w:rPr>
                <w:rFonts w:hint="eastAsia" w:ascii="宋体" w:hAnsi="宋体" w:eastAsia="宋体" w:cs="宋体"/>
                <w:szCs w:val="21"/>
              </w:rPr>
              <w:t>评分因素</w:t>
            </w:r>
          </w:p>
        </w:tc>
        <w:tc>
          <w:tcPr>
            <w:tcW w:w="651" w:type="dxa"/>
            <w:noWrap w:val="0"/>
            <w:vAlign w:val="center"/>
          </w:tcPr>
          <w:p w14:paraId="6658CAF6">
            <w:pPr>
              <w:jc w:val="center"/>
              <w:rPr>
                <w:rFonts w:hint="eastAsia" w:ascii="宋体" w:hAnsi="宋体" w:eastAsia="宋体" w:cs="宋体"/>
                <w:sz w:val="24"/>
                <w:szCs w:val="24"/>
              </w:rPr>
            </w:pPr>
            <w:r>
              <w:rPr>
                <w:rFonts w:hint="eastAsia" w:ascii="宋体" w:hAnsi="宋体" w:eastAsia="宋体" w:cs="宋体"/>
                <w:szCs w:val="21"/>
              </w:rPr>
              <w:t>权重</w:t>
            </w:r>
          </w:p>
        </w:tc>
        <w:tc>
          <w:tcPr>
            <w:tcW w:w="955" w:type="dxa"/>
            <w:noWrap w:val="0"/>
            <w:vAlign w:val="center"/>
          </w:tcPr>
          <w:p w14:paraId="4A8C82E8">
            <w:pPr>
              <w:jc w:val="center"/>
              <w:rPr>
                <w:rFonts w:hint="eastAsia" w:ascii="宋体" w:hAnsi="宋体" w:eastAsia="宋体" w:cs="宋体"/>
                <w:sz w:val="24"/>
                <w:szCs w:val="24"/>
              </w:rPr>
            </w:pPr>
            <w:r>
              <w:rPr>
                <w:rFonts w:hint="eastAsia" w:ascii="宋体" w:hAnsi="宋体" w:eastAsia="宋体" w:cs="宋体"/>
                <w:szCs w:val="21"/>
              </w:rPr>
              <w:t>评分方式</w:t>
            </w:r>
          </w:p>
        </w:tc>
        <w:tc>
          <w:tcPr>
            <w:tcW w:w="5500" w:type="dxa"/>
            <w:noWrap w:val="0"/>
            <w:vAlign w:val="center"/>
          </w:tcPr>
          <w:p w14:paraId="0B39091E">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342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top"/>
          </w:tcPr>
          <w:p w14:paraId="27E3B159">
            <w:pPr>
              <w:jc w:val="left"/>
              <w:rPr>
                <w:rFonts w:hint="eastAsia" w:ascii="宋体" w:hAnsi="宋体" w:eastAsia="宋体" w:cs="宋体"/>
                <w:sz w:val="24"/>
                <w:szCs w:val="24"/>
              </w:rPr>
            </w:pPr>
          </w:p>
        </w:tc>
        <w:tc>
          <w:tcPr>
            <w:tcW w:w="639" w:type="dxa"/>
            <w:noWrap w:val="0"/>
            <w:vAlign w:val="center"/>
          </w:tcPr>
          <w:p w14:paraId="7B156ED3">
            <w:pPr>
              <w:jc w:val="center"/>
              <w:rPr>
                <w:rFonts w:hint="eastAsia" w:ascii="宋体" w:hAnsi="宋体" w:eastAsia="宋体" w:cs="宋体"/>
                <w:color w:val="000000"/>
                <w:sz w:val="24"/>
                <w:szCs w:val="24"/>
              </w:rPr>
            </w:pPr>
            <w:r>
              <w:rPr>
                <w:rFonts w:hint="eastAsia" w:ascii="宋体" w:hAnsi="宋体" w:eastAsia="宋体" w:cs="宋体"/>
                <w:szCs w:val="21"/>
              </w:rPr>
              <w:t>1</w:t>
            </w:r>
          </w:p>
        </w:tc>
        <w:tc>
          <w:tcPr>
            <w:tcW w:w="1130" w:type="dxa"/>
            <w:noWrap w:val="0"/>
            <w:vAlign w:val="center"/>
          </w:tcPr>
          <w:p w14:paraId="63938371">
            <w:pPr>
              <w:keepNext w:val="0"/>
              <w:keepLines w:val="0"/>
              <w:pageBreakBefore w:val="0"/>
              <w:kinsoku/>
              <w:wordWrap w:val="0"/>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1"/>
                <w:szCs w:val="21"/>
              </w:rPr>
              <w:t>技术规格偏离情况</w:t>
            </w:r>
          </w:p>
        </w:tc>
        <w:tc>
          <w:tcPr>
            <w:tcW w:w="651" w:type="dxa"/>
            <w:noWrap w:val="0"/>
            <w:vAlign w:val="center"/>
          </w:tcPr>
          <w:p w14:paraId="6659C39A">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000000"/>
                <w:sz w:val="24"/>
                <w:szCs w:val="24"/>
                <w:lang w:val="en-US"/>
              </w:rPr>
            </w:pPr>
            <w:r>
              <w:rPr>
                <w:rFonts w:hint="eastAsia" w:ascii="宋体" w:hAnsi="宋体" w:eastAsia="宋体" w:cs="宋体"/>
                <w:color w:val="auto"/>
                <w:sz w:val="22"/>
                <w:szCs w:val="22"/>
                <w:highlight w:val="none"/>
                <w:lang w:val="en-US" w:eastAsia="zh-CN"/>
              </w:rPr>
              <w:t>31</w:t>
            </w:r>
          </w:p>
        </w:tc>
        <w:tc>
          <w:tcPr>
            <w:tcW w:w="955" w:type="dxa"/>
            <w:noWrap w:val="0"/>
            <w:vAlign w:val="center"/>
          </w:tcPr>
          <w:p w14:paraId="49716B41">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0CE77906">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（一）评分内容：</w:t>
            </w:r>
          </w:p>
          <w:p w14:paraId="2D6221FC">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投标人应如实填写《技术需求响应/偏离表》，评审委员会根据技术需求参数响应情况及证明材料进行打分，技术参数指标及要求全部满足的得满分</w:t>
            </w:r>
            <w:r>
              <w:rPr>
                <w:rFonts w:hint="eastAsia" w:ascii="宋体" w:hAnsi="宋体" w:cs="宋体"/>
                <w:szCs w:val="21"/>
              </w:rPr>
              <w:t>31</w:t>
            </w:r>
            <w:r>
              <w:rPr>
                <w:rFonts w:hint="eastAsia" w:ascii="宋体" w:hAnsi="宋体" w:cs="宋体"/>
                <w:szCs w:val="21"/>
                <w:lang w:val="zh-CN"/>
              </w:rPr>
              <w:t>分，其中：</w:t>
            </w:r>
          </w:p>
          <w:p w14:paraId="61A80377">
            <w:pPr>
              <w:autoSpaceDE w:val="0"/>
              <w:autoSpaceDN w:val="0"/>
              <w:adjustRightInd w:val="0"/>
              <w:snapToGrid w:val="0"/>
              <w:rPr>
                <w:rFonts w:ascii="宋体" w:hAnsi="宋体" w:cs="宋体"/>
                <w:szCs w:val="21"/>
                <w:lang w:val="zh-CN"/>
              </w:rPr>
            </w:pPr>
            <w:r>
              <w:rPr>
                <w:rFonts w:hint="eastAsia" w:ascii="宋体" w:hAnsi="宋体" w:cs="宋体"/>
                <w:szCs w:val="21"/>
                <w:lang w:val="zh-CN"/>
              </w:rPr>
              <w:t>1.“▲”项参数：此项满分</w:t>
            </w:r>
            <w:r>
              <w:rPr>
                <w:rFonts w:hint="eastAsia" w:ascii="宋体" w:hAnsi="宋体" w:cs="宋体"/>
                <w:szCs w:val="21"/>
                <w:lang w:val="en-US" w:eastAsia="zh-CN"/>
              </w:rPr>
              <w:t>25</w:t>
            </w:r>
            <w:r>
              <w:rPr>
                <w:rFonts w:hint="eastAsia" w:ascii="宋体" w:hAnsi="宋体" w:cs="宋体"/>
                <w:szCs w:val="21"/>
                <w:lang w:val="zh-CN"/>
              </w:rPr>
              <w:t>分，每负偏离一项扣</w:t>
            </w:r>
            <w:r>
              <w:rPr>
                <w:rFonts w:hint="eastAsia" w:ascii="宋体" w:hAnsi="宋体" w:cs="宋体"/>
                <w:szCs w:val="21"/>
                <w:lang w:val="en-US" w:eastAsia="zh-CN"/>
              </w:rPr>
              <w:t>5</w:t>
            </w:r>
            <w:r>
              <w:rPr>
                <w:rFonts w:hint="eastAsia" w:ascii="宋体" w:hAnsi="宋体" w:cs="宋体"/>
                <w:szCs w:val="21"/>
                <w:lang w:val="zh-CN"/>
              </w:rPr>
              <w:t>分，扣完为止；</w:t>
            </w:r>
          </w:p>
          <w:p w14:paraId="2BC8988E">
            <w:pPr>
              <w:autoSpaceDE w:val="0"/>
              <w:autoSpaceDN w:val="0"/>
              <w:adjustRightInd w:val="0"/>
              <w:snapToGrid w:val="0"/>
              <w:rPr>
                <w:rFonts w:ascii="宋体" w:hAnsi="宋体" w:cs="宋体"/>
                <w:szCs w:val="21"/>
                <w:lang w:val="zh-CN"/>
              </w:rPr>
            </w:pPr>
            <w:r>
              <w:rPr>
                <w:rFonts w:hint="eastAsia" w:ascii="宋体" w:hAnsi="宋体" w:cs="宋体"/>
                <w:szCs w:val="21"/>
                <w:lang w:val="zh-CN"/>
              </w:rPr>
              <w:t>2.非“▲”项参数：此项满分</w:t>
            </w:r>
            <w:r>
              <w:rPr>
                <w:rFonts w:hint="eastAsia" w:ascii="宋体" w:hAnsi="宋体" w:cs="宋体"/>
                <w:szCs w:val="21"/>
                <w:lang w:val="en-US" w:eastAsia="zh-CN"/>
              </w:rPr>
              <w:t>6</w:t>
            </w:r>
            <w:r>
              <w:rPr>
                <w:rFonts w:hint="eastAsia" w:ascii="宋体" w:hAnsi="宋体" w:cs="宋体"/>
                <w:szCs w:val="21"/>
                <w:lang w:val="zh-CN"/>
              </w:rPr>
              <w:t>分，每负偏离一项扣</w:t>
            </w:r>
            <w:r>
              <w:rPr>
                <w:rFonts w:ascii="宋体" w:hAnsi="宋体" w:cs="宋体"/>
                <w:szCs w:val="21"/>
              </w:rPr>
              <w:t>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lang w:val="zh-CN"/>
              </w:rPr>
              <w:t>分，扣完为止。</w:t>
            </w:r>
          </w:p>
          <w:p w14:paraId="6075F34E">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6D5861B0">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如实填写《技术需求响应/偏离表》。并按照招标文件的要求提供相关证明资料。投标人未提供相关证明材料或者提供的证明材料不符合要求的或提供的证明材料不清晰评审专家无法辨认的，该项参数按照负偏离处理，扣除相应分值。</w:t>
            </w:r>
          </w:p>
          <w:p w14:paraId="080B31E7">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color w:val="000000"/>
                <w:sz w:val="24"/>
                <w:szCs w:val="24"/>
              </w:rPr>
            </w:pPr>
            <w:r>
              <w:rPr>
                <w:rFonts w:hint="eastAsia" w:ascii="宋体" w:hAnsi="宋体" w:cs="宋体"/>
                <w:b/>
                <w:bCs/>
                <w:szCs w:val="21"/>
              </w:rPr>
              <w:t>注：投标人所填写的技术规格偏离情况必须与客观事实相一致，投标人响应不实且情节严重的，将被主管部门依法列为失信信息等法律后果。</w:t>
            </w:r>
          </w:p>
        </w:tc>
      </w:tr>
      <w:tr w14:paraId="1496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84" w:type="dxa"/>
            <w:vMerge w:val="continue"/>
            <w:noWrap w:val="0"/>
            <w:vAlign w:val="top"/>
          </w:tcPr>
          <w:p w14:paraId="2F1C94F6">
            <w:pPr>
              <w:jc w:val="left"/>
              <w:rPr>
                <w:rFonts w:hint="eastAsia" w:ascii="宋体" w:hAnsi="宋体" w:eastAsia="宋体" w:cs="宋体"/>
                <w:sz w:val="24"/>
                <w:szCs w:val="24"/>
              </w:rPr>
            </w:pPr>
          </w:p>
        </w:tc>
        <w:tc>
          <w:tcPr>
            <w:tcW w:w="639" w:type="dxa"/>
            <w:noWrap w:val="0"/>
            <w:vAlign w:val="center"/>
          </w:tcPr>
          <w:p w14:paraId="6734F365">
            <w:pPr>
              <w:jc w:val="center"/>
              <w:rPr>
                <w:rFonts w:hint="eastAsia" w:ascii="宋体" w:hAnsi="宋体" w:eastAsia="宋体" w:cs="宋体"/>
                <w:color w:val="000000"/>
                <w:sz w:val="24"/>
                <w:szCs w:val="24"/>
              </w:rPr>
            </w:pPr>
            <w:r>
              <w:rPr>
                <w:rFonts w:hint="eastAsia" w:ascii="宋体" w:hAnsi="宋体" w:eastAsia="宋体" w:cs="宋体"/>
                <w:szCs w:val="21"/>
              </w:rPr>
              <w:t>2</w:t>
            </w:r>
          </w:p>
        </w:tc>
        <w:tc>
          <w:tcPr>
            <w:tcW w:w="1130" w:type="dxa"/>
            <w:noWrap w:val="0"/>
            <w:vAlign w:val="center"/>
          </w:tcPr>
          <w:p w14:paraId="3CB5B4A6">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cs="宋体"/>
                <w:szCs w:val="21"/>
                <w:lang w:val="zh-CN"/>
              </w:rPr>
              <w:t>实施方案</w:t>
            </w:r>
          </w:p>
        </w:tc>
        <w:tc>
          <w:tcPr>
            <w:tcW w:w="651" w:type="dxa"/>
            <w:noWrap w:val="0"/>
            <w:vAlign w:val="center"/>
          </w:tcPr>
          <w:p w14:paraId="43B90D12">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000000"/>
                <w:sz w:val="24"/>
                <w:szCs w:val="24"/>
                <w:lang w:val="en-US"/>
              </w:rPr>
            </w:pPr>
            <w:r>
              <w:rPr>
                <w:rFonts w:hint="eastAsia" w:ascii="宋体" w:hAnsi="宋体" w:cs="宋体"/>
                <w:color w:val="auto"/>
                <w:sz w:val="22"/>
                <w:szCs w:val="22"/>
                <w:highlight w:val="none"/>
                <w:lang w:val="en-US" w:eastAsia="zh-CN"/>
              </w:rPr>
              <w:t>11</w:t>
            </w:r>
          </w:p>
        </w:tc>
        <w:tc>
          <w:tcPr>
            <w:tcW w:w="955" w:type="dxa"/>
            <w:noWrap w:val="0"/>
            <w:vAlign w:val="center"/>
          </w:tcPr>
          <w:p w14:paraId="7D926309">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41479F34">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（一）评分内容：</w:t>
            </w:r>
          </w:p>
          <w:p w14:paraId="5B335C7B">
            <w:pPr>
              <w:autoSpaceDE w:val="0"/>
              <w:autoSpaceDN w:val="0"/>
              <w:adjustRightInd w:val="0"/>
              <w:snapToGrid w:val="0"/>
              <w:rPr>
                <w:rFonts w:ascii="宋体" w:hAnsi="宋体" w:cs="宋体"/>
                <w:szCs w:val="21"/>
                <w:lang w:val="zh-CN"/>
              </w:rPr>
            </w:pPr>
            <w:r>
              <w:rPr>
                <w:rFonts w:hint="eastAsia" w:ascii="宋体" w:hAnsi="宋体" w:cs="宋体"/>
                <w:szCs w:val="21"/>
                <w:lang w:val="zh-CN"/>
              </w:rPr>
              <w:t>投标人针对本项目情况，提供项目实施整体方案，包含以下三项：</w:t>
            </w:r>
          </w:p>
          <w:p w14:paraId="7C2CF0AA">
            <w:pPr>
              <w:autoSpaceDE w:val="0"/>
              <w:autoSpaceDN w:val="0"/>
              <w:adjustRightInd w:val="0"/>
              <w:snapToGrid w:val="0"/>
              <w:rPr>
                <w:rFonts w:ascii="宋体" w:hAnsi="宋体" w:cs="宋体"/>
                <w:szCs w:val="21"/>
                <w:lang w:val="zh-CN"/>
              </w:rPr>
            </w:pPr>
            <w:r>
              <w:rPr>
                <w:rFonts w:hint="eastAsia" w:ascii="宋体" w:hAnsi="宋体" w:cs="宋体"/>
                <w:szCs w:val="21"/>
                <w:lang w:val="zh-CN"/>
              </w:rPr>
              <w:t>1.对本项目建设背景、项目现状、需求分析、建设目标、建设内容的理解程度；</w:t>
            </w:r>
          </w:p>
          <w:p w14:paraId="18FE84E5">
            <w:pPr>
              <w:autoSpaceDE w:val="0"/>
              <w:autoSpaceDN w:val="0"/>
              <w:adjustRightInd w:val="0"/>
              <w:snapToGrid w:val="0"/>
              <w:rPr>
                <w:rFonts w:ascii="宋体" w:hAnsi="宋体" w:cs="宋体"/>
                <w:szCs w:val="21"/>
                <w:lang w:val="zh-CN"/>
              </w:rPr>
            </w:pPr>
            <w:r>
              <w:rPr>
                <w:rFonts w:hint="eastAsia" w:ascii="宋体" w:hAnsi="宋体" w:cs="宋体"/>
                <w:szCs w:val="21"/>
                <w:lang w:val="zh-CN"/>
              </w:rPr>
              <w:t>2.对本项目总体技术要求、重点建设要求的响应情况；</w:t>
            </w:r>
          </w:p>
          <w:p w14:paraId="6C9A8DAB">
            <w:pPr>
              <w:autoSpaceDE w:val="0"/>
              <w:autoSpaceDN w:val="0"/>
              <w:adjustRightInd w:val="0"/>
              <w:snapToGrid w:val="0"/>
              <w:rPr>
                <w:rFonts w:ascii="宋体" w:hAnsi="宋体" w:cs="宋体"/>
                <w:szCs w:val="21"/>
                <w:lang w:val="zh-CN"/>
              </w:rPr>
            </w:pPr>
            <w:r>
              <w:rPr>
                <w:rFonts w:hint="eastAsia" w:ascii="宋体" w:hAnsi="宋体" w:cs="宋体"/>
                <w:szCs w:val="21"/>
                <w:lang w:val="zh-CN"/>
              </w:rPr>
              <w:t>3.对项目管理及服务（包括项目服务期、项目实施、项目培训、售后服务等）要求的响应情况。</w:t>
            </w:r>
          </w:p>
          <w:p w14:paraId="7C473E8A">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2F50FBEE">
            <w:pPr>
              <w:autoSpaceDE w:val="0"/>
              <w:autoSpaceDN w:val="0"/>
              <w:adjustRightInd w:val="0"/>
              <w:snapToGrid w:val="0"/>
              <w:rPr>
                <w:rFonts w:ascii="宋体" w:hAnsi="宋体" w:cs="宋体"/>
                <w:szCs w:val="21"/>
                <w:lang w:val="zh-CN"/>
              </w:rPr>
            </w:pPr>
            <w:r>
              <w:rPr>
                <w:rFonts w:hint="eastAsia" w:ascii="宋体" w:hAnsi="宋体" w:cs="宋体"/>
                <w:szCs w:val="21"/>
                <w:lang w:val="zh-CN"/>
              </w:rPr>
              <w:t>1.满足以上三项得</w:t>
            </w:r>
            <w:r>
              <w:rPr>
                <w:rFonts w:ascii="宋体" w:hAnsi="宋体" w:cs="宋体"/>
                <w:szCs w:val="21"/>
              </w:rPr>
              <w:t>3</w:t>
            </w:r>
            <w:r>
              <w:rPr>
                <w:rFonts w:hint="eastAsia" w:ascii="宋体" w:hAnsi="宋体" w:cs="宋体"/>
                <w:szCs w:val="21"/>
                <w:lang w:val="zh-CN"/>
              </w:rPr>
              <w:t>分，满足任意两项得</w:t>
            </w:r>
            <w:r>
              <w:rPr>
                <w:rFonts w:ascii="宋体" w:hAnsi="宋体" w:cs="宋体"/>
                <w:szCs w:val="21"/>
              </w:rPr>
              <w:t>2</w:t>
            </w:r>
            <w:r>
              <w:rPr>
                <w:rFonts w:hint="eastAsia" w:ascii="宋体" w:hAnsi="宋体" w:cs="宋体"/>
                <w:szCs w:val="21"/>
                <w:lang w:val="zh-CN"/>
              </w:rPr>
              <w:t>分，满足任意一项得</w:t>
            </w:r>
            <w:r>
              <w:rPr>
                <w:rFonts w:ascii="宋体" w:hAnsi="宋体" w:cs="宋体"/>
                <w:szCs w:val="21"/>
              </w:rPr>
              <w:t>1</w:t>
            </w:r>
            <w:r>
              <w:rPr>
                <w:rFonts w:hint="eastAsia" w:ascii="宋体" w:hAnsi="宋体" w:cs="宋体"/>
                <w:szCs w:val="21"/>
                <w:lang w:val="zh-CN"/>
              </w:rPr>
              <w:t>分。</w:t>
            </w:r>
          </w:p>
          <w:p w14:paraId="54A9514D">
            <w:pPr>
              <w:autoSpaceDE w:val="0"/>
              <w:autoSpaceDN w:val="0"/>
              <w:adjustRightInd w:val="0"/>
              <w:snapToGrid w:val="0"/>
              <w:rPr>
                <w:rFonts w:ascii="宋体" w:hAnsi="宋体" w:cs="宋体"/>
                <w:szCs w:val="21"/>
                <w:lang w:val="zh-CN"/>
              </w:rPr>
            </w:pPr>
            <w:r>
              <w:rPr>
                <w:rFonts w:hint="eastAsia" w:ascii="宋体" w:hAnsi="宋体" w:cs="宋体"/>
                <w:szCs w:val="21"/>
                <w:lang w:val="zh-CN"/>
              </w:rPr>
              <w:t>2.在此基础上，专家根据各供应商的具体响应内容进一步评审：</w:t>
            </w:r>
          </w:p>
          <w:p w14:paraId="74BFCFF0">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）准确阐述建设背景及当前物资管理痛点，分析全面且有数据支撑；</w:t>
            </w:r>
          </w:p>
          <w:p w14:paraId="7BC9C8B8">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业务需求的解读精准，提出针对性解决方案；</w:t>
            </w:r>
          </w:p>
          <w:p w14:paraId="13BD93BF">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）目标明确（如智能化、标准化等），建设内容与需求高度匹配，逻辑清晰、可操作性强；</w:t>
            </w:r>
          </w:p>
          <w:p w14:paraId="27B05792">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）阶段划分合理（如需求调研、开发测试、上线验收），时间节点明确，风险控制措施完善；</w:t>
            </w:r>
          </w:p>
          <w:p w14:paraId="35C63CB0">
            <w:pPr>
              <w:keepNext w:val="0"/>
              <w:keepLines w:val="0"/>
              <w:pageBreakBefore w:val="0"/>
              <w:kinsoku/>
              <w:overflowPunct/>
              <w:topLinePunct w:val="0"/>
              <w:bidi w:val="0"/>
              <w:spacing w:line="360" w:lineRule="auto"/>
              <w:ind w:left="0" w:leftChars="0" w:right="0" w:rightChars="0"/>
              <w:textAlignment w:val="auto"/>
              <w:rPr>
                <w:rFonts w:hint="eastAsia" w:ascii="宋体" w:hAnsi="宋体" w:eastAsia="宋体" w:cs="宋体"/>
                <w:color w:val="000000"/>
                <w:sz w:val="24"/>
                <w:szCs w:val="24"/>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分。</w:t>
            </w:r>
          </w:p>
        </w:tc>
      </w:tr>
      <w:tr w14:paraId="0CC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jc w:val="center"/>
        </w:trPr>
        <w:tc>
          <w:tcPr>
            <w:tcW w:w="784" w:type="dxa"/>
            <w:vMerge w:val="continue"/>
            <w:noWrap w:val="0"/>
            <w:vAlign w:val="top"/>
          </w:tcPr>
          <w:p w14:paraId="25267ACA">
            <w:pPr>
              <w:jc w:val="left"/>
              <w:rPr>
                <w:rFonts w:hint="eastAsia" w:ascii="宋体" w:hAnsi="宋体" w:eastAsia="宋体" w:cs="宋体"/>
                <w:sz w:val="24"/>
                <w:szCs w:val="24"/>
              </w:rPr>
            </w:pPr>
          </w:p>
        </w:tc>
        <w:tc>
          <w:tcPr>
            <w:tcW w:w="639" w:type="dxa"/>
            <w:noWrap w:val="0"/>
            <w:vAlign w:val="center"/>
          </w:tcPr>
          <w:p w14:paraId="1BE71E0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30" w:type="dxa"/>
            <w:noWrap w:val="0"/>
            <w:vAlign w:val="center"/>
          </w:tcPr>
          <w:p w14:paraId="0016E9D5">
            <w:pPr>
              <w:autoSpaceDE w:val="0"/>
              <w:autoSpaceDN w:val="0"/>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cs="宋体"/>
                <w:szCs w:val="21"/>
                <w:lang w:val="zh-CN"/>
              </w:rPr>
              <w:t>项目重点难点分析、应对措施及相关的合理化建议</w:t>
            </w:r>
          </w:p>
        </w:tc>
        <w:tc>
          <w:tcPr>
            <w:tcW w:w="651" w:type="dxa"/>
            <w:noWrap w:val="0"/>
            <w:vAlign w:val="center"/>
          </w:tcPr>
          <w:p w14:paraId="1BC77183">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955" w:type="dxa"/>
            <w:noWrap w:val="0"/>
            <w:vAlign w:val="center"/>
          </w:tcPr>
          <w:p w14:paraId="3F999BC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40AF5383">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（一）评审内容：</w:t>
            </w:r>
          </w:p>
          <w:p w14:paraId="67E742A1">
            <w:pPr>
              <w:autoSpaceDE w:val="0"/>
              <w:autoSpaceDN w:val="0"/>
              <w:adjustRightInd w:val="0"/>
              <w:snapToGrid w:val="0"/>
              <w:rPr>
                <w:rFonts w:ascii="宋体" w:hAnsi="宋体" w:cs="宋体"/>
                <w:szCs w:val="21"/>
                <w:lang w:val="zh-CN"/>
              </w:rPr>
            </w:pPr>
            <w:r>
              <w:rPr>
                <w:rFonts w:hint="eastAsia" w:ascii="宋体" w:hAnsi="宋体" w:cs="宋体"/>
                <w:szCs w:val="21"/>
                <w:lang w:val="zh-CN"/>
              </w:rPr>
              <w:t>考察投标人提供项目重点难点分析、应对措施及相关的合理化建议。由专家按以下三项标准的满足情况打分：</w:t>
            </w:r>
          </w:p>
          <w:p w14:paraId="434BABA3">
            <w:pPr>
              <w:autoSpaceDE w:val="0"/>
              <w:autoSpaceDN w:val="0"/>
              <w:adjustRightInd w:val="0"/>
              <w:snapToGrid w:val="0"/>
              <w:rPr>
                <w:rFonts w:ascii="宋体" w:hAnsi="宋体" w:cs="宋体"/>
                <w:szCs w:val="21"/>
                <w:lang w:val="zh-CN"/>
              </w:rPr>
            </w:pPr>
            <w:r>
              <w:rPr>
                <w:rFonts w:hint="eastAsia" w:ascii="宋体" w:hAnsi="宋体" w:cs="宋体"/>
                <w:szCs w:val="21"/>
                <w:lang w:val="zh-CN"/>
              </w:rPr>
              <w:t>（1）提供符合本项目服务特点的重点难点分析；</w:t>
            </w:r>
          </w:p>
          <w:p w14:paraId="7613DAF8">
            <w:pPr>
              <w:autoSpaceDE w:val="0"/>
              <w:autoSpaceDN w:val="0"/>
              <w:adjustRightInd w:val="0"/>
              <w:snapToGrid w:val="0"/>
              <w:rPr>
                <w:rFonts w:ascii="宋体" w:hAnsi="宋体" w:cs="宋体"/>
                <w:szCs w:val="21"/>
                <w:lang w:val="zh-CN"/>
              </w:rPr>
            </w:pPr>
            <w:r>
              <w:rPr>
                <w:rFonts w:hint="eastAsia" w:ascii="宋体" w:hAnsi="宋体" w:cs="宋体"/>
                <w:szCs w:val="21"/>
                <w:lang w:val="zh-CN"/>
              </w:rPr>
              <w:t>（2）针对重难点分析提出应对措施；</w:t>
            </w:r>
          </w:p>
          <w:p w14:paraId="50F144B0">
            <w:pPr>
              <w:autoSpaceDE w:val="0"/>
              <w:autoSpaceDN w:val="0"/>
              <w:adjustRightInd w:val="0"/>
              <w:snapToGrid w:val="0"/>
              <w:rPr>
                <w:rFonts w:ascii="宋体" w:hAnsi="宋体" w:cs="宋体"/>
                <w:szCs w:val="21"/>
                <w:lang w:val="zh-CN"/>
              </w:rPr>
            </w:pPr>
            <w:r>
              <w:rPr>
                <w:rFonts w:hint="eastAsia" w:ascii="宋体" w:hAnsi="宋体" w:cs="宋体"/>
                <w:szCs w:val="21"/>
                <w:lang w:val="zh-CN"/>
              </w:rPr>
              <w:t>（3）结合上述内容提出相关的合理化建议。</w:t>
            </w:r>
          </w:p>
          <w:p w14:paraId="2D840F32">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（二）评分依据：</w:t>
            </w:r>
          </w:p>
          <w:p w14:paraId="06F7AA36">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上述3项标准全部满足得</w:t>
            </w:r>
            <w:r>
              <w:rPr>
                <w:rFonts w:ascii="宋体" w:hAnsi="宋体" w:cs="宋体"/>
                <w:szCs w:val="21"/>
              </w:rPr>
              <w:t>3</w:t>
            </w:r>
            <w:r>
              <w:rPr>
                <w:rFonts w:hint="eastAsia" w:ascii="宋体" w:hAnsi="宋体" w:cs="宋体"/>
                <w:szCs w:val="21"/>
                <w:lang w:val="zh-CN"/>
              </w:rPr>
              <w:t xml:space="preserve">分； </w:t>
            </w:r>
          </w:p>
          <w:p w14:paraId="77180F0A">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上述3项标准满足任意2项得</w:t>
            </w:r>
            <w:r>
              <w:rPr>
                <w:rFonts w:ascii="宋体" w:hAnsi="宋体" w:cs="宋体"/>
                <w:szCs w:val="21"/>
              </w:rPr>
              <w:t>2</w:t>
            </w:r>
            <w:r>
              <w:rPr>
                <w:rFonts w:hint="eastAsia" w:ascii="宋体" w:hAnsi="宋体" w:cs="宋体"/>
                <w:szCs w:val="21"/>
                <w:lang w:val="zh-CN"/>
              </w:rPr>
              <w:t xml:space="preserve">分； </w:t>
            </w:r>
          </w:p>
          <w:p w14:paraId="4D228BA9">
            <w:pPr>
              <w:autoSpaceDE w:val="0"/>
              <w:autoSpaceDN w:val="0"/>
              <w:adjustRightInd w:val="0"/>
              <w:snapToGrid w:val="0"/>
              <w:rPr>
                <w:rFonts w:ascii="宋体" w:hAnsi="宋体" w:cs="宋体"/>
                <w:szCs w:val="21"/>
                <w:lang w:val="zh-CN"/>
              </w:rPr>
            </w:pPr>
            <w:r>
              <w:rPr>
                <w:rFonts w:hint="eastAsia" w:ascii="宋体" w:hAnsi="宋体" w:cs="宋体"/>
                <w:szCs w:val="21"/>
                <w:lang w:val="zh-CN"/>
              </w:rPr>
              <w:t>上述3项标准满足任意1项得</w:t>
            </w:r>
            <w:r>
              <w:rPr>
                <w:rFonts w:ascii="宋体" w:hAnsi="宋体" w:cs="宋体"/>
                <w:szCs w:val="21"/>
              </w:rPr>
              <w:t>1</w:t>
            </w:r>
            <w:r>
              <w:rPr>
                <w:rFonts w:hint="eastAsia" w:ascii="宋体" w:hAnsi="宋体" w:cs="宋体"/>
                <w:szCs w:val="21"/>
                <w:lang w:val="zh-CN"/>
              </w:rPr>
              <w:t xml:space="preserve">分； </w:t>
            </w:r>
          </w:p>
          <w:p w14:paraId="02B4FDA8">
            <w:pPr>
              <w:autoSpaceDE w:val="0"/>
              <w:autoSpaceDN w:val="0"/>
              <w:adjustRightInd w:val="0"/>
              <w:snapToGrid w:val="0"/>
              <w:rPr>
                <w:rFonts w:ascii="宋体" w:hAnsi="宋体" w:cs="宋体"/>
                <w:szCs w:val="21"/>
                <w:lang w:val="zh-CN"/>
              </w:rPr>
            </w:pPr>
            <w:r>
              <w:rPr>
                <w:rFonts w:hint="eastAsia" w:ascii="宋体" w:hAnsi="宋体" w:cs="宋体"/>
                <w:szCs w:val="21"/>
                <w:lang w:val="zh-CN"/>
              </w:rPr>
              <w:t>其他情况得0分；</w:t>
            </w:r>
          </w:p>
          <w:p w14:paraId="48038FFF">
            <w:pPr>
              <w:autoSpaceDE w:val="0"/>
              <w:autoSpaceDN w:val="0"/>
              <w:adjustRightInd w:val="0"/>
              <w:snapToGrid w:val="0"/>
              <w:rPr>
                <w:rFonts w:ascii="宋体" w:hAnsi="宋体" w:cs="宋体"/>
                <w:szCs w:val="21"/>
                <w:lang w:val="zh-CN"/>
              </w:rPr>
            </w:pPr>
            <w:r>
              <w:rPr>
                <w:rFonts w:hint="eastAsia" w:ascii="宋体" w:hAnsi="宋体" w:cs="宋体"/>
                <w:szCs w:val="21"/>
                <w:lang w:val="zh-CN"/>
              </w:rPr>
              <w:t>在此基础上，专家根据各供应商的具体响应内容进一步评审,评审标准如下：</w:t>
            </w:r>
          </w:p>
          <w:p w14:paraId="41F656FC">
            <w:pPr>
              <w:autoSpaceDE w:val="0"/>
              <w:autoSpaceDN w:val="0"/>
              <w:adjustRightInd w:val="0"/>
              <w:snapToGrid w:val="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）深入剖析技术难点（如系统集成、权限管理、业务流程优化等）和管理难点（如进度控制、用户培训等）；</w:t>
            </w:r>
          </w:p>
          <w:p w14:paraId="7C852A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）措施具体可行；提出有效管理方案（如分阶段验收、定制化培训计划、应急预案等）；</w:t>
            </w:r>
          </w:p>
          <w:p w14:paraId="1B02FDF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）相关的合理化建议建议具有前瞻性，能提升项目价值；</w:t>
            </w:r>
          </w:p>
          <w:p w14:paraId="2A0B3B02">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宋体" w:hAnsi="宋体" w:cs="宋体"/>
                <w:szCs w:val="21"/>
              </w:rPr>
              <w:t>每满足以上一项得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w:t>
            </w:r>
          </w:p>
        </w:tc>
      </w:tr>
      <w:tr w14:paraId="6BBC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noWrap w:val="0"/>
            <w:vAlign w:val="top"/>
          </w:tcPr>
          <w:p w14:paraId="3FD24B19">
            <w:pPr>
              <w:jc w:val="left"/>
              <w:rPr>
                <w:rFonts w:hint="eastAsia" w:ascii="宋体" w:hAnsi="宋体" w:eastAsia="宋体" w:cs="宋体"/>
                <w:sz w:val="24"/>
                <w:szCs w:val="24"/>
              </w:rPr>
            </w:pPr>
          </w:p>
        </w:tc>
        <w:tc>
          <w:tcPr>
            <w:tcW w:w="639" w:type="dxa"/>
            <w:noWrap w:val="0"/>
            <w:vAlign w:val="center"/>
          </w:tcPr>
          <w:p w14:paraId="1AAB140F">
            <w:pPr>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3BDCA90E">
            <w:pPr>
              <w:autoSpaceDE w:val="0"/>
              <w:autoSpaceDN w:val="0"/>
              <w:adjustRightInd w:val="0"/>
              <w:snapToGrid w:val="0"/>
              <w:jc w:val="center"/>
              <w:rPr>
                <w:rFonts w:hint="eastAsia" w:ascii="宋体" w:hAnsi="宋体" w:cs="宋体"/>
                <w:szCs w:val="21"/>
                <w:lang w:val="zh-CN"/>
              </w:rPr>
            </w:pPr>
            <w:r>
              <w:rPr>
                <w:rFonts w:hint="eastAsia" w:asciiTheme="minorEastAsia" w:hAnsiTheme="minorEastAsia" w:eastAsiaTheme="minorEastAsia"/>
                <w:szCs w:val="21"/>
              </w:rPr>
              <w:t>项目完成（服务期满）后的服务承诺</w:t>
            </w:r>
          </w:p>
        </w:tc>
        <w:tc>
          <w:tcPr>
            <w:tcW w:w="651" w:type="dxa"/>
            <w:noWrap w:val="0"/>
            <w:vAlign w:val="center"/>
          </w:tcPr>
          <w:p w14:paraId="047352D0">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955" w:type="dxa"/>
            <w:noWrap w:val="0"/>
            <w:vAlign w:val="center"/>
          </w:tcPr>
          <w:p w14:paraId="3093D833">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2D987B7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FA379C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分，否则不得分。</w:t>
            </w:r>
          </w:p>
          <w:p w14:paraId="079E609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AD5BB2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5CE8DB5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CC62D0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459A9EC4">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r>
      <w:tr w14:paraId="5F1D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784" w:type="dxa"/>
            <w:vMerge w:val="continue"/>
            <w:noWrap w:val="0"/>
            <w:vAlign w:val="top"/>
          </w:tcPr>
          <w:p w14:paraId="194EEDFF">
            <w:pPr>
              <w:jc w:val="left"/>
              <w:rPr>
                <w:rFonts w:hint="eastAsia" w:ascii="宋体" w:hAnsi="宋体" w:eastAsia="宋体" w:cs="宋体"/>
                <w:sz w:val="24"/>
                <w:szCs w:val="24"/>
              </w:rPr>
            </w:pPr>
          </w:p>
        </w:tc>
        <w:tc>
          <w:tcPr>
            <w:tcW w:w="639" w:type="dxa"/>
            <w:noWrap w:val="0"/>
            <w:vAlign w:val="center"/>
          </w:tcPr>
          <w:p w14:paraId="72F25790">
            <w:pPr>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1130" w:type="dxa"/>
            <w:noWrap w:val="0"/>
            <w:vAlign w:val="center"/>
          </w:tcPr>
          <w:p w14:paraId="1328F381">
            <w:pPr>
              <w:autoSpaceDE w:val="0"/>
              <w:autoSpaceDN w:val="0"/>
              <w:adjustRightInd w:val="0"/>
              <w:snapToGrid w:val="0"/>
              <w:jc w:val="center"/>
              <w:rPr>
                <w:rFonts w:hint="eastAsia" w:ascii="宋体" w:hAnsi="宋体" w:cs="宋体"/>
                <w:szCs w:val="21"/>
                <w:lang w:val="zh-CN"/>
              </w:rPr>
            </w:pPr>
            <w:r>
              <w:rPr>
                <w:rFonts w:hint="eastAsia" w:asciiTheme="minorEastAsia" w:hAnsiTheme="minorEastAsia" w:eastAsiaTheme="minorEastAsia"/>
                <w:szCs w:val="21"/>
              </w:rPr>
              <w:t>违约承诺</w:t>
            </w:r>
          </w:p>
        </w:tc>
        <w:tc>
          <w:tcPr>
            <w:tcW w:w="651" w:type="dxa"/>
            <w:noWrap w:val="0"/>
            <w:vAlign w:val="center"/>
          </w:tcPr>
          <w:p w14:paraId="597D0205">
            <w:pPr>
              <w:keepNext w:val="0"/>
              <w:keepLines w:val="0"/>
              <w:pageBreakBefore w:val="0"/>
              <w:kinsoku/>
              <w:overflowPunct/>
              <w:topLinePunct w:val="0"/>
              <w:autoSpaceDE w:val="0"/>
              <w:autoSpaceDN w:val="0"/>
              <w:bidi w:val="0"/>
              <w:adjustRightInd w:val="0"/>
              <w:snapToGri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955" w:type="dxa"/>
            <w:noWrap w:val="0"/>
            <w:vAlign w:val="center"/>
          </w:tcPr>
          <w:p w14:paraId="5EE7053B">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06635A8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36587B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分，否则不得分。</w:t>
            </w:r>
          </w:p>
          <w:p w14:paraId="4A6DBC43">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16D2E61">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35DD1BFE">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F4ABBE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C90351B">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cs="宋体"/>
                <w:szCs w:val="21"/>
              </w:rPr>
            </w:pPr>
            <w:r>
              <w:rPr>
                <w:rFonts w:hint="eastAsia" w:asciiTheme="minorEastAsia" w:hAnsiTheme="minorEastAsia" w:eastAsiaTheme="minorEastAsia"/>
                <w:szCs w:val="21"/>
              </w:rPr>
              <w:t>提供《违约承诺函》（格式自定）作为得分依据，未提供承诺或承诺内容不满足要求不得分。</w:t>
            </w:r>
          </w:p>
        </w:tc>
      </w:tr>
      <w:tr w14:paraId="3636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84" w:type="dxa"/>
            <w:vMerge w:val="restart"/>
            <w:noWrap w:val="0"/>
            <w:vAlign w:val="center"/>
          </w:tcPr>
          <w:p w14:paraId="53A20B8F">
            <w:pPr>
              <w:jc w:val="center"/>
              <w:rPr>
                <w:rFonts w:hint="eastAsia" w:ascii="宋体" w:hAnsi="宋体" w:eastAsia="宋体" w:cs="宋体"/>
                <w:sz w:val="24"/>
                <w:szCs w:val="24"/>
                <w:lang w:val="en-US" w:eastAsia="zh-CN"/>
              </w:rPr>
            </w:pPr>
            <w:r>
              <w:rPr>
                <w:rFonts w:hint="eastAsia" w:ascii="宋体" w:hAnsi="宋体" w:eastAsia="宋体" w:cs="宋体"/>
                <w:szCs w:val="21"/>
                <w:lang w:val="en-US" w:eastAsia="zh-CN"/>
              </w:rPr>
              <w:t>三</w:t>
            </w:r>
          </w:p>
        </w:tc>
        <w:tc>
          <w:tcPr>
            <w:tcW w:w="3375" w:type="dxa"/>
            <w:gridSpan w:val="4"/>
            <w:noWrap w:val="0"/>
            <w:vAlign w:val="center"/>
          </w:tcPr>
          <w:p w14:paraId="15AB66D2">
            <w:pPr>
              <w:jc w:val="center"/>
            </w:pPr>
            <w:r>
              <w:rPr>
                <w:rFonts w:hint="eastAsia" w:ascii="宋体" w:hAnsi="宋体" w:eastAsia="宋体" w:cs="宋体"/>
                <w:szCs w:val="21"/>
              </w:rPr>
              <w:t>商务部分</w:t>
            </w:r>
          </w:p>
        </w:tc>
        <w:tc>
          <w:tcPr>
            <w:tcW w:w="5500" w:type="dxa"/>
            <w:noWrap w:val="0"/>
            <w:vAlign w:val="center"/>
          </w:tcPr>
          <w:p w14:paraId="5A9C142A">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24</w:t>
            </w:r>
          </w:p>
        </w:tc>
      </w:tr>
      <w:tr w14:paraId="131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tcBorders/>
            <w:noWrap w:val="0"/>
            <w:vAlign w:val="top"/>
          </w:tcPr>
          <w:p w14:paraId="65AF1843">
            <w:pPr>
              <w:jc w:val="left"/>
              <w:rPr>
                <w:rFonts w:hint="eastAsia" w:ascii="宋体" w:hAnsi="宋体" w:eastAsia="宋体" w:cs="宋体"/>
                <w:sz w:val="24"/>
                <w:szCs w:val="24"/>
              </w:rPr>
            </w:pPr>
          </w:p>
        </w:tc>
        <w:tc>
          <w:tcPr>
            <w:tcW w:w="639" w:type="dxa"/>
            <w:noWrap w:val="0"/>
            <w:vAlign w:val="center"/>
          </w:tcPr>
          <w:p w14:paraId="65C2A626">
            <w:pPr>
              <w:jc w:val="center"/>
              <w:rPr>
                <w:rFonts w:hint="eastAsia" w:ascii="宋体" w:hAnsi="宋体" w:eastAsia="宋体" w:cs="宋体"/>
                <w:szCs w:val="21"/>
              </w:rPr>
            </w:pPr>
            <w:r>
              <w:rPr>
                <w:rFonts w:hint="eastAsia" w:ascii="宋体" w:hAnsi="宋体" w:eastAsia="宋体" w:cs="宋体"/>
                <w:szCs w:val="21"/>
              </w:rPr>
              <w:t>序号</w:t>
            </w:r>
          </w:p>
        </w:tc>
        <w:tc>
          <w:tcPr>
            <w:tcW w:w="1130" w:type="dxa"/>
            <w:noWrap w:val="0"/>
            <w:vAlign w:val="center"/>
          </w:tcPr>
          <w:p w14:paraId="5493074C">
            <w:pPr>
              <w:jc w:val="center"/>
              <w:rPr>
                <w:rFonts w:hint="eastAsia" w:ascii="宋体" w:hAnsi="宋体" w:eastAsia="宋体" w:cs="宋体"/>
                <w:szCs w:val="21"/>
              </w:rPr>
            </w:pPr>
            <w:r>
              <w:rPr>
                <w:rFonts w:hint="eastAsia" w:ascii="宋体" w:hAnsi="宋体" w:eastAsia="宋体" w:cs="宋体"/>
                <w:szCs w:val="21"/>
              </w:rPr>
              <w:t>评分因素</w:t>
            </w:r>
          </w:p>
        </w:tc>
        <w:tc>
          <w:tcPr>
            <w:tcW w:w="651" w:type="dxa"/>
            <w:noWrap w:val="0"/>
            <w:vAlign w:val="center"/>
          </w:tcPr>
          <w:p w14:paraId="09BF2B63">
            <w:pPr>
              <w:jc w:val="center"/>
              <w:rPr>
                <w:rFonts w:hint="eastAsia" w:ascii="宋体" w:hAnsi="宋体" w:eastAsia="宋体" w:cs="宋体"/>
                <w:szCs w:val="21"/>
              </w:rPr>
            </w:pPr>
            <w:r>
              <w:rPr>
                <w:rFonts w:hint="eastAsia" w:ascii="宋体" w:hAnsi="宋体" w:eastAsia="宋体" w:cs="宋体"/>
                <w:szCs w:val="21"/>
              </w:rPr>
              <w:t>权重</w:t>
            </w:r>
          </w:p>
        </w:tc>
        <w:tc>
          <w:tcPr>
            <w:tcW w:w="955" w:type="dxa"/>
            <w:noWrap w:val="0"/>
            <w:vAlign w:val="center"/>
          </w:tcPr>
          <w:p w14:paraId="099AE1B6">
            <w:pPr>
              <w:jc w:val="center"/>
              <w:rPr>
                <w:rFonts w:hint="eastAsia" w:ascii="宋体" w:hAnsi="宋体" w:eastAsia="宋体" w:cs="宋体"/>
                <w:szCs w:val="21"/>
              </w:rPr>
            </w:pPr>
            <w:r>
              <w:rPr>
                <w:rFonts w:hint="eastAsia" w:ascii="宋体" w:hAnsi="宋体" w:eastAsia="宋体" w:cs="宋体"/>
                <w:szCs w:val="21"/>
              </w:rPr>
              <w:t>评分方式</w:t>
            </w:r>
          </w:p>
        </w:tc>
        <w:tc>
          <w:tcPr>
            <w:tcW w:w="5500" w:type="dxa"/>
            <w:noWrap w:val="0"/>
            <w:vAlign w:val="center"/>
          </w:tcPr>
          <w:p w14:paraId="675BBD79">
            <w:pPr>
              <w:jc w:val="center"/>
              <w:rPr>
                <w:rFonts w:hint="eastAsia" w:ascii="宋体" w:hAnsi="宋体" w:eastAsia="宋体" w:cs="宋体"/>
                <w:color w:val="auto"/>
                <w:sz w:val="24"/>
                <w:szCs w:val="24"/>
              </w:rPr>
            </w:pPr>
            <w:r>
              <w:rPr>
                <w:rFonts w:hint="eastAsia" w:ascii="宋体" w:hAnsi="宋体" w:eastAsia="宋体" w:cs="宋体"/>
                <w:szCs w:val="21"/>
              </w:rPr>
              <w:t>评分准则</w:t>
            </w:r>
          </w:p>
        </w:tc>
      </w:tr>
      <w:tr w14:paraId="1092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tcBorders/>
            <w:noWrap w:val="0"/>
            <w:vAlign w:val="top"/>
          </w:tcPr>
          <w:p w14:paraId="1BBABA60">
            <w:pPr>
              <w:jc w:val="left"/>
              <w:rPr>
                <w:rFonts w:hint="eastAsia" w:ascii="宋体" w:hAnsi="宋体" w:eastAsia="宋体" w:cs="宋体"/>
                <w:sz w:val="24"/>
                <w:szCs w:val="24"/>
              </w:rPr>
            </w:pPr>
          </w:p>
        </w:tc>
        <w:tc>
          <w:tcPr>
            <w:tcW w:w="639" w:type="dxa"/>
            <w:noWrap w:val="0"/>
            <w:vAlign w:val="center"/>
          </w:tcPr>
          <w:p w14:paraId="7B8664BE">
            <w:pPr>
              <w:jc w:val="center"/>
              <w:rPr>
                <w:rFonts w:hint="eastAsia" w:ascii="宋体" w:hAnsi="宋体" w:eastAsia="宋体" w:cs="宋体"/>
                <w:sz w:val="24"/>
                <w:szCs w:val="24"/>
              </w:rPr>
            </w:pPr>
            <w:r>
              <w:rPr>
                <w:rFonts w:hint="eastAsia" w:ascii="宋体" w:hAnsi="宋体" w:eastAsia="宋体" w:cs="宋体"/>
                <w:szCs w:val="21"/>
              </w:rPr>
              <w:t>1</w:t>
            </w:r>
          </w:p>
        </w:tc>
        <w:tc>
          <w:tcPr>
            <w:tcW w:w="1130" w:type="dxa"/>
            <w:noWrap w:val="0"/>
            <w:vAlign w:val="center"/>
          </w:tcPr>
          <w:p w14:paraId="0385313D">
            <w:pPr>
              <w:keepNext w:val="0"/>
              <w:keepLines w:val="0"/>
              <w:pageBreakBefore w:val="0"/>
              <w:widowControl/>
              <w:kinsoku/>
              <w:overflowPunct/>
              <w:topLinePunct w:val="0"/>
              <w:bidi w:val="0"/>
              <w:spacing w:line="360" w:lineRule="auto"/>
              <w:ind w:left="0" w:leftChars="0" w:right="0" w:rightChars="0"/>
              <w:jc w:val="center"/>
              <w:textAlignment w:val="auto"/>
            </w:pPr>
            <w:r>
              <w:rPr>
                <w:rFonts w:hint="eastAsia" w:ascii="宋体" w:hAnsi="宋体" w:cs="宋体"/>
                <w:szCs w:val="21"/>
                <w:lang w:val="zh-CN"/>
              </w:rPr>
              <w:t>安全证书</w:t>
            </w:r>
          </w:p>
        </w:tc>
        <w:tc>
          <w:tcPr>
            <w:tcW w:w="651" w:type="dxa"/>
            <w:noWrap w:val="0"/>
            <w:vAlign w:val="center"/>
          </w:tcPr>
          <w:p w14:paraId="6DA2E9A0">
            <w:pPr>
              <w:keepNext w:val="0"/>
              <w:keepLines w:val="0"/>
              <w:pageBreakBefore w:val="0"/>
              <w:kinsoku/>
              <w:overflowPunct/>
              <w:topLinePunct w:val="0"/>
              <w:bidi w:val="0"/>
              <w:adjustRightInd w:val="0"/>
              <w:snapToGrid w:val="0"/>
              <w:spacing w:line="360" w:lineRule="auto"/>
              <w:ind w:left="0" w:leftChars="0" w:right="0" w:rightChars="0"/>
              <w:jc w:val="center"/>
              <w:textAlignment w:val="auto"/>
              <w:rPr>
                <w:rFonts w:hint="default"/>
                <w:lang w:val="en-US"/>
              </w:rPr>
            </w:pPr>
            <w:r>
              <w:rPr>
                <w:rFonts w:hint="eastAsia" w:ascii="宋体" w:hAnsi="宋体" w:eastAsia="宋体" w:cs="宋体"/>
                <w:color w:val="auto"/>
                <w:sz w:val="22"/>
                <w:szCs w:val="22"/>
                <w:highlight w:val="none"/>
                <w:lang w:val="en-US" w:eastAsia="zh-CN"/>
              </w:rPr>
              <w:t>10</w:t>
            </w:r>
          </w:p>
        </w:tc>
        <w:tc>
          <w:tcPr>
            <w:tcW w:w="955" w:type="dxa"/>
            <w:noWrap w:val="0"/>
            <w:vAlign w:val="center"/>
          </w:tcPr>
          <w:p w14:paraId="520A9685">
            <w:pPr>
              <w:keepNext w:val="0"/>
              <w:keepLines w:val="0"/>
              <w:pageBreakBefore w:val="0"/>
              <w:kinsoku/>
              <w:overflowPunct/>
              <w:topLinePunct w:val="0"/>
              <w:bidi w:val="0"/>
              <w:spacing w:line="360" w:lineRule="auto"/>
              <w:ind w:left="0" w:leftChars="0" w:right="0" w:rightChars="0"/>
              <w:jc w:val="center"/>
              <w:textAlignment w:val="auto"/>
            </w:pPr>
            <w:r>
              <w:rPr>
                <w:rFonts w:hint="eastAsia" w:ascii="宋体" w:hAnsi="宋体" w:eastAsia="宋体" w:cs="宋体"/>
                <w:color w:val="auto"/>
                <w:sz w:val="22"/>
                <w:szCs w:val="22"/>
                <w:highlight w:val="none"/>
              </w:rPr>
              <w:t>专家评分</w:t>
            </w:r>
          </w:p>
        </w:tc>
        <w:tc>
          <w:tcPr>
            <w:tcW w:w="5500" w:type="dxa"/>
            <w:noWrap w:val="0"/>
            <w:vAlign w:val="center"/>
          </w:tcPr>
          <w:p w14:paraId="343C507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（一）评审内容：</w:t>
            </w:r>
          </w:p>
          <w:p w14:paraId="306C007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所投</w:t>
            </w:r>
            <w:r>
              <w:rPr>
                <w:rFonts w:hint="eastAsia" w:ascii="宋体" w:hAnsi="宋体" w:cs="宋体"/>
                <w:szCs w:val="21"/>
              </w:rPr>
              <w:t>产品</w:t>
            </w:r>
            <w:r>
              <w:rPr>
                <w:rFonts w:hint="eastAsia" w:ascii="宋体" w:hAnsi="宋体" w:cs="宋体"/>
                <w:szCs w:val="21"/>
                <w:lang w:val="zh-CN"/>
              </w:rPr>
              <w:t>“安全证书”具备与“TLS协议实现加密通信”相关证书的，得</w:t>
            </w:r>
            <w:r>
              <w:rPr>
                <w:rFonts w:hint="eastAsia" w:ascii="宋体" w:hAnsi="宋体" w:cs="宋体"/>
                <w:szCs w:val="21"/>
                <w:lang w:val="en-US" w:eastAsia="zh-CN"/>
              </w:rPr>
              <w:t>10</w:t>
            </w:r>
            <w:r>
              <w:rPr>
                <w:rFonts w:hint="eastAsia" w:ascii="宋体" w:hAnsi="宋体" w:cs="宋体"/>
                <w:szCs w:val="21"/>
                <w:lang w:val="zh-CN"/>
              </w:rPr>
              <w:t>分，未提供不得分。</w:t>
            </w:r>
          </w:p>
          <w:p w14:paraId="553C17A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（二）评分依据：</w:t>
            </w:r>
          </w:p>
          <w:p w14:paraId="3CD7849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eastAsia="宋体" w:cs="宋体"/>
                <w:szCs w:val="21"/>
              </w:rPr>
            </w:pPr>
            <w:r>
              <w:rPr>
                <w:rFonts w:hint="eastAsia" w:ascii="宋体" w:hAnsi="宋体" w:cs="宋体"/>
                <w:szCs w:val="21"/>
                <w:lang w:val="zh-CN"/>
              </w:rPr>
              <w:t>1.如是投标人自有的，提供证书</w:t>
            </w:r>
            <w:r>
              <w:rPr>
                <w:rFonts w:hint="eastAsia" w:ascii="宋体" w:hAnsi="宋体" w:cs="宋体"/>
                <w:szCs w:val="21"/>
              </w:rPr>
              <w:t>复印件</w:t>
            </w:r>
            <w:r>
              <w:rPr>
                <w:rFonts w:hint="eastAsia" w:ascii="宋体" w:hAnsi="宋体" w:cs="宋体"/>
                <w:szCs w:val="21"/>
                <w:lang w:val="zh-CN"/>
              </w:rPr>
              <w:t>；如是使用其他厂家的，需同时提供证书</w:t>
            </w:r>
            <w:r>
              <w:rPr>
                <w:rFonts w:hint="eastAsia" w:ascii="宋体" w:hAnsi="宋体" w:cs="宋体"/>
                <w:szCs w:val="21"/>
              </w:rPr>
              <w:t>复印件</w:t>
            </w:r>
            <w:r>
              <w:rPr>
                <w:rFonts w:hint="eastAsia" w:ascii="宋体" w:hAnsi="宋体" w:cs="宋体"/>
                <w:szCs w:val="21"/>
                <w:lang w:val="zh-CN"/>
              </w:rPr>
              <w:t>及授权证明并加盖原厂家公章；</w:t>
            </w:r>
          </w:p>
          <w:p w14:paraId="226F6356">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zCs w:val="21"/>
                <w:lang w:val="zh-CN"/>
              </w:rPr>
              <w:t>2.证明材料不符合要求或提供的证明材料导致评审专家无法辨认的，不得分。</w:t>
            </w:r>
          </w:p>
        </w:tc>
      </w:tr>
      <w:tr w14:paraId="2B95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4" w:type="dxa"/>
            <w:vMerge w:val="continue"/>
            <w:tcBorders/>
            <w:noWrap w:val="0"/>
            <w:vAlign w:val="top"/>
          </w:tcPr>
          <w:p w14:paraId="4A53D6DA">
            <w:pPr>
              <w:jc w:val="left"/>
              <w:rPr>
                <w:rFonts w:hint="eastAsia" w:ascii="宋体" w:hAnsi="宋体" w:eastAsia="宋体" w:cs="宋体"/>
                <w:sz w:val="24"/>
                <w:szCs w:val="24"/>
              </w:rPr>
            </w:pPr>
          </w:p>
        </w:tc>
        <w:tc>
          <w:tcPr>
            <w:tcW w:w="639" w:type="dxa"/>
            <w:noWrap w:val="0"/>
            <w:vAlign w:val="center"/>
          </w:tcPr>
          <w:p w14:paraId="64FE6432">
            <w:pPr>
              <w:jc w:val="center"/>
              <w:rPr>
                <w:rFonts w:hint="eastAsia" w:ascii="宋体" w:hAnsi="宋体" w:eastAsia="宋体" w:cs="宋体"/>
                <w:sz w:val="24"/>
                <w:szCs w:val="24"/>
              </w:rPr>
            </w:pPr>
            <w:r>
              <w:rPr>
                <w:rFonts w:hint="eastAsia" w:ascii="宋体" w:hAnsi="宋体" w:eastAsia="宋体" w:cs="宋体"/>
                <w:szCs w:val="21"/>
              </w:rPr>
              <w:t>2</w:t>
            </w:r>
          </w:p>
        </w:tc>
        <w:tc>
          <w:tcPr>
            <w:tcW w:w="1130" w:type="dxa"/>
            <w:noWrap w:val="0"/>
            <w:vAlign w:val="center"/>
          </w:tcPr>
          <w:p w14:paraId="6220534A">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cs="宋体"/>
                <w:szCs w:val="21"/>
                <w:lang w:val="zh-CN"/>
              </w:rPr>
              <w:t>投标人近年同类业绩</w:t>
            </w:r>
          </w:p>
        </w:tc>
        <w:tc>
          <w:tcPr>
            <w:tcW w:w="651" w:type="dxa"/>
            <w:noWrap w:val="0"/>
            <w:vAlign w:val="center"/>
          </w:tcPr>
          <w:p w14:paraId="55917635">
            <w:pPr>
              <w:keepNext w:val="0"/>
              <w:keepLines w:val="0"/>
              <w:pageBreakBefore w:val="0"/>
              <w:kinsoku/>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lang w:val="en-US" w:eastAsia="zh-CN"/>
              </w:rPr>
              <w:t>5</w:t>
            </w:r>
          </w:p>
        </w:tc>
        <w:tc>
          <w:tcPr>
            <w:tcW w:w="955" w:type="dxa"/>
            <w:noWrap w:val="0"/>
            <w:vAlign w:val="center"/>
          </w:tcPr>
          <w:p w14:paraId="24E07257">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专家评分</w:t>
            </w:r>
          </w:p>
        </w:tc>
        <w:tc>
          <w:tcPr>
            <w:tcW w:w="5500" w:type="dxa"/>
            <w:noWrap w:val="0"/>
            <w:vAlign w:val="center"/>
          </w:tcPr>
          <w:p w14:paraId="0DBB395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（一）评审内容：</w:t>
            </w:r>
          </w:p>
          <w:p w14:paraId="6593E19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投标人</w:t>
            </w:r>
            <w:r>
              <w:rPr>
                <w:rFonts w:hint="eastAsia" w:ascii="宋体" w:hAnsi="宋体" w:cs="宋体"/>
                <w:szCs w:val="21"/>
              </w:rPr>
              <w:t>2022年4月1日至投标截止日的</w:t>
            </w:r>
            <w:r>
              <w:rPr>
                <w:rFonts w:hint="eastAsia" w:ascii="宋体" w:hAnsi="宋体" w:cs="宋体"/>
                <w:szCs w:val="21"/>
                <w:lang w:val="zh-CN"/>
              </w:rPr>
              <w:t>同类业绩（以合同签订时间为准）提供与本项目的同类业绩（</w:t>
            </w:r>
            <w:r>
              <w:rPr>
                <w:rFonts w:hint="eastAsia" w:ascii="宋体" w:hAnsi="宋体" w:cs="宋体"/>
                <w:szCs w:val="21"/>
              </w:rPr>
              <w:t>指物资管理系统</w:t>
            </w:r>
            <w:r>
              <w:rPr>
                <w:rFonts w:hint="eastAsia" w:ascii="宋体" w:hAnsi="宋体" w:cs="宋体"/>
                <w:szCs w:val="21"/>
                <w:lang w:val="zh-CN"/>
              </w:rPr>
              <w:t>），每提供1个得</w:t>
            </w:r>
            <w:r>
              <w:rPr>
                <w:rFonts w:hint="eastAsia" w:ascii="宋体" w:hAnsi="宋体" w:cs="宋体"/>
                <w:szCs w:val="21"/>
              </w:rPr>
              <w:t>2.5</w:t>
            </w:r>
            <w:r>
              <w:rPr>
                <w:rFonts w:hint="eastAsia" w:ascii="宋体" w:hAnsi="宋体" w:cs="宋体"/>
                <w:szCs w:val="21"/>
                <w:lang w:val="zh-CN"/>
              </w:rPr>
              <w:t>分，最高得</w:t>
            </w:r>
            <w:r>
              <w:rPr>
                <w:rFonts w:hint="eastAsia" w:ascii="宋体" w:hAnsi="宋体" w:cs="宋体"/>
                <w:szCs w:val="21"/>
              </w:rPr>
              <w:t>5</w:t>
            </w:r>
            <w:r>
              <w:rPr>
                <w:rFonts w:hint="eastAsia" w:ascii="宋体" w:hAnsi="宋体" w:cs="宋体"/>
                <w:szCs w:val="21"/>
                <w:lang w:val="zh-CN"/>
              </w:rPr>
              <w:t>分，未提供的不得分。</w:t>
            </w:r>
          </w:p>
          <w:p w14:paraId="3A1EE7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（二）评分依据：</w:t>
            </w:r>
          </w:p>
          <w:p w14:paraId="1B6A290C">
            <w:pPr>
              <w:keepNext w:val="0"/>
              <w:keepLines w:val="0"/>
              <w:pageBreakBefore w:val="0"/>
              <w:widowControl w:val="0"/>
              <w:kinsoku/>
              <w:wordWrap/>
              <w:overflowPunct/>
              <w:topLinePunct w:val="0"/>
              <w:bidi w:val="0"/>
              <w:spacing w:line="240" w:lineRule="auto"/>
              <w:ind w:left="0"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zCs w:val="21"/>
                <w:lang w:val="zh-CN"/>
              </w:rPr>
              <w:t>投标人需在投标文件中提供每一个项目的合同关键页（含签订合同双方的单位名称、合同项目名称、服务内容、签订合同双方的落款盖章、签订日期的关键页），否则不得分。证明材料不符合要求或提供的证明材料不清晰导致评审专家无法辨认的，不得分。</w:t>
            </w:r>
          </w:p>
        </w:tc>
      </w:tr>
      <w:tr w14:paraId="49C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9" w:hRule="atLeast"/>
          <w:jc w:val="center"/>
        </w:trPr>
        <w:tc>
          <w:tcPr>
            <w:tcW w:w="784" w:type="dxa"/>
            <w:vMerge w:val="continue"/>
            <w:tcBorders/>
            <w:noWrap w:val="0"/>
            <w:vAlign w:val="top"/>
          </w:tcPr>
          <w:p w14:paraId="227F1CCD">
            <w:pPr>
              <w:jc w:val="left"/>
              <w:rPr>
                <w:rFonts w:hint="eastAsia" w:ascii="宋体" w:hAnsi="宋体" w:eastAsia="宋体" w:cs="宋体"/>
                <w:sz w:val="24"/>
                <w:szCs w:val="24"/>
              </w:rPr>
            </w:pPr>
          </w:p>
        </w:tc>
        <w:tc>
          <w:tcPr>
            <w:tcW w:w="639" w:type="dxa"/>
            <w:noWrap w:val="0"/>
            <w:vAlign w:val="center"/>
          </w:tcPr>
          <w:p w14:paraId="056FDC3A">
            <w:pPr>
              <w:jc w:val="center"/>
              <w:rPr>
                <w:rFonts w:hint="eastAsia" w:ascii="宋体" w:hAnsi="宋体" w:eastAsia="宋体" w:cs="宋体"/>
                <w:sz w:val="24"/>
                <w:szCs w:val="24"/>
              </w:rPr>
            </w:pPr>
            <w:r>
              <w:rPr>
                <w:rFonts w:hint="eastAsia" w:ascii="宋体" w:hAnsi="宋体" w:eastAsia="宋体" w:cs="宋体"/>
                <w:szCs w:val="21"/>
              </w:rPr>
              <w:t>3</w:t>
            </w:r>
          </w:p>
        </w:tc>
        <w:tc>
          <w:tcPr>
            <w:tcW w:w="1130" w:type="dxa"/>
            <w:noWrap w:val="0"/>
            <w:vAlign w:val="center"/>
          </w:tcPr>
          <w:p w14:paraId="782BF8A9">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cs="宋体"/>
                <w:szCs w:val="21"/>
                <w:lang w:val="zh-CN"/>
              </w:rPr>
              <w:t>拟安排的项目负责人情况</w:t>
            </w:r>
          </w:p>
        </w:tc>
        <w:tc>
          <w:tcPr>
            <w:tcW w:w="651" w:type="dxa"/>
            <w:noWrap w:val="0"/>
            <w:vAlign w:val="center"/>
          </w:tcPr>
          <w:p w14:paraId="48FBCDE6">
            <w:pPr>
              <w:keepNext w:val="0"/>
              <w:keepLines w:val="0"/>
              <w:pageBreakBefore w:val="0"/>
              <w:kinsoku/>
              <w:overflowPunct/>
              <w:topLinePunct w:val="0"/>
              <w:autoSpaceDE w:val="0"/>
              <w:autoSpaceDN w:val="0"/>
              <w:bidi w:val="0"/>
              <w:adjustRightInd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lang w:val="en-US" w:eastAsia="zh-CN"/>
              </w:rPr>
              <w:t>5</w:t>
            </w:r>
          </w:p>
        </w:tc>
        <w:tc>
          <w:tcPr>
            <w:tcW w:w="955" w:type="dxa"/>
            <w:noWrap w:val="0"/>
            <w:vAlign w:val="center"/>
          </w:tcPr>
          <w:p w14:paraId="64DE0B24">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2"/>
                <w:szCs w:val="22"/>
                <w:highlight w:val="none"/>
              </w:rPr>
              <w:t>专家打分</w:t>
            </w:r>
          </w:p>
        </w:tc>
        <w:tc>
          <w:tcPr>
            <w:tcW w:w="5500" w:type="dxa"/>
            <w:noWrap w:val="0"/>
            <w:vAlign w:val="center"/>
          </w:tcPr>
          <w:p w14:paraId="4F340B2A">
            <w:pPr>
              <w:autoSpaceDE w:val="0"/>
              <w:autoSpaceDN w:val="0"/>
              <w:adjustRightInd w:val="0"/>
              <w:snapToGrid w:val="0"/>
              <w:rPr>
                <w:rFonts w:ascii="宋体" w:hAnsi="宋体" w:cs="宋体"/>
                <w:b/>
                <w:bCs/>
                <w:szCs w:val="21"/>
                <w:lang w:val="zh-CN"/>
              </w:rPr>
            </w:pPr>
            <w:r>
              <w:rPr>
                <w:rFonts w:hint="eastAsia" w:ascii="宋体" w:hAnsi="宋体" w:cs="宋体"/>
                <w:b/>
                <w:bCs/>
                <w:szCs w:val="21"/>
                <w:lang w:val="zh-CN"/>
              </w:rPr>
              <w:t>（一）评审内容：</w:t>
            </w:r>
          </w:p>
          <w:p w14:paraId="189F9CA7">
            <w:pPr>
              <w:autoSpaceDE w:val="0"/>
              <w:autoSpaceDN w:val="0"/>
              <w:adjustRightInd w:val="0"/>
              <w:snapToGrid w:val="0"/>
              <w:rPr>
                <w:rFonts w:ascii="宋体" w:hAnsi="宋体" w:cs="宋体"/>
                <w:szCs w:val="21"/>
                <w:lang w:val="zh-CN"/>
              </w:rPr>
            </w:pPr>
            <w:r>
              <w:rPr>
                <w:rFonts w:hint="eastAsia" w:ascii="宋体" w:hAnsi="宋体" w:cs="宋体"/>
                <w:szCs w:val="21"/>
                <w:lang w:val="zh-CN"/>
              </w:rPr>
              <w:t>拟安排的项目负责人（</w:t>
            </w:r>
            <w:r>
              <w:rPr>
                <w:rFonts w:hint="eastAsia" w:ascii="宋体" w:hAnsi="宋体" w:cs="宋体"/>
                <w:szCs w:val="21"/>
              </w:rPr>
              <w:t>仅限一人</w:t>
            </w:r>
            <w:r>
              <w:rPr>
                <w:rFonts w:hint="eastAsia" w:ascii="宋体" w:hAnsi="宋体" w:cs="宋体"/>
                <w:szCs w:val="21"/>
                <w:lang w:val="zh-CN"/>
              </w:rPr>
              <w:t>）须为投标人自有员工；</w:t>
            </w:r>
          </w:p>
          <w:p w14:paraId="606BF9A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具有人力资源和社会保障部、工业和信息化部颁发的信息系统项目管理师资格证书，得</w:t>
            </w:r>
            <w:r>
              <w:rPr>
                <w:rFonts w:hint="eastAsia" w:ascii="宋体" w:hAnsi="宋体" w:cs="宋体"/>
                <w:szCs w:val="21"/>
              </w:rPr>
              <w:t>5</w:t>
            </w:r>
            <w:r>
              <w:rPr>
                <w:rFonts w:hint="eastAsia" w:ascii="宋体" w:hAnsi="宋体" w:cs="宋体"/>
                <w:szCs w:val="21"/>
                <w:lang w:val="zh-CN"/>
              </w:rPr>
              <w:t>分。</w:t>
            </w:r>
          </w:p>
          <w:p w14:paraId="1FF5885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b/>
                <w:bCs/>
                <w:szCs w:val="21"/>
                <w:lang w:val="zh-CN"/>
              </w:rPr>
            </w:pPr>
            <w:r>
              <w:rPr>
                <w:rFonts w:hint="eastAsia" w:ascii="宋体" w:hAnsi="宋体" w:cs="宋体"/>
                <w:b/>
                <w:bCs/>
                <w:szCs w:val="21"/>
                <w:lang w:val="zh-CN"/>
              </w:rPr>
              <w:t>（二）评审标准：</w:t>
            </w:r>
          </w:p>
          <w:p w14:paraId="173AF08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宋体" w:hAnsi="宋体" w:cs="宋体"/>
                <w:szCs w:val="21"/>
                <w:lang w:val="zh-CN"/>
              </w:rPr>
              <w:t>1.项目负责人为投标人自有员工，提供开标日前由投标人为拟投入本项目的项目负责人缴交的载有政府部门公章（或专用章）的</w:t>
            </w:r>
            <w:r>
              <w:rPr>
                <w:rFonts w:hint="eastAsia" w:ascii="宋体" w:hAnsi="宋体" w:cs="宋体"/>
                <w:szCs w:val="21"/>
              </w:rPr>
              <w:t>近一个月</w:t>
            </w:r>
            <w:r>
              <w:rPr>
                <w:rFonts w:hint="eastAsia" w:ascii="宋体" w:hAnsi="宋体" w:cs="宋体"/>
                <w:szCs w:val="21"/>
                <w:lang w:val="zh-CN"/>
              </w:rPr>
              <w:t>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可提供加盖公章的情况说明或其他相关证明材料；</w:t>
            </w:r>
          </w:p>
          <w:p w14:paraId="0B8A88B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rPr>
            </w:pPr>
            <w:r>
              <w:rPr>
                <w:rFonts w:hint="eastAsia" w:ascii="宋体" w:hAnsi="宋体" w:cs="宋体"/>
                <w:szCs w:val="21"/>
              </w:rPr>
              <w:t>2.提供证书复印件；</w:t>
            </w:r>
          </w:p>
          <w:p w14:paraId="2BA2A0B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rPr>
            </w:pPr>
            <w:r>
              <w:rPr>
                <w:rFonts w:hint="eastAsia" w:ascii="宋体" w:hAnsi="宋体" w:cs="宋体"/>
                <w:szCs w:val="21"/>
              </w:rPr>
              <w:t>3.如证书颁发单位为相关行业协会（或学会）的，则需同时提供证书颁发单位在“中国社会组织政务服务平台”或“中国国家认证认可监督管理委员会”或“职业技能等级评价机构公示查询系统”等合法查询渠道的信息查询截图（截图需显示发证单位状态为正常），或该协会(学会)由政府部门或行政事业单位审批（备案）的证明文件复印件。如为《中华人民共和国境外非政府组织境内活动管理法》规定的“离岸社团”“山寨社团”，《</w:t>
            </w:r>
            <w:bookmarkStart w:id="22" w:name="_GoBack"/>
            <w:bookmarkEnd w:id="22"/>
            <w:r>
              <w:rPr>
                <w:rFonts w:hint="eastAsia" w:ascii="宋体" w:hAnsi="宋体" w:cs="宋体"/>
                <w:szCs w:val="21"/>
              </w:rPr>
              <w:t>取缔非法民间组织暂行办法》（民政部令第21号）规定的“非法社会组织”颁发的证书或出具的报告，均不得分。</w:t>
            </w:r>
          </w:p>
          <w:p w14:paraId="3C942247">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szCs w:val="21"/>
              </w:rPr>
              <w:t>4.</w:t>
            </w:r>
            <w:r>
              <w:rPr>
                <w:rFonts w:hint="eastAsia" w:ascii="宋体" w:hAnsi="宋体" w:cs="宋体"/>
                <w:szCs w:val="21"/>
                <w:lang w:val="zh-CN"/>
              </w:rPr>
              <w:t>未提供或未按要求提供或提供的不清晰导致专家无法判断的，不得分。</w:t>
            </w:r>
          </w:p>
        </w:tc>
      </w:tr>
      <w:tr w14:paraId="21B9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4" w:type="dxa"/>
            <w:vMerge w:val="continue"/>
            <w:tcBorders/>
            <w:noWrap w:val="0"/>
            <w:vAlign w:val="top"/>
          </w:tcPr>
          <w:p w14:paraId="75B6C2B9">
            <w:pPr>
              <w:jc w:val="left"/>
              <w:rPr>
                <w:rFonts w:hint="eastAsia" w:ascii="宋体" w:hAnsi="宋体" w:eastAsia="宋体" w:cs="宋体"/>
                <w:sz w:val="24"/>
                <w:szCs w:val="24"/>
              </w:rPr>
            </w:pPr>
          </w:p>
        </w:tc>
        <w:tc>
          <w:tcPr>
            <w:tcW w:w="639" w:type="dxa"/>
            <w:noWrap w:val="0"/>
            <w:vAlign w:val="center"/>
          </w:tcPr>
          <w:p w14:paraId="18269B66">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30" w:type="dxa"/>
            <w:noWrap w:val="0"/>
            <w:vAlign w:val="center"/>
          </w:tcPr>
          <w:p w14:paraId="1E6AC181">
            <w:pPr>
              <w:keepNext w:val="0"/>
              <w:keepLines w:val="0"/>
              <w:pageBreakBefore w:val="0"/>
              <w:widowControl/>
              <w:kinsoku/>
              <w:overflowPunct/>
              <w:topLinePunct w:val="0"/>
              <w:bidi w:val="0"/>
              <w:spacing w:line="360" w:lineRule="auto"/>
              <w:ind w:left="0" w:leftChars="0" w:right="0" w:rightChars="0"/>
              <w:jc w:val="center"/>
              <w:textAlignment w:val="auto"/>
              <w:rPr>
                <w:rFonts w:hint="eastAsia" w:ascii="宋体" w:hAnsi="宋体" w:cs="宋体"/>
                <w:szCs w:val="21"/>
                <w:lang w:val="zh-CN"/>
              </w:rPr>
            </w:pPr>
            <w:r>
              <w:rPr>
                <w:rFonts w:hint="eastAsia" w:ascii="宋体" w:hAnsi="宋体" w:cs="宋体"/>
                <w:szCs w:val="21"/>
                <w:lang w:val="zh-CN"/>
              </w:rPr>
              <w:t>商务条款偏离</w:t>
            </w:r>
          </w:p>
        </w:tc>
        <w:tc>
          <w:tcPr>
            <w:tcW w:w="651" w:type="dxa"/>
            <w:noWrap w:val="0"/>
            <w:vAlign w:val="center"/>
          </w:tcPr>
          <w:p w14:paraId="0CC4EEB5">
            <w:pPr>
              <w:keepNext w:val="0"/>
              <w:keepLines w:val="0"/>
              <w:pageBreakBefore w:val="0"/>
              <w:kinsoku/>
              <w:overflowPunct/>
              <w:topLinePunct w:val="0"/>
              <w:autoSpaceDE w:val="0"/>
              <w:autoSpaceDN w:val="0"/>
              <w:bidi w:val="0"/>
              <w:adjustRightInd w:val="0"/>
              <w:spacing w:line="360" w:lineRule="auto"/>
              <w:ind w:left="0" w:leftChars="0" w:right="0"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955" w:type="dxa"/>
            <w:noWrap w:val="0"/>
            <w:vAlign w:val="center"/>
          </w:tcPr>
          <w:p w14:paraId="7ED5805E">
            <w:pPr>
              <w:keepNext w:val="0"/>
              <w:keepLines w:val="0"/>
              <w:pageBreakBefore w:val="0"/>
              <w:kinsoku/>
              <w:overflowPunct/>
              <w:topLinePunct w:val="0"/>
              <w:bidi w:val="0"/>
              <w:spacing w:line="360" w:lineRule="auto"/>
              <w:ind w:left="0" w:leftChars="0" w:right="0" w:righ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专家打分</w:t>
            </w:r>
          </w:p>
        </w:tc>
        <w:tc>
          <w:tcPr>
            <w:tcW w:w="5500" w:type="dxa"/>
            <w:noWrap w:val="0"/>
            <w:vAlign w:val="center"/>
          </w:tcPr>
          <w:p w14:paraId="532ED4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2"/>
                <w:szCs w:val="22"/>
                <w:highlight w:val="none"/>
              </w:rPr>
            </w:pPr>
            <w:r>
              <w:rPr>
                <w:rFonts w:hint="eastAsia" w:ascii="宋体" w:hAnsi="宋体" w:cs="宋体"/>
                <w:szCs w:val="21"/>
              </w:rPr>
              <w:t>投标人</w:t>
            </w:r>
            <w:r>
              <w:rPr>
                <w:rFonts w:hint="eastAsia" w:ascii="宋体" w:hAnsi="宋体" w:cs="宋体"/>
                <w:szCs w:val="21"/>
                <w:lang w:val="zh-CN"/>
              </w:rPr>
              <w:t>应如实填写《商务条款响应/偏离表》，评审委员会根据商务需求参数响应情况进行打分，各项商务参数指标及要求全部满足的得</w:t>
            </w:r>
            <w:r>
              <w:rPr>
                <w:rFonts w:hint="eastAsia" w:ascii="宋体" w:hAnsi="宋体" w:cs="宋体"/>
                <w:szCs w:val="21"/>
              </w:rPr>
              <w:t>4</w:t>
            </w:r>
            <w:r>
              <w:rPr>
                <w:rFonts w:hint="eastAsia" w:ascii="宋体" w:hAnsi="宋体" w:cs="宋体"/>
                <w:szCs w:val="21"/>
                <w:lang w:val="zh-CN"/>
              </w:rPr>
              <w:t>分，每负偏离一项扣</w:t>
            </w:r>
            <w:r>
              <w:rPr>
                <w:rFonts w:hint="eastAsia" w:ascii="宋体" w:hAnsi="宋体" w:cs="宋体"/>
                <w:szCs w:val="21"/>
              </w:rPr>
              <w:t>0.37</w:t>
            </w:r>
            <w:r>
              <w:rPr>
                <w:rFonts w:hint="eastAsia" w:ascii="宋体" w:hAnsi="宋体" w:cs="宋体"/>
                <w:szCs w:val="21"/>
                <w:lang w:val="zh-CN"/>
              </w:rPr>
              <w:t>分，分数扣完为止，最低分0分。</w:t>
            </w:r>
          </w:p>
        </w:tc>
      </w:tr>
      <w:tr w14:paraId="22EC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4" w:type="dxa"/>
            <w:vMerge w:val="restart"/>
            <w:noWrap w:val="0"/>
            <w:vAlign w:val="center"/>
          </w:tcPr>
          <w:p w14:paraId="6776A28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lang w:val="en-US" w:eastAsia="zh-CN"/>
              </w:rPr>
              <w:t>四</w:t>
            </w:r>
          </w:p>
        </w:tc>
        <w:tc>
          <w:tcPr>
            <w:tcW w:w="3375" w:type="dxa"/>
            <w:gridSpan w:val="4"/>
            <w:noWrap w:val="0"/>
            <w:vAlign w:val="center"/>
          </w:tcPr>
          <w:p w14:paraId="0DDDF20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Cs w:val="21"/>
              </w:rPr>
              <w:t>诚信情况</w:t>
            </w:r>
          </w:p>
        </w:tc>
        <w:tc>
          <w:tcPr>
            <w:tcW w:w="5500" w:type="dxa"/>
            <w:noWrap w:val="0"/>
            <w:vAlign w:val="center"/>
          </w:tcPr>
          <w:p w14:paraId="7A016DF1">
            <w:pPr>
              <w:jc w:val="center"/>
              <w:rPr>
                <w:rFonts w:hint="eastAsia" w:ascii="宋体" w:hAnsi="宋体" w:eastAsia="宋体" w:cs="宋体"/>
                <w:color w:val="auto"/>
                <w:kern w:val="2"/>
                <w:sz w:val="21"/>
                <w:szCs w:val="21"/>
                <w:lang w:val="en-US" w:eastAsia="zh-CN" w:bidi="ar-SA"/>
              </w:rPr>
            </w:pPr>
            <w:r>
              <w:rPr>
                <w:rFonts w:hint="eastAsia" w:ascii="宋体" w:hAnsi="宋体" w:cs="宋体"/>
                <w:szCs w:val="21"/>
                <w:lang w:val="en-US" w:eastAsia="zh-CN"/>
              </w:rPr>
              <w:t>5</w:t>
            </w:r>
          </w:p>
        </w:tc>
      </w:tr>
      <w:tr w14:paraId="3B1D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22B37CD6">
            <w:pPr>
              <w:jc w:val="left"/>
              <w:rPr>
                <w:rFonts w:hint="eastAsia" w:ascii="宋体" w:hAnsi="宋体" w:eastAsia="宋体" w:cs="宋体"/>
                <w:sz w:val="24"/>
                <w:szCs w:val="24"/>
              </w:rPr>
            </w:pPr>
          </w:p>
        </w:tc>
        <w:tc>
          <w:tcPr>
            <w:tcW w:w="639" w:type="dxa"/>
            <w:noWrap w:val="0"/>
            <w:vAlign w:val="center"/>
          </w:tcPr>
          <w:p w14:paraId="6D4EC173">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0" w:type="dxa"/>
            <w:noWrap w:val="0"/>
            <w:vAlign w:val="center"/>
          </w:tcPr>
          <w:p w14:paraId="654F1B7C">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51" w:type="dxa"/>
            <w:noWrap w:val="0"/>
            <w:vAlign w:val="center"/>
          </w:tcPr>
          <w:p w14:paraId="41315889">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权重</w:t>
            </w:r>
          </w:p>
        </w:tc>
        <w:tc>
          <w:tcPr>
            <w:tcW w:w="955" w:type="dxa"/>
            <w:noWrap w:val="0"/>
            <w:vAlign w:val="center"/>
          </w:tcPr>
          <w:p w14:paraId="1151F696">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5500" w:type="dxa"/>
            <w:noWrap w:val="0"/>
            <w:vAlign w:val="center"/>
          </w:tcPr>
          <w:p w14:paraId="5FD42AF8">
            <w:pPr>
              <w:jc w:val="center"/>
              <w:rPr>
                <w:rFonts w:hint="eastAsia" w:ascii="宋体" w:hAnsi="宋体" w:eastAsia="宋体" w:cs="宋体"/>
                <w:color w:val="000000"/>
                <w:sz w:val="24"/>
                <w:szCs w:val="24"/>
                <w:lang w:val="en-US" w:eastAsia="zh-CN"/>
              </w:rPr>
            </w:pPr>
            <w:r>
              <w:rPr>
                <w:rFonts w:hint="eastAsia" w:ascii="宋体" w:hAnsi="宋体" w:eastAsia="宋体" w:cs="宋体"/>
                <w:szCs w:val="21"/>
              </w:rPr>
              <w:t>评分准则</w:t>
            </w:r>
          </w:p>
        </w:tc>
      </w:tr>
      <w:tr w14:paraId="2B1E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top"/>
          </w:tcPr>
          <w:p w14:paraId="580C14CE">
            <w:pPr>
              <w:jc w:val="left"/>
              <w:rPr>
                <w:rFonts w:hint="eastAsia" w:ascii="宋体" w:hAnsi="宋体" w:eastAsia="宋体" w:cs="宋体"/>
                <w:sz w:val="24"/>
                <w:szCs w:val="24"/>
              </w:rPr>
            </w:pPr>
          </w:p>
        </w:tc>
        <w:tc>
          <w:tcPr>
            <w:tcW w:w="639" w:type="dxa"/>
            <w:noWrap w:val="0"/>
            <w:vAlign w:val="center"/>
          </w:tcPr>
          <w:p w14:paraId="492DFD5D">
            <w:pPr>
              <w:jc w:val="center"/>
              <w:rPr>
                <w:rFonts w:hint="eastAsia" w:ascii="宋体" w:hAnsi="宋体" w:eastAsia="宋体" w:cs="宋体"/>
                <w:sz w:val="22"/>
                <w:szCs w:val="22"/>
              </w:rPr>
            </w:pPr>
            <w:r>
              <w:rPr>
                <w:rFonts w:hint="eastAsia" w:ascii="宋体" w:hAnsi="宋体" w:eastAsia="宋体" w:cs="宋体"/>
                <w:sz w:val="22"/>
                <w:szCs w:val="22"/>
              </w:rPr>
              <w:t>1</w:t>
            </w:r>
          </w:p>
        </w:tc>
        <w:tc>
          <w:tcPr>
            <w:tcW w:w="1130" w:type="dxa"/>
            <w:noWrap w:val="0"/>
            <w:vAlign w:val="center"/>
          </w:tcPr>
          <w:p w14:paraId="27408A83">
            <w:pPr>
              <w:jc w:val="center"/>
              <w:rPr>
                <w:rFonts w:hint="eastAsia" w:ascii="宋体" w:hAnsi="宋体" w:eastAsia="宋体" w:cs="宋体"/>
                <w:sz w:val="22"/>
                <w:szCs w:val="22"/>
              </w:rPr>
            </w:pPr>
            <w:r>
              <w:rPr>
                <w:rFonts w:hint="eastAsia" w:ascii="宋体" w:hAnsi="宋体" w:eastAsia="宋体" w:cs="宋体"/>
                <w:sz w:val="22"/>
                <w:szCs w:val="22"/>
              </w:rPr>
              <w:t>诚信评价</w:t>
            </w:r>
          </w:p>
        </w:tc>
        <w:tc>
          <w:tcPr>
            <w:tcW w:w="651" w:type="dxa"/>
            <w:noWrap w:val="0"/>
            <w:vAlign w:val="center"/>
          </w:tcPr>
          <w:p w14:paraId="3388B145">
            <w:pPr>
              <w:jc w:val="center"/>
              <w:rPr>
                <w:rFonts w:hint="eastAsia" w:ascii="宋体" w:hAnsi="宋体" w:eastAsia="宋体" w:cs="宋体"/>
                <w:sz w:val="22"/>
                <w:szCs w:val="22"/>
              </w:rPr>
            </w:pPr>
            <w:r>
              <w:rPr>
                <w:rFonts w:hint="eastAsia" w:ascii="宋体" w:hAnsi="宋体" w:cs="宋体"/>
                <w:sz w:val="22"/>
                <w:szCs w:val="22"/>
                <w:lang w:val="en-US" w:eastAsia="zh-CN"/>
              </w:rPr>
              <w:t>5</w:t>
            </w:r>
          </w:p>
        </w:tc>
        <w:tc>
          <w:tcPr>
            <w:tcW w:w="955" w:type="dxa"/>
            <w:noWrap w:val="0"/>
            <w:vAlign w:val="center"/>
          </w:tcPr>
          <w:p w14:paraId="012E1E5F">
            <w:pPr>
              <w:jc w:val="center"/>
              <w:rPr>
                <w:rFonts w:hint="eastAsia" w:ascii="宋体" w:hAnsi="宋体" w:eastAsia="宋体" w:cs="宋体"/>
                <w:sz w:val="22"/>
                <w:szCs w:val="22"/>
              </w:rPr>
            </w:pPr>
            <w:r>
              <w:rPr>
                <w:rFonts w:hint="eastAsia" w:ascii="宋体" w:hAnsi="宋体" w:eastAsia="宋体" w:cs="宋体"/>
                <w:sz w:val="22"/>
                <w:szCs w:val="22"/>
              </w:rPr>
              <w:t>专家打分</w:t>
            </w:r>
          </w:p>
        </w:tc>
        <w:tc>
          <w:tcPr>
            <w:tcW w:w="5500" w:type="dxa"/>
            <w:noWrap w:val="0"/>
            <w:vAlign w:val="top"/>
          </w:tcPr>
          <w:p w14:paraId="6A7E53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cs="宋体"/>
                <w:color w:val="000000"/>
                <w:sz w:val="22"/>
                <w:szCs w:val="22"/>
                <w:lang w:val="en-US" w:eastAsia="zh-CN"/>
              </w:rPr>
              <w:t>5</w:t>
            </w:r>
            <w:r>
              <w:rPr>
                <w:rFonts w:hint="eastAsia" w:ascii="宋体" w:hAnsi="宋体" w:cs="宋体"/>
                <w:color w:val="000000"/>
                <w:sz w:val="22"/>
                <w:szCs w:val="22"/>
              </w:rPr>
              <w:t>分。（</w:t>
            </w:r>
            <w:r>
              <w:rPr>
                <w:rFonts w:hint="eastAsia" w:ascii="宋体" w:hAnsi="宋体" w:cs="宋体"/>
                <w:color w:val="000000"/>
                <w:sz w:val="22"/>
                <w:szCs w:val="22"/>
                <w:lang w:val="en-US" w:eastAsia="zh-CN"/>
              </w:rPr>
              <w:t>招标</w:t>
            </w:r>
            <w:r>
              <w:rPr>
                <w:rFonts w:hint="eastAsia" w:ascii="宋体" w:hAnsi="宋体" w:cs="宋体"/>
                <w:color w:val="000000"/>
                <w:sz w:val="22"/>
                <w:szCs w:val="22"/>
              </w:rPr>
              <w:t>办通过“信用中国”、“中国政府采购网”、“深圳市政府采购监管网”以及市、区财政部门认定的其他渠道查询供应商信用信息，投标人无需提供证明材料。）</w:t>
            </w:r>
          </w:p>
        </w:tc>
      </w:tr>
    </w:tbl>
    <w:p w14:paraId="16C6EC7B">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19329C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bookmarkStart w:id="0" w:name="InsertEnd"/>
      <w:bookmarkEnd w:id="0"/>
    </w:p>
    <w:p w14:paraId="0B3C0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sz w:val="21"/>
          <w:szCs w:val="21"/>
        </w:rPr>
      </w:pPr>
      <w:r>
        <w:rPr>
          <w:rFonts w:hint="eastAsia" w:ascii="宋体" w:hAnsi="宋体"/>
          <w:color w:val="auto"/>
          <w:sz w:val="40"/>
          <w:szCs w:val="40"/>
          <w:lang w:val="en-US" w:eastAsia="zh-CN"/>
        </w:rPr>
        <w:t>参数需求</w:t>
      </w:r>
    </w:p>
    <w:tbl>
      <w:tblPr>
        <w:tblStyle w:val="15"/>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767"/>
        <w:gridCol w:w="2136"/>
        <w:gridCol w:w="800"/>
        <w:gridCol w:w="917"/>
        <w:gridCol w:w="1766"/>
        <w:gridCol w:w="1117"/>
      </w:tblGrid>
      <w:tr w14:paraId="56A1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9" w:type="dxa"/>
            <w:shd w:val="clear" w:color="auto" w:fill="B8CCE4"/>
            <w:noWrap w:val="0"/>
            <w:vAlign w:val="center"/>
          </w:tcPr>
          <w:p w14:paraId="6A67C5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项目名称</w:t>
            </w:r>
          </w:p>
        </w:tc>
        <w:tc>
          <w:tcPr>
            <w:tcW w:w="767" w:type="dxa"/>
            <w:shd w:val="clear" w:color="auto" w:fill="B8CCE4"/>
            <w:noWrap w:val="0"/>
            <w:vAlign w:val="center"/>
          </w:tcPr>
          <w:p w14:paraId="6A2595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序号</w:t>
            </w:r>
          </w:p>
        </w:tc>
        <w:tc>
          <w:tcPr>
            <w:tcW w:w="2136" w:type="dxa"/>
            <w:shd w:val="clear" w:color="auto" w:fill="B8CCE4"/>
            <w:noWrap w:val="0"/>
            <w:vAlign w:val="center"/>
          </w:tcPr>
          <w:p w14:paraId="62D069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服务内容</w:t>
            </w:r>
          </w:p>
        </w:tc>
        <w:tc>
          <w:tcPr>
            <w:tcW w:w="800" w:type="dxa"/>
            <w:shd w:val="clear" w:color="auto" w:fill="B8CCE4"/>
            <w:noWrap w:val="0"/>
            <w:vAlign w:val="center"/>
          </w:tcPr>
          <w:p w14:paraId="5FA2A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数量</w:t>
            </w:r>
          </w:p>
        </w:tc>
        <w:tc>
          <w:tcPr>
            <w:tcW w:w="917" w:type="dxa"/>
            <w:shd w:val="clear" w:color="auto" w:fill="B8CCE4"/>
            <w:noWrap w:val="0"/>
            <w:vAlign w:val="center"/>
          </w:tcPr>
          <w:p w14:paraId="3444E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单位</w:t>
            </w:r>
          </w:p>
        </w:tc>
        <w:tc>
          <w:tcPr>
            <w:tcW w:w="1766" w:type="dxa"/>
            <w:shd w:val="clear" w:color="auto" w:fill="B8CCE4"/>
            <w:noWrap w:val="0"/>
            <w:vAlign w:val="center"/>
          </w:tcPr>
          <w:p w14:paraId="25E255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预算限额（元）</w:t>
            </w:r>
          </w:p>
        </w:tc>
        <w:tc>
          <w:tcPr>
            <w:tcW w:w="1117" w:type="dxa"/>
            <w:shd w:val="clear" w:color="auto" w:fill="B8CCE4"/>
            <w:noWrap w:val="0"/>
            <w:vAlign w:val="center"/>
          </w:tcPr>
          <w:p w14:paraId="4916D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备注</w:t>
            </w:r>
          </w:p>
        </w:tc>
      </w:tr>
      <w:tr w14:paraId="3369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09" w:type="dxa"/>
            <w:vMerge w:val="restart"/>
            <w:noWrap w:val="0"/>
            <w:vAlign w:val="center"/>
          </w:tcPr>
          <w:p w14:paraId="7C44BF0E">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加智系统功能升级改造</w:t>
            </w:r>
          </w:p>
        </w:tc>
        <w:tc>
          <w:tcPr>
            <w:tcW w:w="767" w:type="dxa"/>
            <w:noWrap w:val="0"/>
            <w:vAlign w:val="center"/>
          </w:tcPr>
          <w:p w14:paraId="35C3CB0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2136" w:type="dxa"/>
            <w:noWrap w:val="0"/>
            <w:vAlign w:val="center"/>
          </w:tcPr>
          <w:p w14:paraId="61757D21">
            <w:pPr>
              <w:widowControl/>
              <w:spacing w:before="12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000000"/>
                <w:szCs w:val="21"/>
              </w:rPr>
              <w:t>检验科二级库改造</w:t>
            </w:r>
          </w:p>
        </w:tc>
        <w:tc>
          <w:tcPr>
            <w:tcW w:w="800" w:type="dxa"/>
            <w:noWrap w:val="0"/>
            <w:vAlign w:val="center"/>
          </w:tcPr>
          <w:p w14:paraId="3ED4CEA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917" w:type="dxa"/>
            <w:noWrap w:val="0"/>
            <w:vAlign w:val="center"/>
          </w:tcPr>
          <w:p w14:paraId="7639165F">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1766" w:type="dxa"/>
            <w:noWrap w:val="0"/>
            <w:vAlign w:val="center"/>
          </w:tcPr>
          <w:p w14:paraId="1A4DC7AA">
            <w:pPr>
              <w:pStyle w:val="52"/>
              <w:spacing w:line="240" w:lineRule="auto"/>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000000"/>
                <w:sz w:val="21"/>
                <w:lang w:val="en-US" w:eastAsia="zh-CN"/>
              </w:rPr>
              <w:t>105</w:t>
            </w:r>
            <w:r>
              <w:rPr>
                <w:rFonts w:ascii="宋体" w:hAnsi="宋体" w:cs="宋体"/>
                <w:color w:val="000000"/>
                <w:sz w:val="21"/>
                <w:lang w:val="en-US"/>
              </w:rPr>
              <w:t>,000.00</w:t>
            </w:r>
          </w:p>
        </w:tc>
        <w:tc>
          <w:tcPr>
            <w:tcW w:w="1117" w:type="dxa"/>
            <w:noWrap w:val="0"/>
            <w:vAlign w:val="center"/>
          </w:tcPr>
          <w:p w14:paraId="0E9D6CAA">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拒绝进口</w:t>
            </w:r>
          </w:p>
        </w:tc>
      </w:tr>
      <w:tr w14:paraId="5567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09" w:type="dxa"/>
            <w:vMerge w:val="continue"/>
            <w:noWrap w:val="0"/>
            <w:vAlign w:val="center"/>
          </w:tcPr>
          <w:p w14:paraId="415D5FA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p>
        </w:tc>
        <w:tc>
          <w:tcPr>
            <w:tcW w:w="767" w:type="dxa"/>
            <w:noWrap w:val="0"/>
            <w:vAlign w:val="center"/>
          </w:tcPr>
          <w:p w14:paraId="5A7DF8A9">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2136" w:type="dxa"/>
            <w:noWrap w:val="0"/>
            <w:vAlign w:val="center"/>
          </w:tcPr>
          <w:p w14:paraId="29863738">
            <w:pPr>
              <w:widowControl/>
              <w:spacing w:before="12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bCs/>
                <w:color w:val="000000"/>
                <w:szCs w:val="21"/>
                <w:lang w:val="en-US" w:eastAsia="zh-CN"/>
              </w:rPr>
              <w:t>后勤物资管理系统改造</w:t>
            </w:r>
          </w:p>
        </w:tc>
        <w:tc>
          <w:tcPr>
            <w:tcW w:w="800" w:type="dxa"/>
            <w:noWrap w:val="0"/>
            <w:vAlign w:val="center"/>
          </w:tcPr>
          <w:p w14:paraId="1221CFAA">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917" w:type="dxa"/>
            <w:noWrap w:val="0"/>
            <w:vAlign w:val="center"/>
          </w:tcPr>
          <w:p w14:paraId="64A03D6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1766" w:type="dxa"/>
            <w:noWrap w:val="0"/>
            <w:vAlign w:val="center"/>
          </w:tcPr>
          <w:p w14:paraId="7353D9DA">
            <w:pPr>
              <w:pStyle w:val="52"/>
              <w:spacing w:line="240" w:lineRule="auto"/>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000000"/>
                <w:sz w:val="21"/>
                <w:lang w:val="en-US" w:eastAsia="zh-CN"/>
              </w:rPr>
              <w:t>15</w:t>
            </w:r>
            <w:r>
              <w:rPr>
                <w:rFonts w:ascii="宋体" w:hAnsi="宋体" w:cs="宋体"/>
                <w:color w:val="000000"/>
                <w:sz w:val="21"/>
                <w:lang w:val="en-US"/>
              </w:rPr>
              <w:t>,000.00</w:t>
            </w:r>
          </w:p>
        </w:tc>
        <w:tc>
          <w:tcPr>
            <w:tcW w:w="1117" w:type="dxa"/>
            <w:noWrap w:val="0"/>
            <w:vAlign w:val="center"/>
          </w:tcPr>
          <w:p w14:paraId="22C2AB9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拒绝进口</w:t>
            </w:r>
          </w:p>
        </w:tc>
      </w:tr>
      <w:tr w14:paraId="155E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09" w:type="dxa"/>
            <w:vMerge w:val="continue"/>
            <w:noWrap w:val="0"/>
            <w:vAlign w:val="center"/>
          </w:tcPr>
          <w:p w14:paraId="70B7599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p>
        </w:tc>
        <w:tc>
          <w:tcPr>
            <w:tcW w:w="767" w:type="dxa"/>
            <w:noWrap w:val="0"/>
            <w:vAlign w:val="center"/>
          </w:tcPr>
          <w:p w14:paraId="10842597">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2136" w:type="dxa"/>
            <w:noWrap w:val="0"/>
            <w:vAlign w:val="center"/>
          </w:tcPr>
          <w:p w14:paraId="04DD5D4D">
            <w:pPr>
              <w:widowControl/>
              <w:spacing w:before="120" w:line="360" w:lineRule="auto"/>
              <w:jc w:val="center"/>
              <w:rPr>
                <w:rFonts w:hint="eastAsia" w:ascii="宋体" w:hAnsi="宋体" w:eastAsia="宋体" w:cs="宋体"/>
                <w:color w:val="auto"/>
                <w:kern w:val="0"/>
                <w:sz w:val="22"/>
                <w:szCs w:val="22"/>
                <w:highlight w:val="none"/>
                <w:lang w:val="en-US" w:eastAsia="zh-CN"/>
              </w:rPr>
            </w:pPr>
            <w:r>
              <w:rPr>
                <w:rFonts w:hint="eastAsia" w:ascii="Segoe UI" w:hAnsi="Segoe UI" w:eastAsia="Segoe UI" w:cs="Segoe UI"/>
                <w:i w:val="0"/>
                <w:iCs w:val="0"/>
                <w:caps w:val="0"/>
                <w:spacing w:val="8"/>
                <w:sz w:val="21"/>
                <w:szCs w:val="21"/>
                <w:shd w:val="clear" w:color="auto" w:fill="FFFFFF"/>
              </w:rPr>
              <w:t>全民健康信息平台数据采集改造</w:t>
            </w:r>
          </w:p>
        </w:tc>
        <w:tc>
          <w:tcPr>
            <w:tcW w:w="800" w:type="dxa"/>
            <w:noWrap w:val="0"/>
            <w:vAlign w:val="center"/>
          </w:tcPr>
          <w:p w14:paraId="04CB226A">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917" w:type="dxa"/>
            <w:noWrap w:val="0"/>
            <w:vAlign w:val="center"/>
          </w:tcPr>
          <w:p w14:paraId="4C21ECA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1766" w:type="dxa"/>
            <w:noWrap w:val="0"/>
            <w:vAlign w:val="center"/>
          </w:tcPr>
          <w:p w14:paraId="1842FD02">
            <w:pPr>
              <w:pStyle w:val="52"/>
              <w:spacing w:line="240" w:lineRule="auto"/>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000000"/>
                <w:sz w:val="21"/>
                <w:lang w:val="en-US" w:eastAsia="zh-CN"/>
              </w:rPr>
              <w:t>45</w:t>
            </w:r>
            <w:r>
              <w:rPr>
                <w:rFonts w:ascii="宋体" w:hAnsi="宋体" w:cs="宋体"/>
                <w:color w:val="000000"/>
                <w:sz w:val="21"/>
                <w:lang w:val="en-US"/>
              </w:rPr>
              <w:t>,000.00</w:t>
            </w:r>
          </w:p>
        </w:tc>
        <w:tc>
          <w:tcPr>
            <w:tcW w:w="1117" w:type="dxa"/>
            <w:noWrap w:val="0"/>
            <w:vAlign w:val="center"/>
          </w:tcPr>
          <w:p w14:paraId="1C70150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拒绝进口</w:t>
            </w:r>
          </w:p>
        </w:tc>
      </w:tr>
    </w:tbl>
    <w:tbl>
      <w:tblPr>
        <w:tblStyle w:val="15"/>
        <w:tblpPr w:leftFromText="180" w:rightFromText="180" w:vertAnchor="text" w:horzAnchor="page" w:tblpX="1627" w:tblpY="317"/>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034"/>
        <w:gridCol w:w="6123"/>
      </w:tblGrid>
      <w:tr w14:paraId="4F3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3" w:type="dxa"/>
            <w:noWrap w:val="0"/>
            <w:vAlign w:val="center"/>
          </w:tcPr>
          <w:p w14:paraId="0D6BB40F">
            <w:pPr>
              <w:jc w:val="center"/>
              <w:rPr>
                <w:rFonts w:ascii="宋体" w:hAnsi="宋体" w:cs="宋体"/>
                <w:b/>
                <w:bCs w:val="0"/>
                <w:color w:val="000000"/>
                <w:szCs w:val="21"/>
              </w:rPr>
            </w:pPr>
            <w:r>
              <w:rPr>
                <w:rFonts w:hint="eastAsia" w:ascii="宋体" w:hAnsi="宋体" w:cs="宋体"/>
                <w:b/>
                <w:bCs w:val="0"/>
                <w:color w:val="000000"/>
                <w:szCs w:val="21"/>
              </w:rPr>
              <w:t>序号</w:t>
            </w:r>
          </w:p>
        </w:tc>
        <w:tc>
          <w:tcPr>
            <w:tcW w:w="2034" w:type="dxa"/>
            <w:noWrap w:val="0"/>
            <w:vAlign w:val="center"/>
          </w:tcPr>
          <w:p w14:paraId="5A7C066D">
            <w:pPr>
              <w:widowControl/>
              <w:jc w:val="center"/>
              <w:rPr>
                <w:rFonts w:ascii="宋体" w:hAnsi="宋体" w:cs="宋体"/>
                <w:b/>
                <w:bCs w:val="0"/>
                <w:color w:val="000000"/>
                <w:szCs w:val="21"/>
              </w:rPr>
            </w:pPr>
            <w:r>
              <w:rPr>
                <w:rFonts w:hint="eastAsia" w:ascii="宋体" w:hAnsi="宋体" w:cs="宋体"/>
                <w:b/>
                <w:bCs w:val="0"/>
                <w:color w:val="000000"/>
                <w:szCs w:val="21"/>
              </w:rPr>
              <w:t>系统功能</w:t>
            </w:r>
          </w:p>
        </w:tc>
        <w:tc>
          <w:tcPr>
            <w:tcW w:w="6123" w:type="dxa"/>
            <w:noWrap w:val="0"/>
            <w:vAlign w:val="center"/>
          </w:tcPr>
          <w:p w14:paraId="19305A8B">
            <w:pPr>
              <w:jc w:val="center"/>
              <w:rPr>
                <w:rFonts w:ascii="宋体" w:hAnsi="宋体" w:cs="宋体"/>
                <w:b/>
                <w:bCs w:val="0"/>
                <w:color w:val="000000"/>
                <w:szCs w:val="21"/>
              </w:rPr>
            </w:pPr>
            <w:r>
              <w:rPr>
                <w:rFonts w:hint="eastAsia" w:ascii="宋体" w:hAnsi="宋体" w:cs="宋体"/>
                <w:b/>
                <w:bCs w:val="0"/>
                <w:color w:val="000000"/>
                <w:szCs w:val="21"/>
              </w:rPr>
              <w:t>技术参数</w:t>
            </w:r>
          </w:p>
        </w:tc>
      </w:tr>
      <w:tr w14:paraId="05E1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restart"/>
            <w:noWrap w:val="0"/>
            <w:vAlign w:val="center"/>
          </w:tcPr>
          <w:p w14:paraId="742B9F8B">
            <w:pPr>
              <w:jc w:val="center"/>
              <w:rPr>
                <w:rFonts w:ascii="宋体" w:hAnsi="宋体" w:cs="宋体"/>
                <w:bCs/>
                <w:color w:val="000000"/>
                <w:szCs w:val="21"/>
              </w:rPr>
            </w:pPr>
            <w:r>
              <w:rPr>
                <w:rFonts w:ascii="宋体" w:hAnsi="宋体" w:cs="宋体"/>
                <w:bCs/>
                <w:color w:val="000000"/>
                <w:szCs w:val="21"/>
              </w:rPr>
              <w:t>1</w:t>
            </w:r>
          </w:p>
        </w:tc>
        <w:tc>
          <w:tcPr>
            <w:tcW w:w="2034" w:type="dxa"/>
            <w:vMerge w:val="restart"/>
            <w:noWrap w:val="0"/>
            <w:vAlign w:val="center"/>
          </w:tcPr>
          <w:p w14:paraId="3E6946B3">
            <w:pPr>
              <w:jc w:val="center"/>
              <w:rPr>
                <w:rFonts w:hint="eastAsia" w:ascii="宋体" w:hAnsi="宋体" w:eastAsia="宋体" w:cs="宋体"/>
                <w:bCs/>
                <w:color w:val="000000"/>
                <w:szCs w:val="21"/>
                <w:lang w:eastAsia="zh-CN"/>
              </w:rPr>
            </w:pPr>
            <w:r>
              <w:rPr>
                <w:rFonts w:hint="eastAsia" w:ascii="宋体" w:hAnsi="宋体" w:cs="宋体"/>
                <w:color w:val="000000"/>
                <w:szCs w:val="21"/>
              </w:rPr>
              <w:t>检验科二级库改造</w:t>
            </w:r>
            <w:r>
              <w:rPr>
                <w:rFonts w:hint="eastAsia" w:ascii="宋体" w:hAnsi="宋体" w:cs="宋体"/>
                <w:color w:val="000000"/>
                <w:szCs w:val="21"/>
                <w:lang w:eastAsia="zh-CN"/>
              </w:rPr>
              <w:t>（</w:t>
            </w:r>
            <w:r>
              <w:rPr>
                <w:rFonts w:hint="eastAsia" w:ascii="宋体" w:hAnsi="宋体" w:cs="宋体"/>
                <w:b/>
                <w:bCs/>
                <w:color w:val="auto"/>
                <w:szCs w:val="21"/>
                <w:highlight w:val="none"/>
                <w:shd w:val="clear" w:color="auto" w:fill="auto"/>
                <w:lang w:val="en-US" w:eastAsia="zh-CN"/>
              </w:rPr>
              <w:t>包含龙华院区</w:t>
            </w:r>
            <w:r>
              <w:rPr>
                <w:rFonts w:hint="eastAsia" w:ascii="宋体" w:hAnsi="宋体" w:cs="宋体"/>
                <w:color w:val="000000"/>
                <w:szCs w:val="21"/>
                <w:lang w:eastAsia="zh-CN"/>
              </w:rPr>
              <w:t>）</w:t>
            </w:r>
          </w:p>
        </w:tc>
        <w:tc>
          <w:tcPr>
            <w:tcW w:w="6123" w:type="dxa"/>
            <w:noWrap w:val="0"/>
            <w:vAlign w:val="top"/>
          </w:tcPr>
          <w:p w14:paraId="7D3B493B">
            <w:pPr>
              <w:spacing w:line="276" w:lineRule="auto"/>
              <w:jc w:val="left"/>
              <w:rPr>
                <w:rFonts w:ascii="宋体" w:hAnsi="宋体" w:cs="宋体"/>
                <w:bCs/>
                <w:color w:val="000000"/>
                <w:szCs w:val="21"/>
              </w:rPr>
            </w:pPr>
            <w:r>
              <w:rPr>
                <w:rFonts w:ascii="仿宋" w:hAnsi="仿宋" w:cs="仿宋_GB2312"/>
              </w:rPr>
              <w:t>1.1.1</w:t>
            </w:r>
            <w:r>
              <w:rPr>
                <w:rFonts w:hint="eastAsia" w:ascii="宋体" w:hAnsi="宋体"/>
              </w:rPr>
              <w:t>▲</w:t>
            </w:r>
            <w:r>
              <w:rPr>
                <w:rFonts w:hint="eastAsia" w:ascii="宋体" w:hAnsi="宋体" w:cs="宋体"/>
                <w:bCs/>
                <w:color w:val="000000"/>
                <w:szCs w:val="21"/>
              </w:rPr>
              <w:t>修改流程</w:t>
            </w:r>
            <w:r>
              <w:rPr>
                <w:rFonts w:hint="eastAsia" w:ascii="宋体" w:hAnsi="宋体" w:cs="宋体"/>
                <w:bCs/>
                <w:color w:val="000000"/>
                <w:szCs w:val="21"/>
                <w:lang w:eastAsia="zh-CN"/>
              </w:rPr>
              <w:t>：</w:t>
            </w:r>
            <w:r>
              <w:rPr>
                <w:rFonts w:hint="eastAsia" w:ascii="宋体" w:hAnsi="宋体" w:cs="宋体"/>
                <w:b/>
                <w:bCs/>
                <w:color w:val="auto"/>
                <w:szCs w:val="21"/>
                <w:highlight w:val="none"/>
                <w:shd w:val="clear" w:color="auto" w:fill="auto"/>
                <w:lang w:val="en-US" w:eastAsia="zh-CN"/>
              </w:rPr>
              <w:t>修改检验科先分组，设备科后审核入库的流程，变更为设备科先入库，出库至检验科二级库，检验科仓库管理员进行分组后审核入库至检验科仓库，检验科仓库管理员在实际使用时出库至检验科。</w:t>
            </w:r>
          </w:p>
        </w:tc>
      </w:tr>
      <w:tr w14:paraId="655C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C77C1D5">
            <w:pPr>
              <w:jc w:val="center"/>
              <w:rPr>
                <w:rFonts w:ascii="宋体" w:hAnsi="宋体" w:cs="宋体"/>
                <w:bCs/>
                <w:color w:val="000000"/>
                <w:szCs w:val="21"/>
              </w:rPr>
            </w:pPr>
          </w:p>
        </w:tc>
        <w:tc>
          <w:tcPr>
            <w:tcW w:w="2034" w:type="dxa"/>
            <w:vMerge w:val="continue"/>
            <w:noWrap w:val="0"/>
            <w:vAlign w:val="center"/>
          </w:tcPr>
          <w:p w14:paraId="5CD5F4FB">
            <w:pPr>
              <w:jc w:val="center"/>
              <w:rPr>
                <w:rFonts w:ascii="宋体" w:hAnsi="宋体" w:cs="宋体"/>
                <w:color w:val="000000"/>
                <w:szCs w:val="21"/>
              </w:rPr>
            </w:pPr>
          </w:p>
        </w:tc>
        <w:tc>
          <w:tcPr>
            <w:tcW w:w="6123" w:type="dxa"/>
            <w:noWrap w:val="0"/>
            <w:vAlign w:val="top"/>
          </w:tcPr>
          <w:p w14:paraId="090DAE9E">
            <w:pPr>
              <w:spacing w:line="276" w:lineRule="auto"/>
              <w:jc w:val="left"/>
              <w:rPr>
                <w:rFonts w:hint="default" w:ascii="仿宋" w:hAnsi="仿宋" w:cs="仿宋_GB2312"/>
                <w:lang w:val="en-US"/>
              </w:rPr>
            </w:pPr>
            <w:r>
              <w:rPr>
                <w:rFonts w:ascii="仿宋" w:hAnsi="仿宋" w:cs="仿宋_GB2312"/>
              </w:rPr>
              <w:t>1.1.2</w:t>
            </w:r>
            <w:r>
              <w:rPr>
                <w:rFonts w:hint="eastAsia" w:ascii="仿宋" w:hAnsi="仿宋" w:cs="仿宋_GB2312"/>
                <w:lang w:val="en-US" w:eastAsia="zh-CN"/>
              </w:rPr>
              <w:t>新增检验科仓库入库记录，</w:t>
            </w:r>
            <w:r>
              <w:rPr>
                <w:rFonts w:ascii="Segoe UI" w:hAnsi="Segoe UI" w:eastAsia="Segoe UI" w:cs="Segoe UI"/>
                <w:i w:val="0"/>
                <w:iCs w:val="0"/>
                <w:caps w:val="0"/>
                <w:spacing w:val="8"/>
                <w:sz w:val="21"/>
                <w:szCs w:val="21"/>
                <w:shd w:val="clear" w:color="auto" w:fill="FFFFFF"/>
              </w:rPr>
              <w:t>支持入库单</w:t>
            </w:r>
            <w:r>
              <w:rPr>
                <w:rFonts w:hint="eastAsia" w:ascii="仿宋" w:hAnsi="仿宋" w:cs="仿宋_GB2312"/>
                <w:lang w:val="en-US" w:eastAsia="zh-CN"/>
              </w:rPr>
              <w:t>审核、撤销、查询等功能；</w:t>
            </w:r>
            <w:r>
              <w:rPr>
                <w:rFonts w:ascii="Segoe UI" w:hAnsi="Segoe UI" w:eastAsia="Segoe UI" w:cs="Segoe UI"/>
                <w:i w:val="0"/>
                <w:iCs w:val="0"/>
                <w:caps w:val="0"/>
                <w:spacing w:val="8"/>
                <w:sz w:val="21"/>
                <w:szCs w:val="21"/>
                <w:shd w:val="clear" w:color="auto" w:fill="FFFFFF"/>
              </w:rPr>
              <w:t>入库信息包括：</w:t>
            </w:r>
            <w:r>
              <w:rPr>
                <w:rFonts w:hint="eastAsia" w:ascii="仿宋" w:hAnsi="仿宋" w:cs="仿宋_GB2312"/>
                <w:lang w:val="en-US" w:eastAsia="zh-CN"/>
              </w:rPr>
              <w:t>状态、入库编号、入库类型、总数量、总金额、入库日期、制单人、申领人、审核人、备注等</w:t>
            </w:r>
          </w:p>
        </w:tc>
      </w:tr>
      <w:tr w14:paraId="7C61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70CD4902">
            <w:pPr>
              <w:jc w:val="center"/>
              <w:rPr>
                <w:rFonts w:ascii="宋体" w:hAnsi="宋体" w:cs="宋体"/>
                <w:bCs/>
                <w:color w:val="000000"/>
                <w:szCs w:val="21"/>
              </w:rPr>
            </w:pPr>
          </w:p>
        </w:tc>
        <w:tc>
          <w:tcPr>
            <w:tcW w:w="2034" w:type="dxa"/>
            <w:vMerge w:val="continue"/>
            <w:noWrap w:val="0"/>
            <w:vAlign w:val="center"/>
          </w:tcPr>
          <w:p w14:paraId="6516BA83">
            <w:pPr>
              <w:jc w:val="center"/>
              <w:rPr>
                <w:rFonts w:ascii="宋体" w:hAnsi="宋体" w:cs="宋体"/>
                <w:color w:val="000000"/>
                <w:szCs w:val="21"/>
              </w:rPr>
            </w:pPr>
          </w:p>
        </w:tc>
        <w:tc>
          <w:tcPr>
            <w:tcW w:w="6123" w:type="dxa"/>
            <w:noWrap w:val="0"/>
            <w:vAlign w:val="top"/>
          </w:tcPr>
          <w:p w14:paraId="7AE5B27D">
            <w:pPr>
              <w:spacing w:line="276" w:lineRule="auto"/>
              <w:jc w:val="left"/>
              <w:rPr>
                <w:rFonts w:hint="default" w:ascii="仿宋" w:hAnsi="仿宋" w:cs="仿宋_GB2312"/>
                <w:lang w:val="en-US"/>
              </w:rPr>
            </w:pPr>
            <w:r>
              <w:rPr>
                <w:rFonts w:ascii="仿宋" w:hAnsi="仿宋" w:cs="仿宋_GB2312"/>
              </w:rPr>
              <w:t>1.1.</w:t>
            </w:r>
            <w:r>
              <w:rPr>
                <w:rFonts w:hint="eastAsia" w:ascii="仿宋" w:hAnsi="仿宋" w:cs="仿宋_GB2312"/>
                <w:lang w:val="en-US" w:eastAsia="zh-CN"/>
              </w:rPr>
              <w:t>3新增检验科仓库出库记录，</w:t>
            </w:r>
            <w:r>
              <w:rPr>
                <w:rFonts w:ascii="Segoe UI" w:hAnsi="Segoe UI" w:eastAsia="Segoe UI" w:cs="Segoe UI"/>
                <w:i w:val="0"/>
                <w:iCs w:val="0"/>
                <w:caps w:val="0"/>
                <w:spacing w:val="8"/>
                <w:sz w:val="21"/>
                <w:szCs w:val="21"/>
                <w:shd w:val="clear" w:color="auto" w:fill="FFFFFF"/>
              </w:rPr>
              <w:t>支持</w:t>
            </w:r>
            <w:r>
              <w:rPr>
                <w:rFonts w:hint="eastAsia" w:ascii="Segoe UI" w:hAnsi="Segoe UI" w:cs="Segoe UI"/>
                <w:i w:val="0"/>
                <w:iCs w:val="0"/>
                <w:caps w:val="0"/>
                <w:spacing w:val="8"/>
                <w:sz w:val="21"/>
                <w:szCs w:val="21"/>
                <w:shd w:val="clear" w:color="auto" w:fill="FFFFFF"/>
                <w:lang w:val="en-US" w:eastAsia="zh-CN"/>
              </w:rPr>
              <w:t>出库</w:t>
            </w:r>
            <w:r>
              <w:rPr>
                <w:rFonts w:hint="eastAsia" w:ascii="仿宋" w:hAnsi="仿宋" w:cs="仿宋_GB2312"/>
                <w:lang w:val="en-US" w:eastAsia="zh-CN"/>
              </w:rPr>
              <w:t>审核、撤销、查询等功能；出库信息包括：操作、状态、出库编号、申领单号、出库类型、总数量、总金额、出库日期、创建日期、制单人、审核人、备注等</w:t>
            </w:r>
          </w:p>
        </w:tc>
      </w:tr>
      <w:tr w14:paraId="423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684E0CB8">
            <w:pPr>
              <w:jc w:val="center"/>
              <w:rPr>
                <w:rFonts w:ascii="宋体" w:hAnsi="宋体" w:cs="宋体"/>
                <w:bCs/>
                <w:color w:val="000000"/>
                <w:szCs w:val="21"/>
              </w:rPr>
            </w:pPr>
          </w:p>
        </w:tc>
        <w:tc>
          <w:tcPr>
            <w:tcW w:w="2034" w:type="dxa"/>
            <w:vMerge w:val="continue"/>
            <w:noWrap w:val="0"/>
            <w:vAlign w:val="center"/>
          </w:tcPr>
          <w:p w14:paraId="20F687B7">
            <w:pPr>
              <w:jc w:val="center"/>
              <w:rPr>
                <w:rFonts w:ascii="宋体" w:hAnsi="宋体" w:cs="宋体"/>
                <w:color w:val="000000"/>
                <w:szCs w:val="21"/>
              </w:rPr>
            </w:pPr>
          </w:p>
        </w:tc>
        <w:tc>
          <w:tcPr>
            <w:tcW w:w="6123" w:type="dxa"/>
            <w:noWrap w:val="0"/>
            <w:vAlign w:val="top"/>
          </w:tcPr>
          <w:p w14:paraId="4B5DF2AF">
            <w:pPr>
              <w:spacing w:line="276" w:lineRule="auto"/>
              <w:jc w:val="left"/>
              <w:rPr>
                <w:rFonts w:hint="default" w:ascii="仿宋" w:hAnsi="仿宋" w:cs="仿宋_GB2312"/>
                <w:lang w:val="en-US"/>
              </w:rPr>
            </w:pPr>
            <w:r>
              <w:rPr>
                <w:rFonts w:ascii="仿宋" w:hAnsi="仿宋" w:cs="仿宋_GB2312"/>
              </w:rPr>
              <w:t>1.1.</w:t>
            </w:r>
            <w:r>
              <w:rPr>
                <w:rFonts w:hint="eastAsia" w:ascii="仿宋" w:hAnsi="仿宋" w:cs="仿宋_GB2312"/>
                <w:lang w:val="en-US" w:eastAsia="zh-CN"/>
              </w:rPr>
              <w:t>4新增检验科仓库二级库退库记录，</w:t>
            </w:r>
            <w:r>
              <w:rPr>
                <w:rFonts w:ascii="Segoe UI" w:hAnsi="Segoe UI" w:eastAsia="Segoe UI" w:cs="Segoe UI"/>
                <w:i w:val="0"/>
                <w:iCs w:val="0"/>
                <w:caps w:val="0"/>
                <w:spacing w:val="8"/>
                <w:sz w:val="21"/>
                <w:szCs w:val="21"/>
                <w:shd w:val="clear" w:color="auto" w:fill="FFFFFF"/>
              </w:rPr>
              <w:t>支持</w:t>
            </w:r>
            <w:r>
              <w:rPr>
                <w:rFonts w:hint="eastAsia" w:ascii="仿宋" w:hAnsi="仿宋" w:cs="仿宋_GB2312"/>
                <w:lang w:val="en-US" w:eastAsia="zh-CN"/>
              </w:rPr>
              <w:t>二级库退库审核、撤销等功能；二级库退库信息包括：状态、二级库退库编号、二级库退库类型、总数量、总金额、二级库退库日期、领用科室、制单人、审核人、备注等</w:t>
            </w:r>
          </w:p>
        </w:tc>
      </w:tr>
      <w:tr w14:paraId="7384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179F8E9B">
            <w:pPr>
              <w:jc w:val="center"/>
              <w:rPr>
                <w:rFonts w:ascii="宋体" w:hAnsi="宋体" w:cs="宋体"/>
                <w:bCs/>
                <w:color w:val="000000"/>
                <w:szCs w:val="21"/>
              </w:rPr>
            </w:pPr>
          </w:p>
        </w:tc>
        <w:tc>
          <w:tcPr>
            <w:tcW w:w="2034" w:type="dxa"/>
            <w:vMerge w:val="continue"/>
            <w:noWrap w:val="0"/>
            <w:vAlign w:val="center"/>
          </w:tcPr>
          <w:p w14:paraId="67F1158A">
            <w:pPr>
              <w:jc w:val="center"/>
              <w:rPr>
                <w:rFonts w:ascii="宋体" w:hAnsi="宋体" w:cs="宋体"/>
                <w:color w:val="000000"/>
                <w:szCs w:val="21"/>
              </w:rPr>
            </w:pPr>
          </w:p>
        </w:tc>
        <w:tc>
          <w:tcPr>
            <w:tcW w:w="6123" w:type="dxa"/>
            <w:noWrap w:val="0"/>
            <w:vAlign w:val="top"/>
          </w:tcPr>
          <w:p w14:paraId="127DCC33">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5新增检验科仓库入库汇总、出库汇总、收支明细汇总等报表；</w:t>
            </w:r>
          </w:p>
        </w:tc>
      </w:tr>
      <w:tr w14:paraId="26D3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1108DBC">
            <w:pPr>
              <w:jc w:val="center"/>
              <w:rPr>
                <w:rFonts w:ascii="宋体" w:hAnsi="宋体" w:cs="宋体"/>
                <w:bCs/>
                <w:color w:val="000000"/>
                <w:szCs w:val="21"/>
              </w:rPr>
            </w:pPr>
          </w:p>
        </w:tc>
        <w:tc>
          <w:tcPr>
            <w:tcW w:w="2034" w:type="dxa"/>
            <w:vMerge w:val="continue"/>
            <w:noWrap w:val="0"/>
            <w:vAlign w:val="center"/>
          </w:tcPr>
          <w:p w14:paraId="3B00CF93">
            <w:pPr>
              <w:jc w:val="center"/>
              <w:rPr>
                <w:rFonts w:ascii="宋体" w:hAnsi="宋体" w:cs="宋体"/>
                <w:color w:val="000000"/>
                <w:szCs w:val="21"/>
              </w:rPr>
            </w:pPr>
          </w:p>
        </w:tc>
        <w:tc>
          <w:tcPr>
            <w:tcW w:w="6123" w:type="dxa"/>
            <w:noWrap w:val="0"/>
            <w:vAlign w:val="top"/>
          </w:tcPr>
          <w:p w14:paraId="31E9755A">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6新增检验科入库记录，包含审核等功能；状态、入库编号、入库类型、总数量、总金额、入库日期、制单人、申领人、审核人、备注等</w:t>
            </w:r>
          </w:p>
        </w:tc>
      </w:tr>
      <w:tr w14:paraId="44A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08F0AED2">
            <w:pPr>
              <w:jc w:val="center"/>
              <w:rPr>
                <w:rFonts w:ascii="宋体" w:hAnsi="宋体" w:cs="宋体"/>
                <w:bCs/>
                <w:color w:val="000000"/>
                <w:szCs w:val="21"/>
              </w:rPr>
            </w:pPr>
          </w:p>
        </w:tc>
        <w:tc>
          <w:tcPr>
            <w:tcW w:w="2034" w:type="dxa"/>
            <w:vMerge w:val="continue"/>
            <w:noWrap w:val="0"/>
            <w:vAlign w:val="center"/>
          </w:tcPr>
          <w:p w14:paraId="4D800119">
            <w:pPr>
              <w:jc w:val="center"/>
              <w:rPr>
                <w:rFonts w:ascii="宋体" w:hAnsi="宋体" w:cs="宋体"/>
                <w:color w:val="000000"/>
                <w:szCs w:val="21"/>
              </w:rPr>
            </w:pPr>
          </w:p>
        </w:tc>
        <w:tc>
          <w:tcPr>
            <w:tcW w:w="6123" w:type="dxa"/>
            <w:noWrap w:val="0"/>
            <w:vAlign w:val="top"/>
          </w:tcPr>
          <w:p w14:paraId="00438AE6">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7新增检验科出库记录，包含添加、编辑、审核等功能；出库信息包括：操作、状态、出库编号、申领单号、出库类型、总数量、总金额、出库日期、创建日期、制单人、审核人、备注等</w:t>
            </w:r>
          </w:p>
        </w:tc>
      </w:tr>
      <w:tr w14:paraId="5D3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31C1AE9">
            <w:pPr>
              <w:jc w:val="center"/>
              <w:rPr>
                <w:rFonts w:ascii="宋体" w:hAnsi="宋体" w:cs="宋体"/>
                <w:bCs/>
                <w:color w:val="000000"/>
                <w:szCs w:val="21"/>
              </w:rPr>
            </w:pPr>
          </w:p>
        </w:tc>
        <w:tc>
          <w:tcPr>
            <w:tcW w:w="2034" w:type="dxa"/>
            <w:vMerge w:val="continue"/>
            <w:noWrap w:val="0"/>
            <w:vAlign w:val="center"/>
          </w:tcPr>
          <w:p w14:paraId="5A75C5F3">
            <w:pPr>
              <w:jc w:val="center"/>
              <w:rPr>
                <w:rFonts w:ascii="宋体" w:hAnsi="宋体" w:cs="宋体"/>
                <w:color w:val="000000"/>
                <w:szCs w:val="21"/>
              </w:rPr>
            </w:pPr>
          </w:p>
        </w:tc>
        <w:tc>
          <w:tcPr>
            <w:tcW w:w="6123" w:type="dxa"/>
            <w:noWrap w:val="0"/>
            <w:vAlign w:val="top"/>
          </w:tcPr>
          <w:p w14:paraId="1BC02D97">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8新增检验科入库汇总、出库汇总等报表；</w:t>
            </w:r>
          </w:p>
        </w:tc>
      </w:tr>
      <w:tr w14:paraId="31DF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2F1769A">
            <w:pPr>
              <w:jc w:val="center"/>
              <w:rPr>
                <w:rFonts w:ascii="宋体" w:hAnsi="宋体" w:cs="宋体"/>
                <w:bCs/>
                <w:color w:val="000000"/>
                <w:szCs w:val="21"/>
              </w:rPr>
            </w:pPr>
          </w:p>
        </w:tc>
        <w:tc>
          <w:tcPr>
            <w:tcW w:w="2034" w:type="dxa"/>
            <w:vMerge w:val="continue"/>
            <w:noWrap w:val="0"/>
            <w:vAlign w:val="center"/>
          </w:tcPr>
          <w:p w14:paraId="53551D3F">
            <w:pPr>
              <w:jc w:val="center"/>
              <w:rPr>
                <w:rFonts w:ascii="宋体" w:hAnsi="宋体" w:cs="宋体"/>
                <w:bCs/>
                <w:color w:val="000000"/>
                <w:szCs w:val="21"/>
              </w:rPr>
            </w:pPr>
          </w:p>
        </w:tc>
        <w:tc>
          <w:tcPr>
            <w:tcW w:w="6123" w:type="dxa"/>
            <w:noWrap w:val="0"/>
            <w:vAlign w:val="top"/>
          </w:tcPr>
          <w:p w14:paraId="3F8B8958">
            <w:pPr>
              <w:spacing w:line="276" w:lineRule="auto"/>
              <w:jc w:val="left"/>
              <w:rPr>
                <w:rFonts w:ascii="宋体" w:hAnsi="宋体" w:cs="宋体"/>
                <w:bCs/>
                <w:color w:val="000000"/>
                <w:szCs w:val="21"/>
              </w:rPr>
            </w:pPr>
            <w:r>
              <w:rPr>
                <w:rFonts w:ascii="仿宋" w:hAnsi="仿宋" w:cs="仿宋_GB2312"/>
              </w:rPr>
              <w:t>1.1.</w:t>
            </w:r>
            <w:r>
              <w:rPr>
                <w:rFonts w:hint="eastAsia" w:ascii="仿宋" w:hAnsi="仿宋" w:cs="仿宋_GB2312"/>
                <w:lang w:val="en-US" w:eastAsia="zh-CN"/>
              </w:rPr>
              <w:t>9</w:t>
            </w:r>
            <w:r>
              <w:rPr>
                <w:rFonts w:hint="eastAsia" w:ascii="仿宋" w:hAnsi="仿宋" w:cs="仿宋_GB2312"/>
              </w:rPr>
              <w:t>新增</w:t>
            </w:r>
            <w:r>
              <w:rPr>
                <w:rFonts w:hint="eastAsia" w:ascii="仿宋" w:hAnsi="仿宋" w:cs="仿宋_GB2312"/>
                <w:lang w:val="en-US" w:eastAsia="zh-CN"/>
              </w:rPr>
              <w:t>功能</w:t>
            </w:r>
            <w:r>
              <w:rPr>
                <w:rFonts w:hint="eastAsia" w:ascii="仿宋" w:hAnsi="仿宋" w:cs="仿宋_GB2312"/>
                <w:highlight w:val="none"/>
                <w:lang w:eastAsia="zh-CN"/>
              </w:rPr>
              <w:t>：</w:t>
            </w:r>
            <w:r>
              <w:rPr>
                <w:rFonts w:hint="eastAsia" w:ascii="宋体" w:hAnsi="宋体" w:cs="宋体"/>
                <w:color w:val="000000"/>
                <w:szCs w:val="21"/>
              </w:rPr>
              <w:t>医用耗材</w:t>
            </w:r>
            <w:r>
              <w:rPr>
                <w:rFonts w:hint="eastAsia" w:ascii="宋体" w:hAnsi="宋体" w:cs="宋体"/>
                <w:color w:val="000000"/>
                <w:szCs w:val="21"/>
                <w:lang w:val="en-US" w:eastAsia="zh-CN"/>
              </w:rPr>
              <w:t>管理系统</w:t>
            </w:r>
            <w:r>
              <w:rPr>
                <w:rFonts w:hint="eastAsia" w:ascii="宋体" w:hAnsi="宋体" w:cs="宋体"/>
                <w:color w:val="000000"/>
                <w:szCs w:val="21"/>
              </w:rPr>
              <w:t>增加限制功能（限制下单科室</w:t>
            </w:r>
            <w:r>
              <w:rPr>
                <w:rFonts w:hint="eastAsia" w:ascii="宋体" w:hAnsi="宋体" w:cs="宋体"/>
                <w:color w:val="000000"/>
                <w:szCs w:val="21"/>
                <w:lang w:eastAsia="zh-CN"/>
              </w:rPr>
              <w:t>、</w:t>
            </w:r>
            <w:r>
              <w:rPr>
                <w:rFonts w:hint="eastAsia" w:ascii="宋体" w:hAnsi="宋体" w:cs="宋体"/>
                <w:color w:val="000000"/>
                <w:szCs w:val="21"/>
              </w:rPr>
              <w:t>下单数量(按年度监管统计)）</w:t>
            </w:r>
            <w:r>
              <w:rPr>
                <w:rFonts w:hint="eastAsia" w:ascii="宋体" w:hAnsi="宋体" w:cs="宋体"/>
                <w:color w:val="000000"/>
                <w:szCs w:val="21"/>
                <w:lang w:eastAsia="zh-CN"/>
              </w:rPr>
              <w:t>；</w:t>
            </w:r>
            <w:r>
              <w:rPr>
                <w:rFonts w:hint="eastAsia" w:ascii="宋体" w:hAnsi="宋体" w:cs="宋体"/>
                <w:b/>
                <w:bCs/>
                <w:color w:val="auto"/>
                <w:szCs w:val="21"/>
                <w:highlight w:val="none"/>
                <w:shd w:val="clear" w:color="auto" w:fill="auto"/>
                <w:lang w:val="en-US" w:eastAsia="zh-CN"/>
              </w:rPr>
              <w:t>当科室提交计划时，若包含非本科室可下单的医用耗材，系统将提示具体受限耗材信息并阻止提交；当科室提交计划时，若某类受限制的医用耗材超出规定的下单数量，系统将自动发出超量警告，并允许用户选择是否继续下单；</w:t>
            </w:r>
          </w:p>
        </w:tc>
      </w:tr>
      <w:tr w14:paraId="69AA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8383B9F">
            <w:pPr>
              <w:jc w:val="center"/>
              <w:rPr>
                <w:rFonts w:ascii="宋体" w:hAnsi="宋体" w:cs="宋体"/>
                <w:bCs/>
                <w:color w:val="000000"/>
                <w:szCs w:val="21"/>
              </w:rPr>
            </w:pPr>
          </w:p>
        </w:tc>
        <w:tc>
          <w:tcPr>
            <w:tcW w:w="2034" w:type="dxa"/>
            <w:vMerge w:val="continue"/>
            <w:noWrap w:val="0"/>
            <w:vAlign w:val="center"/>
          </w:tcPr>
          <w:p w14:paraId="7D82FAF0">
            <w:pPr>
              <w:jc w:val="center"/>
              <w:rPr>
                <w:rFonts w:ascii="宋体" w:hAnsi="宋体" w:cs="宋体"/>
                <w:bCs/>
                <w:color w:val="000000"/>
                <w:szCs w:val="21"/>
              </w:rPr>
            </w:pPr>
          </w:p>
        </w:tc>
        <w:tc>
          <w:tcPr>
            <w:tcW w:w="6123" w:type="dxa"/>
            <w:noWrap w:val="0"/>
            <w:vAlign w:val="top"/>
          </w:tcPr>
          <w:p w14:paraId="4FD1165A">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10新增功</w:t>
            </w:r>
            <w:r>
              <w:rPr>
                <w:rFonts w:hint="eastAsia" w:ascii="宋体" w:hAnsi="宋体" w:cs="宋体"/>
                <w:color w:val="000000"/>
                <w:szCs w:val="21"/>
                <w:lang w:val="en-US" w:eastAsia="zh-CN"/>
              </w:rPr>
              <w:t>能：</w:t>
            </w:r>
            <w:r>
              <w:rPr>
                <w:rFonts w:hint="eastAsia" w:ascii="宋体" w:hAnsi="宋体" w:cs="宋体"/>
                <w:color w:val="000000"/>
                <w:szCs w:val="21"/>
                <w:lang w:eastAsia="zh-CN"/>
              </w:rPr>
              <w:t>医用耗材医院端医用耗材目录页面-增加按键</w:t>
            </w:r>
            <w:r>
              <w:rPr>
                <w:rFonts w:hint="eastAsia" w:ascii="宋体" w:hAnsi="宋体" w:cs="宋体"/>
                <w:b/>
                <w:bCs/>
                <w:color w:val="auto"/>
                <w:szCs w:val="21"/>
                <w:highlight w:val="none"/>
                <w:shd w:val="clear" w:color="auto" w:fill="auto"/>
                <w:lang w:val="en-US" w:eastAsia="zh-CN"/>
              </w:rPr>
              <w:t>（选择需要限制的耗材目录和限制下单的科室、数量（按年度更新监管统计））；</w:t>
            </w:r>
          </w:p>
        </w:tc>
      </w:tr>
      <w:tr w14:paraId="4559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6B3CD49F">
            <w:pPr>
              <w:jc w:val="center"/>
              <w:rPr>
                <w:rFonts w:ascii="宋体" w:hAnsi="宋体" w:cs="宋体"/>
                <w:bCs/>
                <w:color w:val="000000"/>
                <w:szCs w:val="21"/>
              </w:rPr>
            </w:pPr>
          </w:p>
        </w:tc>
        <w:tc>
          <w:tcPr>
            <w:tcW w:w="2034" w:type="dxa"/>
            <w:vMerge w:val="continue"/>
            <w:noWrap w:val="0"/>
            <w:vAlign w:val="center"/>
          </w:tcPr>
          <w:p w14:paraId="26582046">
            <w:pPr>
              <w:jc w:val="center"/>
              <w:rPr>
                <w:rFonts w:ascii="宋体" w:hAnsi="宋体" w:cs="宋体"/>
                <w:bCs/>
                <w:color w:val="000000"/>
                <w:szCs w:val="21"/>
              </w:rPr>
            </w:pPr>
          </w:p>
        </w:tc>
        <w:tc>
          <w:tcPr>
            <w:tcW w:w="6123" w:type="dxa"/>
            <w:noWrap w:val="0"/>
            <w:vAlign w:val="top"/>
          </w:tcPr>
          <w:p w14:paraId="7911345C">
            <w:pPr>
              <w:spacing w:line="276" w:lineRule="auto"/>
              <w:jc w:val="left"/>
              <w:rPr>
                <w:rFonts w:ascii="仿宋" w:hAnsi="仿宋" w:cs="仿宋_GB2312"/>
              </w:rPr>
            </w:pPr>
            <w:r>
              <w:rPr>
                <w:rFonts w:ascii="仿宋" w:hAnsi="仿宋" w:cs="仿宋_GB2312"/>
              </w:rPr>
              <w:t>1.1.</w:t>
            </w:r>
            <w:r>
              <w:rPr>
                <w:rFonts w:hint="eastAsia" w:ascii="仿宋" w:hAnsi="仿宋" w:cs="仿宋_GB2312"/>
                <w:lang w:val="en-US" w:eastAsia="zh-CN"/>
              </w:rPr>
              <w:t>11新增功能：</w:t>
            </w:r>
            <w:r>
              <w:rPr>
                <w:rFonts w:hint="eastAsia" w:ascii="宋体" w:hAnsi="宋体" w:cs="宋体"/>
                <w:b/>
                <w:bCs/>
                <w:color w:val="auto"/>
                <w:szCs w:val="21"/>
                <w:highlight w:val="none"/>
                <w:shd w:val="clear" w:color="auto" w:fill="auto"/>
                <w:lang w:val="en-US" w:eastAsia="zh-CN"/>
              </w:rPr>
              <w:t>医用耗材医院端超量使用耗材的预警功能，并生成预警列表（列表字段信息和出入库明细导出一致）；预警列表只展示限制下单数量的医用耗材，可通过日期进行筛选查看。</w:t>
            </w:r>
          </w:p>
        </w:tc>
      </w:tr>
      <w:tr w14:paraId="6BC3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restart"/>
            <w:noWrap w:val="0"/>
            <w:vAlign w:val="center"/>
          </w:tcPr>
          <w:p w14:paraId="651341C5">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2</w:t>
            </w:r>
          </w:p>
        </w:tc>
        <w:tc>
          <w:tcPr>
            <w:tcW w:w="2034" w:type="dxa"/>
            <w:vMerge w:val="restart"/>
            <w:noWrap w:val="0"/>
            <w:vAlign w:val="center"/>
          </w:tcPr>
          <w:p w14:paraId="3A9B26C0">
            <w:pPr>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后勤物资管理系统改造</w:t>
            </w:r>
          </w:p>
        </w:tc>
        <w:tc>
          <w:tcPr>
            <w:tcW w:w="6123" w:type="dxa"/>
            <w:noWrap w:val="0"/>
            <w:vAlign w:val="top"/>
          </w:tcPr>
          <w:p w14:paraId="1C13DD8B">
            <w:pPr>
              <w:spacing w:line="276" w:lineRule="auto"/>
              <w:jc w:val="left"/>
              <w:rPr>
                <w:rFonts w:ascii="仿宋" w:hAnsi="仿宋" w:cs="仿宋_GB2312"/>
                <w:szCs w:val="22"/>
              </w:rPr>
            </w:pPr>
            <w:r>
              <w:rPr>
                <w:rFonts w:ascii="仿宋" w:hAnsi="仿宋" w:cs="仿宋_GB2312"/>
              </w:rPr>
              <w:t>1.2.1</w:t>
            </w:r>
            <w:r>
              <w:rPr>
                <w:rFonts w:hint="eastAsia" w:ascii="宋体" w:hAnsi="宋体"/>
              </w:rPr>
              <w:t>▲</w:t>
            </w:r>
            <w:r>
              <w:rPr>
                <w:rFonts w:hint="eastAsia" w:ascii="宋体" w:hAnsi="宋体" w:cs="宋体"/>
                <w:color w:val="000000"/>
                <w:szCs w:val="21"/>
                <w:lang w:val="en-US" w:eastAsia="zh-CN"/>
              </w:rPr>
              <w:t>新增功能：入库界面新增导入功能，导入内容包括：物品名称、规格型号、单位、单价、数量、生产厂家、品牌、大类别、小类别等。系统强制要求所有字段全部非空，否则整行判定为非法，拒绝导入并提示失败。根据导入信息自动生成到物资目录并由系统在后台自动生成物品编码。</w:t>
            </w:r>
          </w:p>
        </w:tc>
      </w:tr>
      <w:tr w14:paraId="23D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44C0DC2F">
            <w:pPr>
              <w:jc w:val="center"/>
              <w:rPr>
                <w:rFonts w:ascii="宋体" w:hAnsi="宋体" w:cs="宋体"/>
                <w:bCs/>
                <w:color w:val="000000"/>
                <w:szCs w:val="21"/>
              </w:rPr>
            </w:pPr>
          </w:p>
        </w:tc>
        <w:tc>
          <w:tcPr>
            <w:tcW w:w="2034" w:type="dxa"/>
            <w:vMerge w:val="continue"/>
            <w:noWrap w:val="0"/>
            <w:vAlign w:val="center"/>
          </w:tcPr>
          <w:p w14:paraId="6038E7DF">
            <w:pPr>
              <w:jc w:val="center"/>
              <w:rPr>
                <w:rFonts w:ascii="宋体" w:hAnsi="宋体" w:cs="宋体"/>
                <w:bCs/>
                <w:color w:val="000000"/>
                <w:szCs w:val="21"/>
              </w:rPr>
            </w:pPr>
          </w:p>
        </w:tc>
        <w:tc>
          <w:tcPr>
            <w:tcW w:w="6123" w:type="dxa"/>
            <w:noWrap w:val="0"/>
            <w:vAlign w:val="center"/>
          </w:tcPr>
          <w:p w14:paraId="28F7EB47">
            <w:pPr>
              <w:spacing w:line="276" w:lineRule="auto"/>
              <w:jc w:val="left"/>
              <w:rPr>
                <w:rFonts w:ascii="仿宋" w:hAnsi="仿宋" w:cs="仿宋_GB2312"/>
              </w:rPr>
            </w:pPr>
            <w:r>
              <w:rPr>
                <w:rFonts w:ascii="仿宋" w:hAnsi="仿宋" w:cs="仿宋_GB2312"/>
              </w:rPr>
              <w:t>1.2.2</w:t>
            </w:r>
            <w:r>
              <w:rPr>
                <w:rFonts w:hint="eastAsia" w:ascii="仿宋" w:hAnsi="仿宋" w:cs="仿宋_GB2312"/>
              </w:rPr>
              <w:t>入库记录和入库明细汇总表增加制单人搜索。</w:t>
            </w:r>
          </w:p>
        </w:tc>
      </w:tr>
      <w:tr w14:paraId="058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restart"/>
            <w:noWrap w:val="0"/>
            <w:vAlign w:val="center"/>
          </w:tcPr>
          <w:p w14:paraId="0B9ED6C2">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3</w:t>
            </w:r>
          </w:p>
        </w:tc>
        <w:tc>
          <w:tcPr>
            <w:tcW w:w="2034" w:type="dxa"/>
            <w:vMerge w:val="restart"/>
            <w:noWrap w:val="0"/>
            <w:vAlign w:val="center"/>
          </w:tcPr>
          <w:p w14:paraId="405A294C">
            <w:pPr>
              <w:jc w:val="center"/>
              <w:rPr>
                <w:rFonts w:ascii="宋体" w:hAnsi="宋体" w:cs="宋体"/>
                <w:bCs/>
                <w:color w:val="000000"/>
                <w:szCs w:val="21"/>
              </w:rPr>
            </w:pPr>
            <w:r>
              <w:rPr>
                <w:rFonts w:hint="eastAsia" w:ascii="宋体" w:hAnsi="宋体" w:cs="宋体"/>
                <w:bCs/>
                <w:color w:val="000000"/>
                <w:szCs w:val="21"/>
              </w:rPr>
              <w:t>全民健康信息平台数据采集改造</w:t>
            </w:r>
          </w:p>
        </w:tc>
        <w:tc>
          <w:tcPr>
            <w:tcW w:w="6123" w:type="dxa"/>
            <w:noWrap w:val="0"/>
            <w:vAlign w:val="center"/>
          </w:tcPr>
          <w:p w14:paraId="161B970C">
            <w:pPr>
              <w:spacing w:line="276" w:lineRule="auto"/>
              <w:jc w:val="left"/>
              <w:rPr>
                <w:rFonts w:hint="eastAsia" w:ascii="仿宋" w:hAnsi="仿宋" w:eastAsia="宋体" w:cs="仿宋_GB2312"/>
                <w:lang w:eastAsia="zh-CN"/>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1根据</w:t>
            </w:r>
            <w:r>
              <w:rPr>
                <w:rFonts w:hint="eastAsia" w:ascii="宋体" w:hAnsi="宋体" w:eastAsia="宋体" w:cs="Times New Roman"/>
                <w:kern w:val="2"/>
                <w:sz w:val="21"/>
                <w:szCs w:val="21"/>
              </w:rPr>
              <w:t>全民健康信息平台采集标准</w:t>
            </w:r>
            <w:r>
              <w:rPr>
                <w:rFonts w:hint="eastAsia" w:ascii="宋体" w:hAnsi="宋体" w:cs="Times New Roman"/>
                <w:kern w:val="2"/>
                <w:sz w:val="21"/>
                <w:szCs w:val="21"/>
                <w:lang w:val="en-US" w:eastAsia="zh-CN"/>
              </w:rPr>
              <w:t>在医疗设备管理系统的</w:t>
            </w:r>
            <w:r>
              <w:rPr>
                <w:rFonts w:hint="eastAsia" w:ascii="仿宋" w:hAnsi="仿宋" w:cs="仿宋_GB2312"/>
                <w:lang w:val="en-US" w:eastAsia="zh-CN"/>
              </w:rPr>
              <w:t>账目管理中新增、编辑页面增加是否为甲乙类大型医用设备、是否在首(台)套、创新产品目录中采购、技术参数、核心配置清单等字段</w:t>
            </w:r>
          </w:p>
        </w:tc>
      </w:tr>
      <w:tr w14:paraId="290E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03749E71">
            <w:pPr>
              <w:jc w:val="center"/>
              <w:rPr>
                <w:rFonts w:ascii="宋体" w:hAnsi="宋体" w:cs="宋体"/>
                <w:bCs/>
                <w:color w:val="000000"/>
                <w:szCs w:val="21"/>
              </w:rPr>
            </w:pPr>
          </w:p>
        </w:tc>
        <w:tc>
          <w:tcPr>
            <w:tcW w:w="2034" w:type="dxa"/>
            <w:vMerge w:val="continue"/>
            <w:noWrap w:val="0"/>
            <w:vAlign w:val="center"/>
          </w:tcPr>
          <w:p w14:paraId="6099AA73">
            <w:pPr>
              <w:jc w:val="center"/>
              <w:rPr>
                <w:rFonts w:ascii="宋体" w:hAnsi="宋体" w:cs="宋体"/>
                <w:bCs/>
                <w:color w:val="000000"/>
                <w:szCs w:val="21"/>
              </w:rPr>
            </w:pPr>
          </w:p>
        </w:tc>
        <w:tc>
          <w:tcPr>
            <w:tcW w:w="6123" w:type="dxa"/>
            <w:noWrap w:val="0"/>
            <w:vAlign w:val="center"/>
          </w:tcPr>
          <w:p w14:paraId="2B82C6C1">
            <w:pPr>
              <w:spacing w:line="276" w:lineRule="auto"/>
              <w:jc w:val="left"/>
              <w:rPr>
                <w:rFonts w:hint="default"/>
                <w:lang w:val="en-US" w:eastAsia="zh-CN"/>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2新增采购结果信息页面具备导入功能，</w:t>
            </w:r>
            <w:r>
              <w:rPr>
                <w:rFonts w:hint="eastAsia" w:ascii="宋体" w:hAnsi="宋体" w:cs="宋体"/>
                <w:color w:val="000000"/>
                <w:szCs w:val="21"/>
                <w:lang w:val="en-US" w:eastAsia="zh-CN"/>
              </w:rPr>
              <w:t>导入内容包括：</w:t>
            </w:r>
            <w:r>
              <w:rPr>
                <w:rFonts w:hint="eastAsia" w:ascii="仿宋" w:hAnsi="仿宋" w:cs="仿宋_GB2312"/>
                <w:lang w:val="en-US" w:eastAsia="zh-CN"/>
              </w:rPr>
              <w:t>医疗设备采购结果流水号、设备编码、合同编号、项目立项编号、采购项目编号、采购项目名称、项目预算总额（万元）、采购类型、采购方式代码、其他采购方式、采购实施形式、其他招标采购机构名称、招标挂网日期、开标日期、中标日期、中投公司名称、法定代表人、中标总价（万元)、是否选用市医疗设备批量集中采购结果、是否选用首（台）等。</w:t>
            </w:r>
          </w:p>
        </w:tc>
      </w:tr>
      <w:tr w14:paraId="01C3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5B37A697">
            <w:pPr>
              <w:jc w:val="center"/>
              <w:rPr>
                <w:rFonts w:ascii="宋体" w:hAnsi="宋体" w:cs="宋体"/>
                <w:bCs/>
                <w:color w:val="000000"/>
                <w:szCs w:val="21"/>
              </w:rPr>
            </w:pPr>
          </w:p>
        </w:tc>
        <w:tc>
          <w:tcPr>
            <w:tcW w:w="2034" w:type="dxa"/>
            <w:vMerge w:val="continue"/>
            <w:noWrap w:val="0"/>
            <w:vAlign w:val="center"/>
          </w:tcPr>
          <w:p w14:paraId="0CC7AADF">
            <w:pPr>
              <w:jc w:val="center"/>
              <w:rPr>
                <w:rFonts w:ascii="宋体" w:hAnsi="宋体" w:cs="宋体"/>
                <w:bCs/>
                <w:color w:val="000000"/>
                <w:szCs w:val="21"/>
              </w:rPr>
            </w:pPr>
          </w:p>
        </w:tc>
        <w:tc>
          <w:tcPr>
            <w:tcW w:w="6123" w:type="dxa"/>
            <w:noWrap w:val="0"/>
            <w:vAlign w:val="center"/>
          </w:tcPr>
          <w:p w14:paraId="0059B835">
            <w:pPr>
              <w:spacing w:line="276" w:lineRule="auto"/>
              <w:jc w:val="left"/>
              <w:rPr>
                <w:rFonts w:ascii="仿宋" w:hAnsi="仿宋" w:cs="仿宋_GB2312"/>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3新增数据检验逻辑：若导入数据中的“医疗设备采购结果流水号”在系统中已存在，则视为更新操作，系统将自动覆盖原有记录；若“医疗设备采购结果流水号”不存在，则视为新增操作，系统将插入新记录；</w:t>
            </w:r>
          </w:p>
        </w:tc>
      </w:tr>
      <w:tr w14:paraId="77B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2CABDBDC">
            <w:pPr>
              <w:jc w:val="center"/>
              <w:rPr>
                <w:rFonts w:ascii="宋体" w:hAnsi="宋体" w:cs="宋体"/>
                <w:bCs/>
                <w:color w:val="000000"/>
                <w:szCs w:val="21"/>
              </w:rPr>
            </w:pPr>
          </w:p>
        </w:tc>
        <w:tc>
          <w:tcPr>
            <w:tcW w:w="2034" w:type="dxa"/>
            <w:vMerge w:val="continue"/>
            <w:noWrap w:val="0"/>
            <w:vAlign w:val="center"/>
          </w:tcPr>
          <w:p w14:paraId="69C140D3">
            <w:pPr>
              <w:jc w:val="center"/>
              <w:rPr>
                <w:rFonts w:ascii="宋体" w:hAnsi="宋体" w:cs="宋体"/>
                <w:bCs/>
                <w:color w:val="000000"/>
                <w:szCs w:val="21"/>
              </w:rPr>
            </w:pPr>
          </w:p>
        </w:tc>
        <w:tc>
          <w:tcPr>
            <w:tcW w:w="6123" w:type="dxa"/>
            <w:noWrap w:val="0"/>
            <w:vAlign w:val="center"/>
          </w:tcPr>
          <w:p w14:paraId="3E7A12A9">
            <w:pPr>
              <w:spacing w:line="276" w:lineRule="auto"/>
              <w:jc w:val="left"/>
              <w:rPr>
                <w:rFonts w:hint="default" w:ascii="仿宋" w:hAnsi="仿宋" w:cs="仿宋_GB2312"/>
                <w:lang w:val="en-US"/>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4新增</w:t>
            </w:r>
            <w:r>
              <w:rPr>
                <w:rFonts w:hint="eastAsia" w:ascii="仿宋" w:hAnsi="仿宋" w:cs="仿宋_GB2312"/>
              </w:rPr>
              <w:t>投标信息</w:t>
            </w:r>
            <w:r>
              <w:rPr>
                <w:rFonts w:hint="eastAsia" w:ascii="仿宋" w:hAnsi="仿宋" w:cs="仿宋_GB2312"/>
                <w:lang w:val="en-US" w:eastAsia="zh-CN"/>
              </w:rPr>
              <w:t>页面具备导入功能，</w:t>
            </w:r>
            <w:r>
              <w:rPr>
                <w:rFonts w:hint="eastAsia" w:ascii="宋体" w:hAnsi="宋体" w:cs="宋体"/>
                <w:color w:val="000000"/>
                <w:szCs w:val="21"/>
                <w:lang w:val="en-US" w:eastAsia="zh-CN"/>
              </w:rPr>
              <w:t>导入内容包括：医疗设备投标流水号、医疗设备采购结果流水号、设备编码、投标公司名称、法定代表人、投标授权人、投标授权人社保缴纳单位、投标报价总价（元)、资格审查标志、备注等</w:t>
            </w:r>
          </w:p>
        </w:tc>
      </w:tr>
      <w:tr w14:paraId="16C7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72F49C2F">
            <w:pPr>
              <w:jc w:val="center"/>
              <w:rPr>
                <w:rFonts w:ascii="宋体" w:hAnsi="宋体" w:cs="宋体"/>
                <w:bCs/>
                <w:color w:val="000000"/>
                <w:szCs w:val="21"/>
              </w:rPr>
            </w:pPr>
          </w:p>
        </w:tc>
        <w:tc>
          <w:tcPr>
            <w:tcW w:w="2034" w:type="dxa"/>
            <w:vMerge w:val="continue"/>
            <w:noWrap w:val="0"/>
            <w:vAlign w:val="center"/>
          </w:tcPr>
          <w:p w14:paraId="610B493D">
            <w:pPr>
              <w:jc w:val="center"/>
              <w:rPr>
                <w:rFonts w:ascii="宋体" w:hAnsi="宋体" w:cs="宋体"/>
                <w:bCs/>
                <w:color w:val="000000"/>
                <w:szCs w:val="21"/>
              </w:rPr>
            </w:pPr>
          </w:p>
        </w:tc>
        <w:tc>
          <w:tcPr>
            <w:tcW w:w="6123" w:type="dxa"/>
            <w:noWrap w:val="0"/>
            <w:vAlign w:val="center"/>
          </w:tcPr>
          <w:p w14:paraId="31A52362">
            <w:pPr>
              <w:spacing w:line="276" w:lineRule="auto"/>
              <w:jc w:val="left"/>
              <w:rPr>
                <w:rFonts w:ascii="仿宋" w:hAnsi="仿宋" w:cs="仿宋_GB2312"/>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5新增数据检验逻辑：若导入数据中的“</w:t>
            </w:r>
            <w:r>
              <w:rPr>
                <w:rFonts w:hint="eastAsia" w:ascii="宋体" w:hAnsi="宋体" w:cs="宋体"/>
                <w:color w:val="000000"/>
                <w:szCs w:val="21"/>
                <w:lang w:val="en-US" w:eastAsia="zh-CN"/>
              </w:rPr>
              <w:t>医疗设备投标流水号</w:t>
            </w:r>
            <w:r>
              <w:rPr>
                <w:rFonts w:hint="eastAsia" w:ascii="仿宋" w:hAnsi="仿宋" w:cs="仿宋_GB2312"/>
                <w:lang w:val="en-US" w:eastAsia="zh-CN"/>
              </w:rPr>
              <w:t>”在系统中已存在，则视为更新操作，系统将自动覆盖原有记录；若“</w:t>
            </w:r>
            <w:r>
              <w:rPr>
                <w:rFonts w:hint="eastAsia" w:ascii="宋体" w:hAnsi="宋体" w:cs="宋体"/>
                <w:color w:val="000000"/>
                <w:szCs w:val="21"/>
                <w:lang w:val="en-US" w:eastAsia="zh-CN"/>
              </w:rPr>
              <w:t>医疗设备投标流水号</w:t>
            </w:r>
            <w:r>
              <w:rPr>
                <w:rFonts w:hint="eastAsia" w:ascii="仿宋" w:hAnsi="仿宋" w:cs="仿宋_GB2312"/>
                <w:lang w:val="en-US" w:eastAsia="zh-CN"/>
              </w:rPr>
              <w:t>”不存在，则视为新增操作，系统将插入新记录；</w:t>
            </w:r>
          </w:p>
        </w:tc>
      </w:tr>
      <w:tr w14:paraId="7CA7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vMerge w:val="continue"/>
            <w:noWrap w:val="0"/>
            <w:vAlign w:val="center"/>
          </w:tcPr>
          <w:p w14:paraId="0729C1B5">
            <w:pPr>
              <w:jc w:val="center"/>
              <w:rPr>
                <w:rFonts w:ascii="宋体" w:hAnsi="宋体" w:cs="宋体"/>
                <w:bCs/>
                <w:color w:val="000000"/>
                <w:szCs w:val="21"/>
              </w:rPr>
            </w:pPr>
          </w:p>
        </w:tc>
        <w:tc>
          <w:tcPr>
            <w:tcW w:w="2034" w:type="dxa"/>
            <w:vMerge w:val="continue"/>
            <w:noWrap w:val="0"/>
            <w:vAlign w:val="center"/>
          </w:tcPr>
          <w:p w14:paraId="4CB0D9E7">
            <w:pPr>
              <w:jc w:val="center"/>
              <w:rPr>
                <w:rFonts w:ascii="宋体" w:hAnsi="宋体" w:cs="宋体"/>
                <w:bCs/>
                <w:color w:val="000000"/>
                <w:szCs w:val="21"/>
              </w:rPr>
            </w:pPr>
          </w:p>
        </w:tc>
        <w:tc>
          <w:tcPr>
            <w:tcW w:w="6123" w:type="dxa"/>
            <w:noWrap w:val="0"/>
            <w:vAlign w:val="center"/>
          </w:tcPr>
          <w:p w14:paraId="11A6768C">
            <w:pPr>
              <w:spacing w:line="276" w:lineRule="auto"/>
              <w:jc w:val="left"/>
              <w:rPr>
                <w:rFonts w:ascii="仿宋" w:hAnsi="仿宋" w:cs="仿宋_GB2312"/>
              </w:rPr>
            </w:pPr>
            <w:r>
              <w:rPr>
                <w:rFonts w:ascii="仿宋" w:hAnsi="仿宋" w:cs="仿宋_GB2312"/>
              </w:rPr>
              <w:t>1.</w:t>
            </w:r>
            <w:r>
              <w:rPr>
                <w:rFonts w:hint="eastAsia" w:ascii="仿宋" w:hAnsi="仿宋" w:cs="仿宋_GB2312"/>
                <w:lang w:val="en-US" w:eastAsia="zh-CN"/>
              </w:rPr>
              <w:t>3</w:t>
            </w:r>
            <w:r>
              <w:rPr>
                <w:rFonts w:ascii="仿宋" w:hAnsi="仿宋" w:cs="仿宋_GB2312"/>
              </w:rPr>
              <w:t>.</w:t>
            </w:r>
            <w:r>
              <w:rPr>
                <w:rFonts w:hint="eastAsia" w:ascii="仿宋" w:hAnsi="仿宋" w:cs="仿宋_GB2312"/>
                <w:lang w:val="en-US" w:eastAsia="zh-CN"/>
              </w:rPr>
              <w:t>6</w:t>
            </w:r>
            <w:r>
              <w:rPr>
                <w:rFonts w:hint="eastAsia" w:ascii="宋体" w:hAnsi="宋体"/>
              </w:rPr>
              <w:t>▲</w:t>
            </w:r>
            <w:r>
              <w:rPr>
                <w:rFonts w:hint="eastAsia" w:ascii="仿宋" w:hAnsi="仿宋" w:cs="仿宋_GB2312"/>
                <w:lang w:val="en-US" w:eastAsia="zh-CN"/>
              </w:rPr>
              <w:t>根据</w:t>
            </w:r>
            <w:r>
              <w:rPr>
                <w:rFonts w:hint="eastAsia" w:ascii="宋体" w:hAnsi="宋体" w:eastAsia="宋体" w:cs="Times New Roman"/>
                <w:kern w:val="2"/>
                <w:sz w:val="21"/>
                <w:szCs w:val="21"/>
              </w:rPr>
              <w:t>全民健康信息平台采集标准</w:t>
            </w:r>
            <w:r>
              <w:rPr>
                <w:rFonts w:hint="eastAsia" w:ascii="宋体" w:hAnsi="宋体" w:cs="Times New Roman"/>
                <w:kern w:val="2"/>
                <w:sz w:val="21"/>
                <w:szCs w:val="21"/>
                <w:lang w:val="en-US" w:eastAsia="zh-CN"/>
              </w:rPr>
              <w:t>新增视图：</w:t>
            </w:r>
            <w:r>
              <w:rPr>
                <w:rFonts w:hint="eastAsia" w:ascii="仿宋" w:hAnsi="仿宋" w:cs="仿宋_GB2312"/>
                <w:lang w:val="en-US" w:eastAsia="zh-CN"/>
              </w:rPr>
              <w:t>医疗设备基础信息、医疗设备采购结果信息、医疗设备投标信息、设备使用管理信息</w:t>
            </w:r>
          </w:p>
        </w:tc>
      </w:tr>
      <w:tr w14:paraId="133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noWrap w:val="0"/>
            <w:vAlign w:val="center"/>
          </w:tcPr>
          <w:p w14:paraId="5505F810">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4</w:t>
            </w:r>
          </w:p>
        </w:tc>
        <w:tc>
          <w:tcPr>
            <w:tcW w:w="2034" w:type="dxa"/>
            <w:vMerge w:val="restart"/>
            <w:noWrap w:val="0"/>
            <w:vAlign w:val="center"/>
          </w:tcPr>
          <w:p w14:paraId="57FA2098">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安全证书</w:t>
            </w:r>
          </w:p>
        </w:tc>
        <w:tc>
          <w:tcPr>
            <w:tcW w:w="6123" w:type="dxa"/>
            <w:noWrap w:val="0"/>
            <w:vAlign w:val="center"/>
          </w:tcPr>
          <w:p w14:paraId="29395E8B">
            <w:pPr>
              <w:widowControl/>
              <w:jc w:val="left"/>
              <w:rPr>
                <w:rFonts w:ascii="宋体" w:hAnsi="宋体" w:eastAsia="宋体" w:cs="Times New Roman"/>
                <w:kern w:val="2"/>
                <w:sz w:val="21"/>
                <w:lang w:val="en-US" w:eastAsia="zh-CN" w:bidi="ar-SA"/>
              </w:rPr>
            </w:pPr>
            <w:r>
              <w:rPr>
                <w:rFonts w:hint="eastAsia" w:ascii="宋体" w:hAnsi="宋体"/>
              </w:rPr>
              <w:t>用于标识应用系统/网站真实身份，防钓鱼防欺诈，建立系统/网站安全通道加密数据传输，防窃取防篡改。证书直接显示网站所有权、企业信息、浏览器直观展现HTTPS、安全锁等显眼标识。</w:t>
            </w:r>
          </w:p>
        </w:tc>
      </w:tr>
      <w:tr w14:paraId="4426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noWrap w:val="0"/>
            <w:vAlign w:val="center"/>
          </w:tcPr>
          <w:p w14:paraId="70D3A256">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5</w:t>
            </w:r>
          </w:p>
        </w:tc>
        <w:tc>
          <w:tcPr>
            <w:tcW w:w="2034" w:type="dxa"/>
            <w:vMerge w:val="continue"/>
            <w:noWrap w:val="0"/>
            <w:vAlign w:val="center"/>
          </w:tcPr>
          <w:p w14:paraId="5DDBF914">
            <w:pPr>
              <w:jc w:val="center"/>
              <w:rPr>
                <w:rFonts w:ascii="宋体" w:hAnsi="宋体" w:cs="宋体"/>
                <w:bCs/>
                <w:color w:val="000000"/>
                <w:szCs w:val="21"/>
              </w:rPr>
            </w:pPr>
          </w:p>
        </w:tc>
        <w:tc>
          <w:tcPr>
            <w:tcW w:w="6123" w:type="dxa"/>
            <w:noWrap w:val="0"/>
            <w:vAlign w:val="center"/>
          </w:tcPr>
          <w:p w14:paraId="373855B2">
            <w:pPr>
              <w:widowControl/>
              <w:jc w:val="left"/>
              <w:rPr>
                <w:rFonts w:ascii="宋体" w:hAnsi="宋体" w:eastAsia="宋体" w:cs="Times New Roman"/>
                <w:kern w:val="2"/>
                <w:sz w:val="21"/>
                <w:lang w:val="en-US" w:eastAsia="zh-CN" w:bidi="ar-SA"/>
              </w:rPr>
            </w:pPr>
            <w:r>
              <w:rPr>
                <w:rFonts w:hint="eastAsia" w:ascii="宋体" w:hAnsi="宋体"/>
              </w:rPr>
              <w:t>▲支持微软浏览器、火狐浏览器、Safari浏览器。提供原厂家根证书入驻微软浏览器、火狐浏览器、Safari浏览器的CA信任列表的官方截图（附查询链接，加盖原厂商公章）。</w:t>
            </w:r>
          </w:p>
        </w:tc>
      </w:tr>
      <w:tr w14:paraId="3251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noWrap w:val="0"/>
            <w:vAlign w:val="center"/>
          </w:tcPr>
          <w:p w14:paraId="297821EA">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6</w:t>
            </w:r>
          </w:p>
        </w:tc>
        <w:tc>
          <w:tcPr>
            <w:tcW w:w="2034" w:type="dxa"/>
            <w:vMerge w:val="continue"/>
            <w:noWrap w:val="0"/>
            <w:vAlign w:val="center"/>
          </w:tcPr>
          <w:p w14:paraId="4968894F">
            <w:pPr>
              <w:jc w:val="center"/>
              <w:rPr>
                <w:rFonts w:ascii="宋体" w:hAnsi="宋体" w:cs="宋体"/>
                <w:bCs/>
                <w:color w:val="000000"/>
                <w:szCs w:val="21"/>
              </w:rPr>
            </w:pPr>
          </w:p>
        </w:tc>
        <w:tc>
          <w:tcPr>
            <w:tcW w:w="6123" w:type="dxa"/>
            <w:noWrap w:val="0"/>
            <w:vAlign w:val="center"/>
          </w:tcPr>
          <w:p w14:paraId="001C7E7F">
            <w:pPr>
              <w:widowControl/>
              <w:jc w:val="left"/>
              <w:rPr>
                <w:rFonts w:ascii="宋体" w:hAnsi="宋体" w:eastAsia="宋体" w:cs="Times New Roman"/>
                <w:kern w:val="2"/>
                <w:sz w:val="21"/>
                <w:lang w:val="en-US" w:eastAsia="zh-CN" w:bidi="ar-SA"/>
              </w:rPr>
            </w:pPr>
            <w:r>
              <w:rPr>
                <w:rFonts w:hint="eastAsia" w:ascii="宋体" w:hAnsi="宋体"/>
              </w:rPr>
              <w:t>加密强度支持使用256位加密，可兼容支持128位。</w:t>
            </w:r>
          </w:p>
        </w:tc>
      </w:tr>
      <w:tr w14:paraId="24FB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noWrap w:val="0"/>
            <w:vAlign w:val="center"/>
          </w:tcPr>
          <w:p w14:paraId="6807DF3D">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7</w:t>
            </w:r>
          </w:p>
        </w:tc>
        <w:tc>
          <w:tcPr>
            <w:tcW w:w="2034" w:type="dxa"/>
            <w:vMerge w:val="continue"/>
            <w:noWrap w:val="0"/>
            <w:vAlign w:val="center"/>
          </w:tcPr>
          <w:p w14:paraId="11E36CF8">
            <w:pPr>
              <w:jc w:val="center"/>
              <w:rPr>
                <w:rFonts w:ascii="宋体" w:hAnsi="宋体" w:cs="宋体"/>
                <w:bCs/>
                <w:color w:val="000000"/>
                <w:szCs w:val="21"/>
              </w:rPr>
            </w:pPr>
          </w:p>
        </w:tc>
        <w:tc>
          <w:tcPr>
            <w:tcW w:w="6123" w:type="dxa"/>
            <w:noWrap w:val="0"/>
            <w:vAlign w:val="center"/>
          </w:tcPr>
          <w:p w14:paraId="32524492">
            <w:pPr>
              <w:widowControl/>
              <w:jc w:val="left"/>
              <w:rPr>
                <w:rFonts w:ascii="宋体" w:hAnsi="宋体" w:eastAsia="宋体" w:cs="Times New Roman"/>
                <w:kern w:val="2"/>
                <w:sz w:val="21"/>
                <w:lang w:val="en-US" w:eastAsia="zh-CN" w:bidi="ar-SA"/>
              </w:rPr>
            </w:pPr>
            <w:r>
              <w:rPr>
                <w:rFonts w:hint="eastAsia" w:ascii="宋体" w:hAnsi="宋体"/>
              </w:rPr>
              <w:t>▲证书服务机构遵循 CA/Browser 论坛（CA/Browser Forum）的相关指引提供SSL 、EV SSL证书服务，SSL证书及EV SSL证书分别符合WebTrust SSL（WebTrust Principles and Criteria for Certification Authorities – SSL Baseline with Network Security v2.3）、WebTrust EV SSL（WebTrust Principles and Criteria for Certification Authorities – Extended Validation SSL V1.6.2）；提供证书服务机构“2022年1月1日至投标截止日的”WebTrust SSL、WebTrust EV SSL审计报告和国家工信部颁发的有效期内的《电子认证服务许可证》复印件。（加盖原厂商公章）</w:t>
            </w:r>
          </w:p>
        </w:tc>
      </w:tr>
      <w:tr w14:paraId="416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3" w:type="dxa"/>
            <w:noWrap w:val="0"/>
            <w:vAlign w:val="center"/>
          </w:tcPr>
          <w:p w14:paraId="1E9BB927">
            <w:pPr>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8</w:t>
            </w:r>
          </w:p>
        </w:tc>
        <w:tc>
          <w:tcPr>
            <w:tcW w:w="2034" w:type="dxa"/>
            <w:vMerge w:val="continue"/>
            <w:noWrap w:val="0"/>
            <w:vAlign w:val="center"/>
          </w:tcPr>
          <w:p w14:paraId="199D9D8E">
            <w:pPr>
              <w:jc w:val="center"/>
              <w:rPr>
                <w:rFonts w:ascii="宋体" w:hAnsi="宋体" w:cs="宋体"/>
                <w:bCs/>
                <w:color w:val="000000"/>
                <w:szCs w:val="21"/>
              </w:rPr>
            </w:pPr>
          </w:p>
        </w:tc>
        <w:tc>
          <w:tcPr>
            <w:tcW w:w="6123" w:type="dxa"/>
            <w:noWrap w:val="0"/>
            <w:vAlign w:val="center"/>
          </w:tcPr>
          <w:p w14:paraId="7E55095D">
            <w:pPr>
              <w:widowControl/>
              <w:jc w:val="left"/>
              <w:rPr>
                <w:rFonts w:ascii="宋体" w:hAnsi="宋体" w:eastAsia="宋体" w:cs="Times New Roman"/>
                <w:kern w:val="2"/>
                <w:sz w:val="21"/>
                <w:lang w:val="en-US" w:eastAsia="zh-CN" w:bidi="ar-SA"/>
              </w:rPr>
            </w:pPr>
            <w:r>
              <w:rPr>
                <w:rFonts w:hint="eastAsia" w:ascii="宋体" w:hAnsi="宋体"/>
              </w:rPr>
              <w:t>根证书-CA证书链密钥长度2048-4096位。</w:t>
            </w:r>
          </w:p>
        </w:tc>
      </w:tr>
    </w:tbl>
    <w:p w14:paraId="064456C7">
      <w:pPr>
        <w:widowControl/>
        <w:jc w:val="left"/>
      </w:pPr>
    </w:p>
    <w:p w14:paraId="19C2886D">
      <w:pPr>
        <w:widowControl/>
        <w:jc w:val="left"/>
      </w:pPr>
    </w:p>
    <w:tbl>
      <w:tblPr>
        <w:tblStyle w:val="15"/>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930"/>
        <w:gridCol w:w="7279"/>
      </w:tblGrid>
      <w:tr w14:paraId="00BB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407" w:type="pct"/>
            <w:noWrap w:val="0"/>
            <w:vAlign w:val="center"/>
          </w:tcPr>
          <w:p w14:paraId="1926508A">
            <w:pPr>
              <w:widowControl/>
              <w:jc w:val="center"/>
              <w:rPr>
                <w:rFonts w:ascii="宋体" w:hAnsi="宋体"/>
                <w:b/>
                <w:bCs/>
              </w:rPr>
            </w:pPr>
            <w:r>
              <w:rPr>
                <w:rFonts w:hint="eastAsia" w:ascii="宋体" w:hAnsi="宋体"/>
                <w:b/>
                <w:bCs/>
              </w:rPr>
              <w:t>序号</w:t>
            </w:r>
          </w:p>
        </w:tc>
        <w:tc>
          <w:tcPr>
            <w:tcW w:w="520" w:type="pct"/>
            <w:noWrap w:val="0"/>
            <w:vAlign w:val="center"/>
          </w:tcPr>
          <w:p w14:paraId="79297709">
            <w:pPr>
              <w:widowControl/>
              <w:jc w:val="center"/>
              <w:rPr>
                <w:rFonts w:ascii="宋体" w:hAnsi="宋体"/>
                <w:b/>
                <w:bCs/>
              </w:rPr>
            </w:pPr>
            <w:r>
              <w:rPr>
                <w:rFonts w:hint="eastAsia" w:ascii="宋体" w:hAnsi="宋体"/>
                <w:b/>
                <w:bCs/>
              </w:rPr>
              <w:t>目录</w:t>
            </w:r>
          </w:p>
        </w:tc>
        <w:tc>
          <w:tcPr>
            <w:tcW w:w="4072" w:type="pct"/>
            <w:noWrap w:val="0"/>
            <w:vAlign w:val="center"/>
          </w:tcPr>
          <w:p w14:paraId="7CE182C5">
            <w:pPr>
              <w:widowControl/>
              <w:jc w:val="center"/>
              <w:rPr>
                <w:rFonts w:ascii="宋体" w:hAnsi="宋体"/>
                <w:b/>
                <w:bCs/>
              </w:rPr>
            </w:pPr>
            <w:r>
              <w:rPr>
                <w:rFonts w:hint="eastAsia" w:ascii="宋体" w:hAnsi="宋体"/>
                <w:b/>
                <w:bCs/>
              </w:rPr>
              <w:t>商务需求</w:t>
            </w:r>
          </w:p>
        </w:tc>
      </w:tr>
      <w:tr w14:paraId="482A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407" w:type="pct"/>
            <w:noWrap w:val="0"/>
            <w:vAlign w:val="center"/>
          </w:tcPr>
          <w:p w14:paraId="46530E45">
            <w:pPr>
              <w:widowControl/>
              <w:jc w:val="center"/>
              <w:rPr>
                <w:rFonts w:ascii="宋体" w:hAnsi="宋体"/>
              </w:rPr>
            </w:pPr>
            <w:r>
              <w:rPr>
                <w:rFonts w:hint="eastAsia" w:ascii="宋体" w:hAnsi="宋体"/>
              </w:rPr>
              <w:t>1</w:t>
            </w:r>
          </w:p>
        </w:tc>
        <w:tc>
          <w:tcPr>
            <w:tcW w:w="520" w:type="pct"/>
            <w:noWrap w:val="0"/>
            <w:vAlign w:val="center"/>
          </w:tcPr>
          <w:p w14:paraId="0FBD6022">
            <w:pPr>
              <w:widowControl/>
              <w:jc w:val="center"/>
              <w:rPr>
                <w:rFonts w:ascii="宋体" w:hAnsi="宋体"/>
              </w:rPr>
            </w:pPr>
            <w:r>
              <w:rPr>
                <w:rFonts w:hint="eastAsia" w:ascii="宋体" w:hAnsi="宋体"/>
              </w:rPr>
              <w:t>服务期限</w:t>
            </w:r>
          </w:p>
        </w:tc>
        <w:tc>
          <w:tcPr>
            <w:tcW w:w="4072" w:type="pct"/>
            <w:noWrap w:val="0"/>
            <w:vAlign w:val="center"/>
          </w:tcPr>
          <w:p w14:paraId="1BF326B0">
            <w:pPr>
              <w:widowControl/>
              <w:jc w:val="left"/>
              <w:rPr>
                <w:rFonts w:ascii="宋体" w:hAnsi="宋体"/>
              </w:rPr>
            </w:pPr>
            <w:r>
              <w:rPr>
                <w:rFonts w:hint="eastAsia" w:ascii="宋体" w:hAnsi="宋体"/>
              </w:rPr>
              <w:t>★自合同签订之日起12个月内完成项目验收。</w:t>
            </w:r>
          </w:p>
        </w:tc>
      </w:tr>
      <w:tr w14:paraId="23E5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7" w:type="pct"/>
            <w:vMerge w:val="restart"/>
            <w:noWrap w:val="0"/>
            <w:vAlign w:val="center"/>
          </w:tcPr>
          <w:p w14:paraId="5D4FD888">
            <w:pPr>
              <w:widowControl/>
              <w:jc w:val="center"/>
              <w:rPr>
                <w:rFonts w:ascii="宋体" w:hAnsi="宋体"/>
              </w:rPr>
            </w:pPr>
            <w:r>
              <w:rPr>
                <w:rFonts w:hint="eastAsia" w:ascii="宋体" w:hAnsi="宋体"/>
              </w:rPr>
              <w:t>2</w:t>
            </w:r>
          </w:p>
        </w:tc>
        <w:tc>
          <w:tcPr>
            <w:tcW w:w="520" w:type="pct"/>
            <w:vMerge w:val="restart"/>
            <w:noWrap w:val="0"/>
            <w:vAlign w:val="center"/>
          </w:tcPr>
          <w:p w14:paraId="1C100305">
            <w:pPr>
              <w:widowControl/>
              <w:jc w:val="center"/>
              <w:rPr>
                <w:rFonts w:ascii="宋体" w:hAnsi="宋体"/>
              </w:rPr>
            </w:pPr>
            <w:r>
              <w:rPr>
                <w:rFonts w:hint="eastAsia" w:ascii="宋体" w:hAnsi="宋体"/>
              </w:rPr>
              <w:t>免费质保期</w:t>
            </w:r>
          </w:p>
        </w:tc>
        <w:tc>
          <w:tcPr>
            <w:tcW w:w="4072" w:type="pct"/>
            <w:noWrap w:val="0"/>
            <w:vAlign w:val="center"/>
          </w:tcPr>
          <w:p w14:paraId="464B1582">
            <w:pPr>
              <w:widowControl/>
              <w:jc w:val="left"/>
              <w:rPr>
                <w:rFonts w:ascii="宋体" w:hAnsi="宋体"/>
              </w:rPr>
            </w:pPr>
            <w:r>
              <w:rPr>
                <w:rFonts w:hint="eastAsia" w:ascii="宋体" w:hAnsi="宋体"/>
              </w:rPr>
              <w:t>★2.1软件类免费质保期至少</w:t>
            </w:r>
            <w:r>
              <w:rPr>
                <w:rFonts w:hint="eastAsia" w:ascii="宋体" w:hAnsi="宋体"/>
                <w:lang w:val="en-US" w:eastAsia="zh-CN"/>
              </w:rPr>
              <w:t>1</w:t>
            </w:r>
            <w:r>
              <w:rPr>
                <w:rFonts w:hint="eastAsia" w:ascii="宋体" w:hAnsi="宋体"/>
              </w:rPr>
              <w:t>年，时间自最终验收合格并交付使用之日起计算，由中标人提供验收文件。</w:t>
            </w:r>
          </w:p>
        </w:tc>
      </w:tr>
      <w:tr w14:paraId="1153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407" w:type="pct"/>
            <w:vMerge w:val="continue"/>
            <w:noWrap w:val="0"/>
            <w:vAlign w:val="center"/>
          </w:tcPr>
          <w:p w14:paraId="3973ED7B">
            <w:pPr>
              <w:widowControl/>
              <w:jc w:val="center"/>
              <w:rPr>
                <w:rFonts w:ascii="宋体" w:hAnsi="宋体"/>
              </w:rPr>
            </w:pPr>
          </w:p>
        </w:tc>
        <w:tc>
          <w:tcPr>
            <w:tcW w:w="520" w:type="pct"/>
            <w:vMerge w:val="continue"/>
            <w:noWrap w:val="0"/>
            <w:vAlign w:val="center"/>
          </w:tcPr>
          <w:p w14:paraId="4CA2C264">
            <w:pPr>
              <w:widowControl/>
              <w:jc w:val="center"/>
              <w:rPr>
                <w:rFonts w:ascii="宋体" w:hAnsi="宋体"/>
              </w:rPr>
            </w:pPr>
          </w:p>
        </w:tc>
        <w:tc>
          <w:tcPr>
            <w:tcW w:w="4072" w:type="pct"/>
            <w:noWrap w:val="0"/>
            <w:vAlign w:val="center"/>
          </w:tcPr>
          <w:p w14:paraId="67EF5F31">
            <w:pPr>
              <w:widowControl/>
              <w:jc w:val="left"/>
              <w:rPr>
                <w:rFonts w:ascii="宋体" w:hAnsi="宋体"/>
              </w:rPr>
            </w:pPr>
            <w:r>
              <w:rPr>
                <w:rFonts w:hint="eastAsia" w:ascii="宋体" w:hAnsi="宋体"/>
              </w:rPr>
              <w:t>2.2 质保期内，一旦物资管理系统发生质量问题，免费质保。中标人保证提供7×24小时的远程技术支持，确保1小时内作出实质性响应，2小时内到达现场（如电话响应无法解决）；一般性故障4小时内修复，如在4小时内无法解决，则须提供应急解决方案，确保在12小时内恢复正常运行。</w:t>
            </w:r>
          </w:p>
        </w:tc>
      </w:tr>
      <w:tr w14:paraId="55C8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407" w:type="pct"/>
            <w:vMerge w:val="continue"/>
            <w:noWrap w:val="0"/>
            <w:vAlign w:val="center"/>
          </w:tcPr>
          <w:p w14:paraId="58BB41FA">
            <w:pPr>
              <w:widowControl/>
              <w:jc w:val="center"/>
              <w:rPr>
                <w:rFonts w:ascii="宋体" w:hAnsi="宋体"/>
              </w:rPr>
            </w:pPr>
          </w:p>
        </w:tc>
        <w:tc>
          <w:tcPr>
            <w:tcW w:w="520" w:type="pct"/>
            <w:vMerge w:val="continue"/>
            <w:noWrap w:val="0"/>
            <w:vAlign w:val="center"/>
          </w:tcPr>
          <w:p w14:paraId="0A7C04E7">
            <w:pPr>
              <w:widowControl/>
              <w:jc w:val="center"/>
              <w:rPr>
                <w:rFonts w:ascii="宋体" w:hAnsi="宋体"/>
              </w:rPr>
            </w:pPr>
          </w:p>
        </w:tc>
        <w:tc>
          <w:tcPr>
            <w:tcW w:w="4072" w:type="pct"/>
            <w:noWrap w:val="0"/>
            <w:vAlign w:val="center"/>
          </w:tcPr>
          <w:p w14:paraId="36CDD05C">
            <w:pPr>
              <w:widowControl/>
              <w:jc w:val="left"/>
              <w:rPr>
                <w:rFonts w:ascii="宋体" w:hAnsi="宋体"/>
              </w:rPr>
            </w:pPr>
            <w:r>
              <w:rPr>
                <w:rFonts w:hint="eastAsia" w:ascii="宋体" w:hAnsi="宋体"/>
              </w:rPr>
              <w:t>2.3 所有产品质保服务方式均为中标人上门服务，即由中标人派员到产品使用现场维修，由此产生的一切费用均由中标人承担。</w:t>
            </w:r>
          </w:p>
        </w:tc>
      </w:tr>
      <w:tr w14:paraId="7B51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407" w:type="pct"/>
            <w:vMerge w:val="restart"/>
            <w:noWrap w:val="0"/>
            <w:vAlign w:val="center"/>
          </w:tcPr>
          <w:p w14:paraId="754FABCB">
            <w:pPr>
              <w:widowControl/>
              <w:jc w:val="center"/>
              <w:rPr>
                <w:rFonts w:ascii="宋体" w:hAnsi="宋体"/>
              </w:rPr>
            </w:pPr>
            <w:r>
              <w:rPr>
                <w:rFonts w:hint="eastAsia" w:ascii="宋体" w:hAnsi="宋体"/>
              </w:rPr>
              <w:t>3</w:t>
            </w:r>
          </w:p>
        </w:tc>
        <w:tc>
          <w:tcPr>
            <w:tcW w:w="520" w:type="pct"/>
            <w:vMerge w:val="restart"/>
            <w:noWrap w:val="0"/>
            <w:vAlign w:val="center"/>
          </w:tcPr>
          <w:p w14:paraId="2D1E5766">
            <w:pPr>
              <w:widowControl/>
              <w:jc w:val="center"/>
              <w:rPr>
                <w:rFonts w:ascii="宋体" w:hAnsi="宋体"/>
              </w:rPr>
            </w:pPr>
            <w:r>
              <w:rPr>
                <w:rFonts w:hint="eastAsia" w:ascii="宋体" w:hAnsi="宋体"/>
              </w:rPr>
              <w:t>培训</w:t>
            </w:r>
          </w:p>
        </w:tc>
        <w:tc>
          <w:tcPr>
            <w:tcW w:w="4072" w:type="pct"/>
            <w:noWrap w:val="0"/>
            <w:vAlign w:val="center"/>
          </w:tcPr>
          <w:p w14:paraId="7A254F0B">
            <w:pPr>
              <w:widowControl/>
              <w:jc w:val="left"/>
              <w:rPr>
                <w:rFonts w:ascii="宋体" w:hAnsi="宋体"/>
              </w:rPr>
            </w:pPr>
            <w:r>
              <w:rPr>
                <w:rFonts w:hint="eastAsia" w:ascii="宋体" w:hAnsi="宋体"/>
              </w:rPr>
              <w:t>3.1安排专业人员免费在现场对采购单位使用科室人员进行专业的培训，并对维修工程师进行维护、维修培训。保证使用人员能够熟练掌握各种设备和软件等常规使用方法，以及小故障的判断与解决。</w:t>
            </w:r>
          </w:p>
        </w:tc>
      </w:tr>
      <w:tr w14:paraId="78387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407" w:type="pct"/>
            <w:vMerge w:val="continue"/>
            <w:noWrap w:val="0"/>
            <w:vAlign w:val="center"/>
          </w:tcPr>
          <w:p w14:paraId="24A054C8">
            <w:pPr>
              <w:widowControl/>
              <w:jc w:val="center"/>
              <w:rPr>
                <w:rFonts w:ascii="宋体" w:hAnsi="宋体"/>
              </w:rPr>
            </w:pPr>
          </w:p>
        </w:tc>
        <w:tc>
          <w:tcPr>
            <w:tcW w:w="520" w:type="pct"/>
            <w:vMerge w:val="continue"/>
            <w:noWrap w:val="0"/>
            <w:vAlign w:val="center"/>
          </w:tcPr>
          <w:p w14:paraId="0DB0C298">
            <w:pPr>
              <w:widowControl/>
              <w:jc w:val="center"/>
              <w:rPr>
                <w:rFonts w:ascii="宋体" w:hAnsi="宋体"/>
              </w:rPr>
            </w:pPr>
          </w:p>
        </w:tc>
        <w:tc>
          <w:tcPr>
            <w:tcW w:w="4072" w:type="pct"/>
            <w:noWrap w:val="0"/>
            <w:vAlign w:val="center"/>
          </w:tcPr>
          <w:p w14:paraId="2C15FE6F">
            <w:pPr>
              <w:widowControl/>
              <w:jc w:val="left"/>
              <w:rPr>
                <w:rFonts w:ascii="宋体" w:hAnsi="宋体"/>
              </w:rPr>
            </w:pPr>
            <w:r>
              <w:rPr>
                <w:rFonts w:hint="eastAsia" w:ascii="宋体" w:hAnsi="宋体"/>
              </w:rPr>
              <w:t>3.2现场培训：中标供应商应提供现场技术培训，保证使用人员正常使用系统的各种功能。</w:t>
            </w:r>
          </w:p>
        </w:tc>
      </w:tr>
      <w:tr w14:paraId="0B06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407" w:type="pct"/>
            <w:noWrap w:val="0"/>
            <w:vAlign w:val="center"/>
          </w:tcPr>
          <w:p w14:paraId="34A5CEE2">
            <w:pPr>
              <w:widowControl/>
              <w:jc w:val="center"/>
              <w:rPr>
                <w:rFonts w:ascii="宋体" w:hAnsi="宋体"/>
              </w:rPr>
            </w:pPr>
            <w:r>
              <w:rPr>
                <w:rFonts w:hint="eastAsia" w:ascii="宋体" w:hAnsi="宋体"/>
              </w:rPr>
              <w:t>4</w:t>
            </w:r>
          </w:p>
        </w:tc>
        <w:tc>
          <w:tcPr>
            <w:tcW w:w="520" w:type="pct"/>
            <w:noWrap w:val="0"/>
            <w:vAlign w:val="center"/>
          </w:tcPr>
          <w:p w14:paraId="49A29E99">
            <w:pPr>
              <w:widowControl/>
              <w:jc w:val="center"/>
              <w:rPr>
                <w:rFonts w:ascii="宋体" w:hAnsi="宋体"/>
              </w:rPr>
            </w:pPr>
            <w:r>
              <w:rPr>
                <w:rFonts w:hint="eastAsia" w:ascii="宋体" w:hAnsi="宋体"/>
              </w:rPr>
              <w:t>免费质保期外售后服务要求</w:t>
            </w:r>
          </w:p>
        </w:tc>
        <w:tc>
          <w:tcPr>
            <w:tcW w:w="4072" w:type="pct"/>
            <w:noWrap w:val="0"/>
            <w:vAlign w:val="center"/>
          </w:tcPr>
          <w:p w14:paraId="3B4F146D">
            <w:pPr>
              <w:widowControl/>
              <w:jc w:val="left"/>
              <w:rPr>
                <w:rFonts w:ascii="宋体" w:hAnsi="宋体"/>
              </w:rPr>
            </w:pPr>
            <w:r>
              <w:rPr>
                <w:rFonts w:hint="eastAsia" w:ascii="宋体" w:hAnsi="宋体"/>
              </w:rPr>
              <w:t>免费质保期后继续支持运维工作，并按不超过合同总金额10%收取维保费。</w:t>
            </w:r>
          </w:p>
        </w:tc>
      </w:tr>
      <w:tr w14:paraId="23A0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07" w:type="pct"/>
            <w:noWrap w:val="0"/>
            <w:vAlign w:val="center"/>
          </w:tcPr>
          <w:p w14:paraId="67B10B16">
            <w:pPr>
              <w:widowControl/>
              <w:jc w:val="center"/>
              <w:rPr>
                <w:rFonts w:ascii="宋体" w:hAnsi="宋体"/>
              </w:rPr>
            </w:pPr>
            <w:r>
              <w:rPr>
                <w:rFonts w:hint="eastAsia" w:ascii="宋体" w:hAnsi="宋体"/>
              </w:rPr>
              <w:t>5</w:t>
            </w:r>
          </w:p>
        </w:tc>
        <w:tc>
          <w:tcPr>
            <w:tcW w:w="520" w:type="pct"/>
            <w:noWrap w:val="0"/>
            <w:vAlign w:val="center"/>
          </w:tcPr>
          <w:p w14:paraId="730510B3">
            <w:pPr>
              <w:widowControl/>
              <w:jc w:val="center"/>
              <w:rPr>
                <w:rFonts w:ascii="宋体" w:hAnsi="宋体"/>
              </w:rPr>
            </w:pPr>
            <w:r>
              <w:rPr>
                <w:rFonts w:hint="eastAsia" w:ascii="宋体" w:hAnsi="宋体"/>
              </w:rPr>
              <w:t>★付款方式</w:t>
            </w:r>
          </w:p>
        </w:tc>
        <w:tc>
          <w:tcPr>
            <w:tcW w:w="4072" w:type="pct"/>
            <w:noWrap w:val="0"/>
            <w:vAlign w:val="center"/>
          </w:tcPr>
          <w:p w14:paraId="0382304D">
            <w:pPr>
              <w:widowControl/>
              <w:jc w:val="left"/>
              <w:rPr>
                <w:rFonts w:hint="eastAsia" w:ascii="宋体" w:hAnsi="宋体" w:eastAsia="宋体"/>
                <w:lang w:val="en-US" w:eastAsia="zh-CN"/>
              </w:rPr>
            </w:pPr>
            <w:r>
              <w:rPr>
                <w:rFonts w:hint="eastAsia" w:ascii="宋体" w:hAnsi="宋体"/>
              </w:rPr>
              <w:t>合同签订后，中标人向采购人提供有效发票后，采购人向中标人支付合同总金额的</w:t>
            </w:r>
            <w:r>
              <w:rPr>
                <w:rFonts w:hint="eastAsia" w:ascii="宋体" w:hAnsi="宋体"/>
                <w:lang w:val="en-US" w:eastAsia="zh-CN"/>
              </w:rPr>
              <w:t>30</w:t>
            </w:r>
            <w:r>
              <w:rPr>
                <w:rFonts w:hint="eastAsia" w:ascii="宋体" w:hAnsi="宋体"/>
              </w:rPr>
              <w:t>%</w:t>
            </w:r>
            <w:r>
              <w:rPr>
                <w:rFonts w:hint="eastAsia" w:ascii="宋体" w:hAnsi="宋体"/>
                <w:lang w:eastAsia="zh-CN"/>
              </w:rPr>
              <w:t>，</w:t>
            </w:r>
            <w:r>
              <w:rPr>
                <w:rFonts w:hint="eastAsia" w:ascii="宋体" w:hAnsi="宋体"/>
              </w:rPr>
              <w:t>系统完成交付验收合格后，支付剩余款项。</w:t>
            </w:r>
          </w:p>
          <w:p w14:paraId="5273A8D9">
            <w:pPr>
              <w:widowControl/>
              <w:jc w:val="left"/>
              <w:rPr>
                <w:rFonts w:ascii="宋体" w:hAnsi="宋体"/>
              </w:rPr>
            </w:pPr>
            <w:r>
              <w:rPr>
                <w:rFonts w:hint="eastAsia" w:ascii="宋体" w:hAnsi="宋体"/>
              </w:rPr>
              <w:t>每次按合同支付款项前，中标人应向采购人提供与支付金额相符的有效发票，且收款方、出具发票方、合同乙方均必须与中标人名称一致。</w:t>
            </w:r>
          </w:p>
        </w:tc>
      </w:tr>
      <w:tr w14:paraId="1760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407" w:type="pct"/>
            <w:vMerge w:val="restart"/>
            <w:noWrap w:val="0"/>
            <w:vAlign w:val="center"/>
          </w:tcPr>
          <w:p w14:paraId="362231D0">
            <w:pPr>
              <w:widowControl/>
              <w:jc w:val="center"/>
              <w:rPr>
                <w:rFonts w:ascii="宋体" w:hAnsi="宋体"/>
              </w:rPr>
            </w:pPr>
            <w:r>
              <w:rPr>
                <w:rFonts w:hint="eastAsia" w:ascii="宋体" w:hAnsi="宋体"/>
              </w:rPr>
              <w:t>6</w:t>
            </w:r>
          </w:p>
        </w:tc>
        <w:tc>
          <w:tcPr>
            <w:tcW w:w="520" w:type="pct"/>
            <w:vMerge w:val="restart"/>
            <w:noWrap w:val="0"/>
            <w:vAlign w:val="center"/>
          </w:tcPr>
          <w:p w14:paraId="0EEB0ABA">
            <w:pPr>
              <w:widowControl/>
              <w:jc w:val="center"/>
              <w:rPr>
                <w:rFonts w:ascii="宋体" w:hAnsi="宋体"/>
              </w:rPr>
            </w:pPr>
            <w:r>
              <w:rPr>
                <w:rFonts w:hint="eastAsia" w:ascii="宋体" w:hAnsi="宋体"/>
              </w:rPr>
              <w:t>关于知识产权</w:t>
            </w:r>
          </w:p>
        </w:tc>
        <w:tc>
          <w:tcPr>
            <w:tcW w:w="4072" w:type="pct"/>
            <w:noWrap w:val="0"/>
            <w:vAlign w:val="center"/>
          </w:tcPr>
          <w:p w14:paraId="69A32053">
            <w:pPr>
              <w:widowControl/>
              <w:jc w:val="left"/>
              <w:rPr>
                <w:rFonts w:ascii="宋体" w:hAnsi="宋体"/>
              </w:rPr>
            </w:pPr>
            <w:r>
              <w:rPr>
                <w:rFonts w:hint="eastAsia" w:ascii="宋体" w:hAnsi="宋体"/>
              </w:rPr>
              <w:t>6.1中标人所提供的产品必须符合国家有关软件产品方面的规定和软件标准规范,没有侵犯第三方的合法权利和涉及第三方的诉讼。</w:t>
            </w:r>
          </w:p>
        </w:tc>
      </w:tr>
      <w:tr w14:paraId="2073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407" w:type="pct"/>
            <w:vMerge w:val="continue"/>
            <w:noWrap w:val="0"/>
            <w:vAlign w:val="center"/>
          </w:tcPr>
          <w:p w14:paraId="1CB978CD">
            <w:pPr>
              <w:widowControl/>
              <w:jc w:val="center"/>
              <w:rPr>
                <w:rFonts w:ascii="宋体" w:hAnsi="宋体"/>
              </w:rPr>
            </w:pPr>
          </w:p>
        </w:tc>
        <w:tc>
          <w:tcPr>
            <w:tcW w:w="520" w:type="pct"/>
            <w:vMerge w:val="continue"/>
            <w:noWrap w:val="0"/>
            <w:vAlign w:val="center"/>
          </w:tcPr>
          <w:p w14:paraId="7D02E29A">
            <w:pPr>
              <w:widowControl/>
              <w:jc w:val="center"/>
              <w:rPr>
                <w:rFonts w:ascii="宋体" w:hAnsi="宋体"/>
              </w:rPr>
            </w:pPr>
          </w:p>
        </w:tc>
        <w:tc>
          <w:tcPr>
            <w:tcW w:w="4072" w:type="pct"/>
            <w:noWrap w:val="0"/>
            <w:vAlign w:val="center"/>
          </w:tcPr>
          <w:p w14:paraId="2C26ED9B">
            <w:pPr>
              <w:widowControl/>
              <w:jc w:val="left"/>
              <w:rPr>
                <w:rFonts w:ascii="宋体" w:hAnsi="宋体"/>
              </w:rPr>
            </w:pPr>
            <w:r>
              <w:rPr>
                <w:rFonts w:hint="eastAsia" w:ascii="宋体" w:hAnsi="宋体"/>
              </w:rPr>
              <w:t>6.2采购人在中华人民共和国境内使用该产品或产品的任何一部分时，免受第三方提出的侵犯其专利权、商标权或工业设计权等知识产权的起诉或司法干预。如果发生上述起诉或干预，则其法律责任均由中标人负责。</w:t>
            </w:r>
          </w:p>
        </w:tc>
      </w:tr>
      <w:tr w14:paraId="6925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407" w:type="pct"/>
            <w:vMerge w:val="restart"/>
            <w:noWrap w:val="0"/>
            <w:vAlign w:val="center"/>
          </w:tcPr>
          <w:p w14:paraId="3563818E">
            <w:pPr>
              <w:widowControl/>
              <w:jc w:val="center"/>
              <w:rPr>
                <w:rFonts w:ascii="宋体" w:hAnsi="宋体"/>
              </w:rPr>
            </w:pPr>
            <w:r>
              <w:rPr>
                <w:rFonts w:hint="eastAsia" w:ascii="宋体" w:hAnsi="宋体"/>
              </w:rPr>
              <w:t>7</w:t>
            </w:r>
          </w:p>
        </w:tc>
        <w:tc>
          <w:tcPr>
            <w:tcW w:w="520" w:type="pct"/>
            <w:vMerge w:val="restart"/>
            <w:noWrap w:val="0"/>
            <w:vAlign w:val="center"/>
          </w:tcPr>
          <w:p w14:paraId="59C95A75">
            <w:pPr>
              <w:widowControl/>
              <w:jc w:val="center"/>
              <w:rPr>
                <w:rFonts w:ascii="宋体" w:hAnsi="宋体"/>
              </w:rPr>
            </w:pPr>
            <w:r>
              <w:rPr>
                <w:rFonts w:hint="eastAsia" w:ascii="宋体" w:hAnsi="宋体"/>
              </w:rPr>
              <w:t>★关于验收</w:t>
            </w:r>
          </w:p>
        </w:tc>
        <w:tc>
          <w:tcPr>
            <w:tcW w:w="4072" w:type="pct"/>
            <w:noWrap w:val="0"/>
            <w:vAlign w:val="center"/>
          </w:tcPr>
          <w:p w14:paraId="3651A4B3">
            <w:pPr>
              <w:widowControl/>
              <w:jc w:val="left"/>
              <w:rPr>
                <w:rFonts w:ascii="宋体" w:hAnsi="宋体"/>
              </w:rPr>
            </w:pPr>
            <w:r>
              <w:rPr>
                <w:rFonts w:hint="eastAsia" w:ascii="宋体" w:hAnsi="宋体"/>
              </w:rPr>
              <w:t>7.1中标人交付的物资管理系统应当完全符合采购人招标文件技术规格书的要求。中标人提供的物资管理系统不符合招投标文件和合同规定的，采购人有权拒绝验收，由此引起的风险及费用由中标人承担。</w:t>
            </w:r>
          </w:p>
        </w:tc>
      </w:tr>
      <w:tr w14:paraId="14B3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407" w:type="pct"/>
            <w:vMerge w:val="continue"/>
            <w:noWrap w:val="0"/>
            <w:vAlign w:val="center"/>
          </w:tcPr>
          <w:p w14:paraId="109C467D">
            <w:pPr>
              <w:widowControl/>
              <w:jc w:val="center"/>
              <w:rPr>
                <w:rFonts w:ascii="宋体" w:hAnsi="宋体"/>
              </w:rPr>
            </w:pPr>
          </w:p>
        </w:tc>
        <w:tc>
          <w:tcPr>
            <w:tcW w:w="520" w:type="pct"/>
            <w:vMerge w:val="continue"/>
            <w:noWrap w:val="0"/>
            <w:vAlign w:val="center"/>
          </w:tcPr>
          <w:p w14:paraId="2CD68719">
            <w:pPr>
              <w:widowControl/>
              <w:jc w:val="center"/>
              <w:rPr>
                <w:rFonts w:ascii="宋体" w:hAnsi="宋体"/>
              </w:rPr>
            </w:pPr>
          </w:p>
        </w:tc>
        <w:tc>
          <w:tcPr>
            <w:tcW w:w="4072" w:type="pct"/>
            <w:noWrap w:val="0"/>
            <w:vAlign w:val="center"/>
          </w:tcPr>
          <w:p w14:paraId="344C774D">
            <w:pPr>
              <w:widowControl/>
              <w:jc w:val="left"/>
              <w:rPr>
                <w:rFonts w:ascii="宋体" w:hAnsi="宋体"/>
              </w:rPr>
            </w:pPr>
            <w:r>
              <w:rPr>
                <w:rFonts w:hint="eastAsia" w:ascii="宋体" w:hAnsi="宋体"/>
              </w:rPr>
              <w:t>7.2由采购人与中标人双方共同对物资管理系统进行验收，验收不合格，采购人有权要求中标人进行整改，中标人整改完成后再次组织验收，验收合格后交付采购人使收用。</w:t>
            </w:r>
          </w:p>
        </w:tc>
      </w:tr>
      <w:tr w14:paraId="335E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407" w:type="pct"/>
            <w:vMerge w:val="continue"/>
            <w:noWrap w:val="0"/>
            <w:vAlign w:val="center"/>
          </w:tcPr>
          <w:p w14:paraId="390F58A6">
            <w:pPr>
              <w:widowControl/>
              <w:jc w:val="center"/>
              <w:rPr>
                <w:rFonts w:ascii="宋体" w:hAnsi="宋体"/>
              </w:rPr>
            </w:pPr>
          </w:p>
        </w:tc>
        <w:tc>
          <w:tcPr>
            <w:tcW w:w="520" w:type="pct"/>
            <w:vMerge w:val="continue"/>
            <w:noWrap w:val="0"/>
            <w:vAlign w:val="center"/>
          </w:tcPr>
          <w:p w14:paraId="3D775C55">
            <w:pPr>
              <w:widowControl/>
              <w:jc w:val="center"/>
              <w:rPr>
                <w:rFonts w:ascii="宋体" w:hAnsi="宋体"/>
              </w:rPr>
            </w:pPr>
          </w:p>
        </w:tc>
        <w:tc>
          <w:tcPr>
            <w:tcW w:w="4072" w:type="pct"/>
            <w:noWrap w:val="0"/>
            <w:vAlign w:val="center"/>
          </w:tcPr>
          <w:p w14:paraId="295865D6">
            <w:pPr>
              <w:widowControl/>
              <w:jc w:val="left"/>
              <w:rPr>
                <w:rFonts w:ascii="宋体" w:hAnsi="宋体"/>
              </w:rPr>
            </w:pPr>
            <w:r>
              <w:rPr>
                <w:rFonts w:hint="eastAsia" w:ascii="宋体" w:hAnsi="宋体"/>
              </w:rPr>
              <w:t>7.3当满足以下条件时，采购人才向中标人签发验收报告：</w:t>
            </w:r>
          </w:p>
          <w:p w14:paraId="256C6FF0">
            <w:pPr>
              <w:widowControl/>
              <w:jc w:val="left"/>
              <w:rPr>
                <w:rFonts w:ascii="宋体" w:hAnsi="宋体"/>
              </w:rPr>
            </w:pPr>
            <w:r>
              <w:rPr>
                <w:rFonts w:hint="eastAsia" w:ascii="宋体" w:hAnsi="宋体"/>
              </w:rPr>
              <w:t>7.3.1中标人已按照合同规定提供了全部产品及完整的技术资料。</w:t>
            </w:r>
          </w:p>
          <w:p w14:paraId="4DF1AFE4">
            <w:pPr>
              <w:widowControl/>
              <w:jc w:val="left"/>
              <w:rPr>
                <w:rFonts w:ascii="宋体" w:hAnsi="宋体"/>
              </w:rPr>
            </w:pPr>
            <w:r>
              <w:rPr>
                <w:rFonts w:hint="eastAsia" w:ascii="宋体" w:hAnsi="宋体"/>
              </w:rPr>
              <w:t>7.3.2产品符合招标文件技术规格书的要求，性能满足要求。</w:t>
            </w:r>
          </w:p>
        </w:tc>
      </w:tr>
      <w:tr w14:paraId="2A52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407" w:type="pct"/>
            <w:vMerge w:val="restart"/>
            <w:noWrap w:val="0"/>
            <w:vAlign w:val="center"/>
          </w:tcPr>
          <w:p w14:paraId="111CAA36">
            <w:pPr>
              <w:widowControl/>
              <w:jc w:val="center"/>
              <w:rPr>
                <w:rFonts w:ascii="宋体" w:hAnsi="宋体"/>
              </w:rPr>
            </w:pPr>
            <w:r>
              <w:rPr>
                <w:rFonts w:hint="eastAsia" w:ascii="宋体" w:hAnsi="宋体"/>
              </w:rPr>
              <w:t>8</w:t>
            </w:r>
          </w:p>
        </w:tc>
        <w:tc>
          <w:tcPr>
            <w:tcW w:w="520" w:type="pct"/>
            <w:vMerge w:val="restart"/>
            <w:noWrap w:val="0"/>
            <w:vAlign w:val="center"/>
          </w:tcPr>
          <w:p w14:paraId="6F64C573">
            <w:pPr>
              <w:widowControl/>
              <w:jc w:val="center"/>
              <w:rPr>
                <w:rFonts w:ascii="宋体" w:hAnsi="宋体"/>
              </w:rPr>
            </w:pPr>
            <w:r>
              <w:rPr>
                <w:rFonts w:hint="eastAsia" w:ascii="宋体" w:hAnsi="宋体"/>
              </w:rPr>
              <w:t>基本要求</w:t>
            </w:r>
          </w:p>
        </w:tc>
        <w:tc>
          <w:tcPr>
            <w:tcW w:w="4072" w:type="pct"/>
            <w:noWrap w:val="0"/>
            <w:vAlign w:val="center"/>
          </w:tcPr>
          <w:p w14:paraId="632F31E2">
            <w:pPr>
              <w:widowControl/>
              <w:jc w:val="left"/>
              <w:rPr>
                <w:rFonts w:ascii="宋体" w:hAnsi="宋体"/>
              </w:rPr>
            </w:pPr>
            <w:r>
              <w:rPr>
                <w:rFonts w:hint="eastAsia" w:ascii="宋体" w:hAnsi="宋体"/>
              </w:rPr>
              <w:t>8.1中标人需在采购人规定的时间内完成项目交付。</w:t>
            </w:r>
          </w:p>
        </w:tc>
      </w:tr>
      <w:tr w14:paraId="5DE7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407" w:type="pct"/>
            <w:vMerge w:val="continue"/>
            <w:noWrap w:val="0"/>
            <w:vAlign w:val="center"/>
          </w:tcPr>
          <w:p w14:paraId="76F4BF04">
            <w:pPr>
              <w:widowControl/>
              <w:jc w:val="center"/>
              <w:rPr>
                <w:rFonts w:ascii="宋体" w:hAnsi="宋体"/>
              </w:rPr>
            </w:pPr>
          </w:p>
        </w:tc>
        <w:tc>
          <w:tcPr>
            <w:tcW w:w="520" w:type="pct"/>
            <w:vMerge w:val="continue"/>
            <w:noWrap w:val="0"/>
            <w:vAlign w:val="center"/>
          </w:tcPr>
          <w:p w14:paraId="6E43AE5E">
            <w:pPr>
              <w:widowControl/>
              <w:jc w:val="center"/>
              <w:rPr>
                <w:rFonts w:ascii="宋体" w:hAnsi="宋体"/>
              </w:rPr>
            </w:pPr>
          </w:p>
        </w:tc>
        <w:tc>
          <w:tcPr>
            <w:tcW w:w="4072" w:type="pct"/>
            <w:noWrap w:val="0"/>
            <w:vAlign w:val="center"/>
          </w:tcPr>
          <w:p w14:paraId="0E8E54E5">
            <w:pPr>
              <w:widowControl/>
              <w:jc w:val="left"/>
              <w:rPr>
                <w:rFonts w:ascii="宋体" w:hAnsi="宋体"/>
              </w:rPr>
            </w:pPr>
            <w:r>
              <w:rPr>
                <w:rFonts w:hint="eastAsia" w:ascii="宋体" w:hAnsi="宋体"/>
              </w:rPr>
              <w:t>8.2采购人反复提出修改意见导致中标人工作不能按时完成时，可按延长时间顺延执行。</w:t>
            </w:r>
          </w:p>
        </w:tc>
      </w:tr>
      <w:tr w14:paraId="2D27B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407" w:type="pct"/>
            <w:vMerge w:val="restart"/>
            <w:noWrap w:val="0"/>
            <w:vAlign w:val="center"/>
          </w:tcPr>
          <w:p w14:paraId="6A725018">
            <w:pPr>
              <w:widowControl/>
              <w:jc w:val="center"/>
              <w:rPr>
                <w:rFonts w:ascii="宋体" w:hAnsi="宋体"/>
              </w:rPr>
            </w:pPr>
            <w:r>
              <w:rPr>
                <w:rFonts w:hint="eastAsia" w:ascii="宋体" w:hAnsi="宋体"/>
              </w:rPr>
              <w:t>9</w:t>
            </w:r>
          </w:p>
        </w:tc>
        <w:tc>
          <w:tcPr>
            <w:tcW w:w="520" w:type="pct"/>
            <w:vMerge w:val="restart"/>
            <w:noWrap w:val="0"/>
            <w:vAlign w:val="center"/>
          </w:tcPr>
          <w:p w14:paraId="4DDCC9AF">
            <w:pPr>
              <w:widowControl/>
              <w:jc w:val="center"/>
              <w:rPr>
                <w:rFonts w:ascii="宋体" w:hAnsi="宋体"/>
              </w:rPr>
            </w:pPr>
            <w:r>
              <w:rPr>
                <w:rFonts w:hint="eastAsia" w:ascii="宋体" w:hAnsi="宋体"/>
              </w:rPr>
              <w:t>关于违约</w:t>
            </w:r>
          </w:p>
        </w:tc>
        <w:tc>
          <w:tcPr>
            <w:tcW w:w="4072" w:type="pct"/>
            <w:noWrap w:val="0"/>
            <w:vAlign w:val="center"/>
          </w:tcPr>
          <w:p w14:paraId="404B7E92">
            <w:pPr>
              <w:widowControl/>
              <w:jc w:val="left"/>
              <w:rPr>
                <w:rFonts w:ascii="宋体" w:hAnsi="宋体"/>
              </w:rPr>
            </w:pPr>
            <w:r>
              <w:rPr>
                <w:rFonts w:hint="eastAsia" w:ascii="宋体" w:hAnsi="宋体"/>
              </w:rPr>
              <w:t>9.1中标人所交付产品不符合其投标承诺的或在投标阶段为了中标而盲目虚假承诺、低价恶性竞争，在履约阶段则通过偷工减料、以次充好而获取利润的，将扣除货款并列入采购人黑名单，3年内不能参与采购人招标采购。并上报主管部门。</w:t>
            </w:r>
          </w:p>
        </w:tc>
      </w:tr>
      <w:tr w14:paraId="50DB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407" w:type="pct"/>
            <w:vMerge w:val="continue"/>
            <w:noWrap w:val="0"/>
            <w:vAlign w:val="center"/>
          </w:tcPr>
          <w:p w14:paraId="357400EA">
            <w:pPr>
              <w:widowControl/>
              <w:jc w:val="left"/>
              <w:rPr>
                <w:rFonts w:ascii="宋体" w:hAnsi="宋体"/>
              </w:rPr>
            </w:pPr>
          </w:p>
        </w:tc>
        <w:tc>
          <w:tcPr>
            <w:tcW w:w="520" w:type="pct"/>
            <w:vMerge w:val="continue"/>
            <w:noWrap w:val="0"/>
            <w:vAlign w:val="center"/>
          </w:tcPr>
          <w:p w14:paraId="08F59249">
            <w:pPr>
              <w:widowControl/>
              <w:jc w:val="left"/>
              <w:rPr>
                <w:rFonts w:ascii="宋体" w:hAnsi="宋体"/>
              </w:rPr>
            </w:pPr>
          </w:p>
        </w:tc>
        <w:tc>
          <w:tcPr>
            <w:tcW w:w="4072" w:type="pct"/>
            <w:noWrap w:val="0"/>
            <w:vAlign w:val="center"/>
          </w:tcPr>
          <w:p w14:paraId="4653755D">
            <w:pPr>
              <w:widowControl/>
              <w:jc w:val="left"/>
              <w:rPr>
                <w:rFonts w:ascii="宋体" w:hAnsi="宋体"/>
              </w:rPr>
            </w:pPr>
            <w:r>
              <w:rPr>
                <w:rFonts w:hint="eastAsia" w:ascii="宋体" w:hAnsi="宋体"/>
              </w:rPr>
              <w:t>9.2具体违约责任：</w:t>
            </w:r>
          </w:p>
          <w:p w14:paraId="68065756">
            <w:pPr>
              <w:widowControl/>
              <w:jc w:val="left"/>
              <w:rPr>
                <w:rFonts w:ascii="宋体" w:hAnsi="宋体"/>
              </w:rPr>
            </w:pPr>
            <w:r>
              <w:rPr>
                <w:rFonts w:hint="eastAsia" w:ascii="宋体" w:hAnsi="宋体"/>
              </w:rPr>
              <w:t>9.2.1中标人与采购人双方均应忠实履行合同约定的各项内容，任何一方违反本合同，</w:t>
            </w:r>
            <w:r>
              <w:rPr>
                <w:rFonts w:hint="eastAsia" w:ascii="宋体" w:hAnsi="宋体"/>
                <w:lang w:val="zh-TW" w:eastAsia="zh-TW"/>
              </w:rPr>
              <w:t>另一方有权要求违反规定方限期改正。如果双方调解无效，违约方应向受损方承担违约责任，并赔偿受损方因此遭受的损失</w:t>
            </w:r>
            <w:r>
              <w:rPr>
                <w:rFonts w:hint="eastAsia" w:ascii="宋体" w:hAnsi="宋体"/>
                <w:lang w:val="zh-TW"/>
              </w:rPr>
              <w:t>。</w:t>
            </w:r>
          </w:p>
          <w:p w14:paraId="5127670C">
            <w:pPr>
              <w:widowControl/>
              <w:jc w:val="left"/>
              <w:rPr>
                <w:rFonts w:ascii="宋体" w:hAnsi="宋体"/>
              </w:rPr>
            </w:pPr>
            <w:r>
              <w:rPr>
                <w:rFonts w:hint="eastAsia" w:ascii="宋体" w:hAnsi="宋体"/>
              </w:rPr>
              <w:t>9.2.2由于中标人原因导致未能在规定时限内完成系统上线的，每延迟一天扣除合同金额的 0.1 %。</w:t>
            </w:r>
          </w:p>
          <w:p w14:paraId="6E8337EA">
            <w:pPr>
              <w:widowControl/>
              <w:jc w:val="left"/>
              <w:rPr>
                <w:rFonts w:ascii="宋体" w:hAnsi="宋体"/>
              </w:rPr>
            </w:pPr>
            <w:r>
              <w:rPr>
                <w:rFonts w:hint="eastAsia" w:ascii="宋体" w:hAnsi="宋体"/>
              </w:rPr>
              <w:t>9.2.3因中标人原因导致发生以下情形之一，采购人有权单方解除本合同，中标人应向采购人退回已支付的全部款项，且采购人有权要求中标人支付根本违约的违约人民币 / 元或者按照服务费总金额的 10 %支付违约金（以高者为准）：</w:t>
            </w:r>
          </w:p>
          <w:p w14:paraId="52390FD0">
            <w:pPr>
              <w:widowControl/>
              <w:jc w:val="left"/>
              <w:rPr>
                <w:rFonts w:ascii="宋体" w:hAnsi="宋体"/>
              </w:rPr>
            </w:pPr>
            <w:r>
              <w:rPr>
                <w:rFonts w:hint="eastAsia" w:ascii="宋体" w:hAnsi="宋体"/>
              </w:rPr>
              <w:t>（1）中标人上线逾期超过 30 天；</w:t>
            </w:r>
          </w:p>
          <w:p w14:paraId="0709FC3D">
            <w:pPr>
              <w:widowControl/>
              <w:jc w:val="left"/>
              <w:rPr>
                <w:rFonts w:ascii="宋体" w:hAnsi="宋体"/>
              </w:rPr>
            </w:pPr>
            <w:r>
              <w:rPr>
                <w:rFonts w:hint="eastAsia" w:ascii="宋体" w:hAnsi="宋体"/>
              </w:rPr>
              <w:t>（2）未经采购人书面同意，中标人将本合同项下部分或全部工作委托给第三方承担的；</w:t>
            </w:r>
          </w:p>
          <w:p w14:paraId="19D6FC97">
            <w:pPr>
              <w:widowControl/>
              <w:jc w:val="left"/>
              <w:rPr>
                <w:rFonts w:ascii="宋体" w:hAnsi="宋体"/>
              </w:rPr>
            </w:pPr>
            <w:r>
              <w:rPr>
                <w:rFonts w:hint="eastAsia" w:ascii="宋体" w:hAnsi="宋体"/>
              </w:rPr>
              <w:t>（3）中标人不履行本合同义务或不按期参加采购人组织的工作例会。</w:t>
            </w:r>
          </w:p>
          <w:p w14:paraId="0BCF1BE5">
            <w:pPr>
              <w:widowControl/>
              <w:jc w:val="left"/>
              <w:rPr>
                <w:rFonts w:ascii="宋体" w:hAnsi="宋体"/>
              </w:rPr>
            </w:pPr>
            <w:r>
              <w:rPr>
                <w:rFonts w:hint="eastAsia" w:ascii="宋体" w:hAnsi="宋体"/>
              </w:rPr>
              <w:t>9.2.4如中标人原因导致提供的系统软件存在侵犯第三方知识产权或其他合法权益的情形，中标人除了承担全部赔偿责任</w:t>
            </w:r>
            <w:r>
              <w:rPr>
                <w:rFonts w:hint="eastAsia" w:ascii="宋体" w:hAnsi="宋体"/>
                <w:lang w:val="zh-TW" w:eastAsia="zh-TW"/>
              </w:rPr>
              <w:t>（包括但不仅限于因此产生的直接损失、因此而产生的诉讼费、律师费等各项间接费用）</w:t>
            </w:r>
            <w:r>
              <w:rPr>
                <w:rFonts w:hint="eastAsia" w:ascii="宋体" w:hAnsi="宋体"/>
              </w:rPr>
              <w:t>之外，还应按照合同总金额 5 %向采购人支付违约金。</w:t>
            </w:r>
          </w:p>
          <w:p w14:paraId="26E030AE">
            <w:pPr>
              <w:widowControl/>
              <w:jc w:val="left"/>
              <w:rPr>
                <w:rFonts w:ascii="宋体" w:hAnsi="宋体"/>
              </w:rPr>
            </w:pPr>
            <w:r>
              <w:rPr>
                <w:rFonts w:hint="eastAsia" w:ascii="宋体" w:hAnsi="宋体"/>
              </w:rPr>
              <w:t>9.2.5实施期和质保期内，若中标人被采购人投诉，经双方调查后确认为有效投诉的每次扣除 500 元。</w:t>
            </w:r>
          </w:p>
          <w:p w14:paraId="137DAB48">
            <w:pPr>
              <w:widowControl/>
              <w:jc w:val="left"/>
              <w:rPr>
                <w:rFonts w:ascii="宋体" w:hAnsi="宋体"/>
              </w:rPr>
            </w:pPr>
            <w:r>
              <w:rPr>
                <w:rFonts w:hint="eastAsia" w:ascii="宋体" w:hAnsi="宋体"/>
              </w:rPr>
              <w:t>9.2.6</w:t>
            </w:r>
            <w:r>
              <w:rPr>
                <w:rFonts w:hint="eastAsia" w:ascii="宋体" w:hAnsi="宋体"/>
                <w:lang w:val="zh-TW"/>
              </w:rPr>
              <w:t>由于</w:t>
            </w:r>
            <w:r>
              <w:rPr>
                <w:rFonts w:hint="eastAsia" w:ascii="宋体" w:hAnsi="宋体"/>
              </w:rPr>
              <w:t>中标人</w:t>
            </w:r>
            <w:r>
              <w:rPr>
                <w:rFonts w:hint="eastAsia" w:ascii="宋体" w:hAnsi="宋体"/>
                <w:lang w:val="zh-TW"/>
              </w:rPr>
              <w:t>原因导致</w:t>
            </w:r>
            <w:r>
              <w:rPr>
                <w:rFonts w:hint="eastAsia" w:ascii="宋体" w:hAnsi="宋体"/>
                <w:lang w:val="zh-TW" w:eastAsia="zh-TW"/>
              </w:rPr>
              <w:t>无</w:t>
            </w:r>
            <w:r>
              <w:rPr>
                <w:rFonts w:hint="eastAsia" w:ascii="宋体" w:hAnsi="宋体"/>
                <w:lang w:val="zh-TW"/>
              </w:rPr>
              <w:t>法完成</w:t>
            </w:r>
            <w:r>
              <w:rPr>
                <w:rFonts w:hint="eastAsia" w:ascii="宋体" w:hAnsi="宋体"/>
                <w:lang w:val="zh-TW" w:eastAsia="zh-TW"/>
              </w:rPr>
              <w:t>该系统</w:t>
            </w:r>
            <w:r>
              <w:rPr>
                <w:rFonts w:hint="eastAsia" w:ascii="宋体" w:hAnsi="宋体"/>
                <w:lang w:val="zh-TW"/>
              </w:rPr>
              <w:t>上线，</w:t>
            </w:r>
            <w:r>
              <w:rPr>
                <w:rFonts w:hint="eastAsia" w:ascii="宋体" w:hAnsi="宋体"/>
              </w:rPr>
              <w:t>中标人</w:t>
            </w:r>
            <w:r>
              <w:rPr>
                <w:rFonts w:hint="eastAsia" w:ascii="宋体" w:hAnsi="宋体"/>
                <w:lang w:val="zh-TW"/>
              </w:rPr>
              <w:t>应退回</w:t>
            </w:r>
            <w:r>
              <w:rPr>
                <w:rFonts w:hint="eastAsia" w:ascii="宋体" w:hAnsi="宋体"/>
              </w:rPr>
              <w:t>采购人</w:t>
            </w:r>
            <w:r>
              <w:rPr>
                <w:rFonts w:hint="eastAsia" w:ascii="宋体" w:hAnsi="宋体"/>
                <w:lang w:val="zh-TW"/>
              </w:rPr>
              <w:t>已支付的所有款项，因系统无法上线造成</w:t>
            </w:r>
            <w:r>
              <w:rPr>
                <w:rFonts w:hint="eastAsia" w:ascii="宋体" w:hAnsi="宋体"/>
              </w:rPr>
              <w:t>采购人</w:t>
            </w:r>
            <w:r>
              <w:rPr>
                <w:rFonts w:hint="eastAsia" w:ascii="宋体" w:hAnsi="宋体"/>
                <w:lang w:val="zh-TW" w:eastAsia="zh-TW"/>
              </w:rPr>
              <w:t>的一切责任和损失均由</w:t>
            </w:r>
            <w:r>
              <w:rPr>
                <w:rFonts w:hint="eastAsia" w:ascii="宋体" w:hAnsi="宋体"/>
              </w:rPr>
              <w:t>中标人</w:t>
            </w:r>
            <w:r>
              <w:rPr>
                <w:rFonts w:hint="eastAsia" w:ascii="宋体" w:hAnsi="宋体"/>
                <w:lang w:val="zh-TW" w:eastAsia="zh-TW"/>
              </w:rPr>
              <w:t>负责并赔偿相应的全部损失（包括但不限于因此产生的直接损失、因此而产生的诉讼费、律师费等各项间接费用）</w:t>
            </w:r>
            <w:r>
              <w:rPr>
                <w:rFonts w:hint="eastAsia" w:ascii="宋体" w:hAnsi="宋体"/>
                <w:lang w:val="zh-TW"/>
              </w:rPr>
              <w:t>。</w:t>
            </w:r>
          </w:p>
        </w:tc>
      </w:tr>
    </w:tbl>
    <w:p w14:paraId="35A6E566">
      <w:pPr>
        <w:widowControl/>
        <w:jc w:val="left"/>
      </w:pPr>
      <w:r>
        <w:br w:type="page"/>
      </w:r>
    </w:p>
    <w:p w14:paraId="1475FB0C">
      <w:pPr>
        <w:widowControl/>
        <w:jc w:val="left"/>
      </w:pPr>
    </w:p>
    <w:p w14:paraId="429AF608">
      <w:pPr>
        <w:widowControl/>
        <w:jc w:val="left"/>
      </w:pPr>
    </w:p>
    <w:p w14:paraId="1486663B">
      <w:pPr>
        <w:widowControl/>
        <w:jc w:val="left"/>
      </w:pPr>
    </w:p>
    <w:p w14:paraId="1C4D1A28">
      <w:pPr>
        <w:widowControl/>
        <w:jc w:val="left"/>
      </w:pPr>
    </w:p>
    <w:p w14:paraId="5A3F346F">
      <w:pPr>
        <w:widowControl/>
        <w:jc w:val="left"/>
      </w:pPr>
    </w:p>
    <w:p w14:paraId="4BED3EC5">
      <w:pPr>
        <w:widowControl/>
        <w:jc w:val="left"/>
      </w:pPr>
    </w:p>
    <w:p w14:paraId="5DA6E4FF">
      <w:pPr>
        <w:widowControl/>
        <w:jc w:val="left"/>
      </w:pPr>
    </w:p>
    <w:p w14:paraId="55DD496B">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58264EE0">
      <w:pPr>
        <w:spacing w:line="360" w:lineRule="auto"/>
        <w:rPr>
          <w:rFonts w:hint="eastAsia" w:ascii="宋体" w:hAnsi="宋体"/>
          <w:b/>
          <w:sz w:val="24"/>
          <w:szCs w:val="24"/>
        </w:rPr>
      </w:pPr>
    </w:p>
    <w:p w14:paraId="1B319A93">
      <w:pPr>
        <w:spacing w:line="360" w:lineRule="auto"/>
        <w:jc w:val="center"/>
        <w:rPr>
          <w:rFonts w:hint="eastAsia" w:ascii="宋体" w:hAnsi="宋体"/>
          <w:b/>
          <w:sz w:val="24"/>
          <w:szCs w:val="24"/>
        </w:rPr>
      </w:pPr>
    </w:p>
    <w:p w14:paraId="7A5E53F1">
      <w:pPr>
        <w:spacing w:line="360" w:lineRule="auto"/>
        <w:rPr>
          <w:rFonts w:hint="eastAsia" w:ascii="宋体" w:hAnsi="宋体"/>
          <w:b/>
          <w:sz w:val="24"/>
          <w:szCs w:val="24"/>
        </w:rPr>
      </w:pPr>
    </w:p>
    <w:p w14:paraId="0A2E9949">
      <w:pPr>
        <w:spacing w:line="360" w:lineRule="auto"/>
        <w:rPr>
          <w:rFonts w:hint="eastAsia" w:ascii="宋体" w:hAnsi="宋体"/>
          <w:b/>
          <w:sz w:val="24"/>
          <w:szCs w:val="24"/>
        </w:rPr>
      </w:pPr>
    </w:p>
    <w:p w14:paraId="766B4F1B">
      <w:pPr>
        <w:spacing w:line="360" w:lineRule="auto"/>
        <w:rPr>
          <w:rFonts w:hint="eastAsia" w:ascii="宋体" w:hAnsi="宋体"/>
          <w:b/>
          <w:sz w:val="24"/>
          <w:szCs w:val="24"/>
        </w:rPr>
      </w:pPr>
    </w:p>
    <w:p w14:paraId="083E5A16">
      <w:pPr>
        <w:spacing w:line="360" w:lineRule="auto"/>
        <w:rPr>
          <w:rFonts w:hint="eastAsia" w:ascii="宋体" w:hAnsi="宋体"/>
          <w:b/>
          <w:sz w:val="24"/>
          <w:szCs w:val="24"/>
        </w:rPr>
      </w:pPr>
    </w:p>
    <w:p w14:paraId="7701E257">
      <w:pPr>
        <w:spacing w:line="360" w:lineRule="auto"/>
        <w:rPr>
          <w:rFonts w:hint="eastAsia" w:ascii="宋体" w:hAnsi="宋体"/>
          <w:b/>
          <w:sz w:val="24"/>
          <w:szCs w:val="24"/>
        </w:rPr>
      </w:pPr>
    </w:p>
    <w:p w14:paraId="5A3606D0">
      <w:pPr>
        <w:spacing w:line="360" w:lineRule="auto"/>
        <w:rPr>
          <w:rFonts w:hint="eastAsia" w:ascii="宋体" w:hAnsi="宋体"/>
          <w:b/>
          <w:sz w:val="24"/>
          <w:szCs w:val="24"/>
        </w:rPr>
      </w:pPr>
    </w:p>
    <w:p w14:paraId="60E6D019">
      <w:pPr>
        <w:spacing w:line="360" w:lineRule="auto"/>
        <w:rPr>
          <w:rFonts w:hint="eastAsia" w:ascii="宋体" w:hAnsi="宋体"/>
          <w:b/>
          <w:sz w:val="24"/>
          <w:szCs w:val="24"/>
        </w:rPr>
      </w:pPr>
    </w:p>
    <w:p w14:paraId="35459F68">
      <w:pPr>
        <w:spacing w:line="360" w:lineRule="auto"/>
        <w:rPr>
          <w:rFonts w:hint="eastAsia" w:ascii="宋体" w:hAnsi="宋体"/>
          <w:b/>
          <w:sz w:val="24"/>
          <w:szCs w:val="24"/>
        </w:rPr>
      </w:pPr>
    </w:p>
    <w:p w14:paraId="4DCFDE32">
      <w:pPr>
        <w:spacing w:line="360" w:lineRule="auto"/>
        <w:rPr>
          <w:rFonts w:hint="eastAsia" w:ascii="宋体" w:hAnsi="宋体"/>
          <w:b/>
          <w:sz w:val="24"/>
          <w:szCs w:val="24"/>
        </w:rPr>
      </w:pPr>
    </w:p>
    <w:p w14:paraId="68A29AAF">
      <w:pPr>
        <w:spacing w:line="360" w:lineRule="auto"/>
        <w:rPr>
          <w:rFonts w:hint="eastAsia" w:ascii="宋体" w:hAnsi="宋体"/>
          <w:b/>
          <w:sz w:val="24"/>
          <w:szCs w:val="24"/>
        </w:rPr>
      </w:pPr>
    </w:p>
    <w:p w14:paraId="3B85395F">
      <w:pPr>
        <w:spacing w:line="360" w:lineRule="auto"/>
        <w:rPr>
          <w:rFonts w:hint="eastAsia" w:ascii="宋体" w:hAnsi="宋体"/>
          <w:b/>
          <w:sz w:val="24"/>
          <w:szCs w:val="24"/>
        </w:rPr>
      </w:pPr>
    </w:p>
    <w:p w14:paraId="4C479CB1">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宋体" w:hAnsi="宋体"/>
          <w:b/>
          <w:sz w:val="24"/>
          <w:szCs w:val="24"/>
          <w:u w:val="single"/>
        </w:rPr>
        <w:t xml:space="preserve">  SEYZB-FW-202</w:t>
      </w:r>
      <w:r>
        <w:rPr>
          <w:rFonts w:hint="eastAsia" w:ascii="宋体" w:hAnsi="宋体"/>
          <w:b/>
          <w:sz w:val="24"/>
          <w:szCs w:val="24"/>
          <w:u w:val="single"/>
          <w:lang w:val="en-US" w:eastAsia="zh-CN"/>
        </w:rPr>
        <w:t>6</w:t>
      </w:r>
      <w:r>
        <w:rPr>
          <w:rFonts w:hint="eastAsia" w:ascii="宋体" w:hAnsi="宋体"/>
          <w:b/>
          <w:sz w:val="24"/>
          <w:szCs w:val="24"/>
          <w:u w:val="single"/>
        </w:rPr>
        <w:t xml:space="preserve">             </w:t>
      </w:r>
    </w:p>
    <w:p w14:paraId="220F6BB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674BB64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F3C2559">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0B1BAA7">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8013F16">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682E687E">
      <w:pPr>
        <w:spacing w:before="120" w:after="240"/>
        <w:jc w:val="center"/>
        <w:rPr>
          <w:rFonts w:eastAsia="黑体"/>
          <w:color w:val="000000"/>
          <w:sz w:val="30"/>
          <w:szCs w:val="30"/>
        </w:rPr>
      </w:pPr>
      <w:r>
        <w:rPr>
          <w:rFonts w:eastAsia="黑体"/>
          <w:color w:val="000000"/>
          <w:sz w:val="30"/>
          <w:szCs w:val="30"/>
        </w:rPr>
        <w:t>开标一览表</w:t>
      </w:r>
    </w:p>
    <w:p w14:paraId="12A93B68">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071676F1">
      <w:pPr>
        <w:spacing w:line="360" w:lineRule="auto"/>
        <w:rPr>
          <w:color w:val="000000"/>
          <w:szCs w:val="21"/>
        </w:rPr>
      </w:pPr>
    </w:p>
    <w:tbl>
      <w:tblPr>
        <w:tblStyle w:val="1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3260"/>
        <w:gridCol w:w="3224"/>
        <w:gridCol w:w="1908"/>
      </w:tblGrid>
      <w:tr w14:paraId="748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vAlign w:val="center"/>
          </w:tcPr>
          <w:p w14:paraId="7CB7859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w:t>
            </w:r>
          </w:p>
        </w:tc>
        <w:tc>
          <w:tcPr>
            <w:tcW w:w="3260" w:type="dxa"/>
            <w:vAlign w:val="center"/>
          </w:tcPr>
          <w:p w14:paraId="205C49B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投标保证金</w:t>
            </w:r>
          </w:p>
        </w:tc>
        <w:tc>
          <w:tcPr>
            <w:tcW w:w="3224" w:type="dxa"/>
            <w:vAlign w:val="center"/>
          </w:tcPr>
          <w:p w14:paraId="6ECACD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1908" w:type="dxa"/>
            <w:vAlign w:val="center"/>
          </w:tcPr>
          <w:p w14:paraId="44E380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40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14:paraId="072398C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60" w:type="dxa"/>
          </w:tcPr>
          <w:p w14:paraId="6292BF8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24" w:type="dxa"/>
          </w:tcPr>
          <w:p w14:paraId="1861427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908" w:type="dxa"/>
          </w:tcPr>
          <w:p w14:paraId="43210C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7B9A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3"/>
            <w:vAlign w:val="center"/>
          </w:tcPr>
          <w:p w14:paraId="0C5E64F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1908" w:type="dxa"/>
          </w:tcPr>
          <w:p w14:paraId="7C2AB1F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6484B31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511A465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5B5DE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9EABD4F">
      <w:pPr>
        <w:spacing w:line="300" w:lineRule="auto"/>
        <w:rPr>
          <w:rFonts w:hint="eastAsia" w:ascii="宋体" w:hAnsi="宋体"/>
          <w:bCs/>
          <w:sz w:val="24"/>
          <w:szCs w:val="24"/>
        </w:rPr>
      </w:pPr>
      <w:r>
        <w:rPr>
          <w:rFonts w:ascii="宋体" w:hAnsi="宋体"/>
          <w:color w:val="000000"/>
          <w:szCs w:val="21"/>
        </w:rPr>
        <w:br w:type="page"/>
      </w:r>
    </w:p>
    <w:p w14:paraId="42F60FDF">
      <w:pPr>
        <w:rPr>
          <w:rFonts w:hint="eastAsia" w:ascii="宋体" w:hAnsi="宋体"/>
          <w:color w:val="000000"/>
          <w:szCs w:val="21"/>
        </w:rPr>
      </w:pPr>
      <w:r>
        <w:rPr>
          <w:rFonts w:ascii="宋体" w:hAnsi="宋体"/>
          <w:color w:val="000000"/>
          <w:szCs w:val="21"/>
        </w:rPr>
        <w:t>格式3. 投标分项报价表格式</w:t>
      </w:r>
    </w:p>
    <w:p w14:paraId="36894B94">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5DACCC89">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6927B3D2">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42F4D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15DD79F">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271C6B29">
      <w:pPr>
        <w:spacing w:line="20" w:lineRule="exact"/>
        <w:rPr>
          <w:color w:val="000000"/>
          <w:szCs w:val="21"/>
          <w:u w:val="single"/>
        </w:rPr>
      </w:pPr>
    </w:p>
    <w:p w14:paraId="3081B810">
      <w:pPr>
        <w:spacing w:line="360" w:lineRule="auto"/>
        <w:rPr>
          <w:color w:val="000000"/>
          <w:szCs w:val="21"/>
          <w:u w:val="single"/>
        </w:rPr>
      </w:pPr>
    </w:p>
    <w:p w14:paraId="665AA7AF">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79F5B86">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62976B06">
      <w:pPr>
        <w:spacing w:line="360" w:lineRule="auto"/>
        <w:rPr>
          <w:rFonts w:hint="eastAsia" w:ascii="宋体" w:hAnsi="宋体"/>
          <w:color w:val="000000"/>
          <w:szCs w:val="21"/>
        </w:rPr>
      </w:pPr>
      <w:r>
        <w:rPr>
          <w:rFonts w:ascii="宋体" w:hAnsi="宋体"/>
          <w:color w:val="000000"/>
          <w:szCs w:val="21"/>
        </w:rPr>
        <w:t xml:space="preserve">    2、如果不提供详细分项报价将视为没有实质性相应招标文件。</w:t>
      </w:r>
    </w:p>
    <w:p w14:paraId="375C213C">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622F67EB">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5EB47C72">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2602BD5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00E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FCE3B3C">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69FD353A">
            <w:pPr>
              <w:jc w:val="center"/>
              <w:rPr>
                <w:color w:val="000000"/>
                <w:szCs w:val="24"/>
              </w:rPr>
            </w:pPr>
            <w:r>
              <w:rPr>
                <w:color w:val="000000"/>
                <w:szCs w:val="24"/>
              </w:rPr>
              <w:t>招标文件技术需求</w:t>
            </w:r>
          </w:p>
        </w:tc>
        <w:tc>
          <w:tcPr>
            <w:tcW w:w="1832" w:type="dxa"/>
            <w:vAlign w:val="center"/>
          </w:tcPr>
          <w:p w14:paraId="1E3F661B">
            <w:pPr>
              <w:jc w:val="center"/>
              <w:rPr>
                <w:color w:val="000000"/>
                <w:sz w:val="24"/>
                <w:szCs w:val="24"/>
              </w:rPr>
            </w:pPr>
            <w:r>
              <w:rPr>
                <w:color w:val="000000"/>
                <w:szCs w:val="24"/>
              </w:rPr>
              <w:t>投标人响应情况</w:t>
            </w:r>
          </w:p>
        </w:tc>
        <w:tc>
          <w:tcPr>
            <w:tcW w:w="1675" w:type="dxa"/>
            <w:vAlign w:val="center"/>
          </w:tcPr>
          <w:p w14:paraId="3246CF16">
            <w:pPr>
              <w:jc w:val="center"/>
              <w:rPr>
                <w:color w:val="000000"/>
                <w:szCs w:val="24"/>
              </w:rPr>
            </w:pPr>
            <w:r>
              <w:rPr>
                <w:color w:val="000000"/>
                <w:szCs w:val="24"/>
              </w:rPr>
              <w:t>是否有偏离</w:t>
            </w:r>
          </w:p>
          <w:p w14:paraId="63177E68">
            <w:pPr>
              <w:jc w:val="center"/>
              <w:rPr>
                <w:color w:val="000000"/>
                <w:sz w:val="24"/>
                <w:szCs w:val="24"/>
              </w:rPr>
            </w:pPr>
            <w:r>
              <w:rPr>
                <w:color w:val="000000"/>
                <w:szCs w:val="24"/>
              </w:rPr>
              <w:t>（填写有/无）</w:t>
            </w:r>
          </w:p>
        </w:tc>
        <w:tc>
          <w:tcPr>
            <w:tcW w:w="1673" w:type="dxa"/>
            <w:vAlign w:val="center"/>
          </w:tcPr>
          <w:p w14:paraId="3162B201">
            <w:pPr>
              <w:jc w:val="center"/>
              <w:rPr>
                <w:color w:val="000000"/>
                <w:sz w:val="24"/>
                <w:szCs w:val="24"/>
              </w:rPr>
            </w:pPr>
            <w:r>
              <w:rPr>
                <w:color w:val="000000"/>
                <w:szCs w:val="24"/>
              </w:rPr>
              <w:t>偏离说明</w:t>
            </w:r>
          </w:p>
        </w:tc>
      </w:tr>
      <w:tr w14:paraId="6B1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ADD9E0">
            <w:pPr>
              <w:spacing w:line="360" w:lineRule="auto"/>
              <w:rPr>
                <w:rFonts w:hint="eastAsia" w:ascii="宋体" w:hAnsi="宋体"/>
                <w:color w:val="000000"/>
                <w:szCs w:val="21"/>
                <w:u w:val="single"/>
              </w:rPr>
            </w:pPr>
          </w:p>
        </w:tc>
        <w:tc>
          <w:tcPr>
            <w:tcW w:w="1980" w:type="dxa"/>
          </w:tcPr>
          <w:p w14:paraId="5DB0B411">
            <w:pPr>
              <w:spacing w:line="360" w:lineRule="auto"/>
              <w:rPr>
                <w:color w:val="000000"/>
                <w:szCs w:val="21"/>
                <w:u w:val="single"/>
              </w:rPr>
            </w:pPr>
          </w:p>
        </w:tc>
        <w:tc>
          <w:tcPr>
            <w:tcW w:w="1832" w:type="dxa"/>
          </w:tcPr>
          <w:p w14:paraId="2A1EBE5A">
            <w:pPr>
              <w:spacing w:line="360" w:lineRule="auto"/>
              <w:rPr>
                <w:color w:val="000000"/>
                <w:szCs w:val="21"/>
                <w:u w:val="single"/>
              </w:rPr>
            </w:pPr>
          </w:p>
        </w:tc>
        <w:tc>
          <w:tcPr>
            <w:tcW w:w="1675" w:type="dxa"/>
          </w:tcPr>
          <w:p w14:paraId="5A617F77">
            <w:pPr>
              <w:spacing w:line="360" w:lineRule="auto"/>
              <w:rPr>
                <w:color w:val="000000"/>
                <w:szCs w:val="21"/>
                <w:u w:val="single"/>
              </w:rPr>
            </w:pPr>
          </w:p>
        </w:tc>
        <w:tc>
          <w:tcPr>
            <w:tcW w:w="1673" w:type="dxa"/>
          </w:tcPr>
          <w:p w14:paraId="636F360F">
            <w:pPr>
              <w:spacing w:line="360" w:lineRule="auto"/>
              <w:rPr>
                <w:color w:val="000000"/>
                <w:szCs w:val="21"/>
                <w:u w:val="single"/>
              </w:rPr>
            </w:pPr>
          </w:p>
        </w:tc>
      </w:tr>
      <w:tr w14:paraId="7D3E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8575039">
            <w:pPr>
              <w:spacing w:line="360" w:lineRule="auto"/>
              <w:rPr>
                <w:color w:val="000000"/>
                <w:szCs w:val="21"/>
                <w:u w:val="single"/>
              </w:rPr>
            </w:pPr>
          </w:p>
        </w:tc>
        <w:tc>
          <w:tcPr>
            <w:tcW w:w="1980" w:type="dxa"/>
          </w:tcPr>
          <w:p w14:paraId="69E9E547">
            <w:pPr>
              <w:spacing w:line="360" w:lineRule="auto"/>
              <w:rPr>
                <w:color w:val="000000"/>
                <w:szCs w:val="21"/>
                <w:u w:val="single"/>
              </w:rPr>
            </w:pPr>
          </w:p>
        </w:tc>
        <w:tc>
          <w:tcPr>
            <w:tcW w:w="1832" w:type="dxa"/>
          </w:tcPr>
          <w:p w14:paraId="5F0EF3D7">
            <w:pPr>
              <w:spacing w:line="360" w:lineRule="auto"/>
              <w:rPr>
                <w:color w:val="000000"/>
                <w:szCs w:val="21"/>
                <w:u w:val="single"/>
              </w:rPr>
            </w:pPr>
          </w:p>
        </w:tc>
        <w:tc>
          <w:tcPr>
            <w:tcW w:w="1675" w:type="dxa"/>
          </w:tcPr>
          <w:p w14:paraId="759DF11E">
            <w:pPr>
              <w:spacing w:line="360" w:lineRule="auto"/>
              <w:rPr>
                <w:color w:val="000000"/>
                <w:szCs w:val="21"/>
                <w:u w:val="single"/>
              </w:rPr>
            </w:pPr>
          </w:p>
        </w:tc>
        <w:tc>
          <w:tcPr>
            <w:tcW w:w="1673" w:type="dxa"/>
          </w:tcPr>
          <w:p w14:paraId="3F5E7C59">
            <w:pPr>
              <w:spacing w:line="360" w:lineRule="auto"/>
              <w:rPr>
                <w:color w:val="000000"/>
                <w:szCs w:val="21"/>
                <w:u w:val="single"/>
              </w:rPr>
            </w:pPr>
          </w:p>
        </w:tc>
      </w:tr>
      <w:tr w14:paraId="028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CC1AB57">
            <w:pPr>
              <w:spacing w:line="360" w:lineRule="auto"/>
              <w:rPr>
                <w:color w:val="000000"/>
                <w:szCs w:val="21"/>
                <w:u w:val="single"/>
              </w:rPr>
            </w:pPr>
          </w:p>
        </w:tc>
        <w:tc>
          <w:tcPr>
            <w:tcW w:w="1980" w:type="dxa"/>
          </w:tcPr>
          <w:p w14:paraId="5CFEF46C">
            <w:pPr>
              <w:spacing w:line="360" w:lineRule="auto"/>
              <w:rPr>
                <w:color w:val="000000"/>
                <w:szCs w:val="21"/>
                <w:u w:val="single"/>
              </w:rPr>
            </w:pPr>
          </w:p>
        </w:tc>
        <w:tc>
          <w:tcPr>
            <w:tcW w:w="1832" w:type="dxa"/>
          </w:tcPr>
          <w:p w14:paraId="1C94E5C5">
            <w:pPr>
              <w:spacing w:line="360" w:lineRule="auto"/>
              <w:rPr>
                <w:color w:val="000000"/>
                <w:szCs w:val="21"/>
                <w:u w:val="single"/>
              </w:rPr>
            </w:pPr>
          </w:p>
        </w:tc>
        <w:tc>
          <w:tcPr>
            <w:tcW w:w="1675" w:type="dxa"/>
          </w:tcPr>
          <w:p w14:paraId="680FD0E9">
            <w:pPr>
              <w:spacing w:line="360" w:lineRule="auto"/>
              <w:rPr>
                <w:color w:val="000000"/>
                <w:szCs w:val="21"/>
                <w:u w:val="single"/>
              </w:rPr>
            </w:pPr>
          </w:p>
        </w:tc>
        <w:tc>
          <w:tcPr>
            <w:tcW w:w="1673" w:type="dxa"/>
          </w:tcPr>
          <w:p w14:paraId="4793975E">
            <w:pPr>
              <w:spacing w:line="360" w:lineRule="auto"/>
              <w:rPr>
                <w:color w:val="000000"/>
                <w:szCs w:val="21"/>
                <w:u w:val="single"/>
              </w:rPr>
            </w:pPr>
          </w:p>
        </w:tc>
      </w:tr>
      <w:tr w14:paraId="4857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2405A5A">
            <w:pPr>
              <w:spacing w:line="360" w:lineRule="auto"/>
              <w:rPr>
                <w:color w:val="000000"/>
                <w:szCs w:val="21"/>
                <w:u w:val="single"/>
              </w:rPr>
            </w:pPr>
          </w:p>
        </w:tc>
        <w:tc>
          <w:tcPr>
            <w:tcW w:w="1980" w:type="dxa"/>
          </w:tcPr>
          <w:p w14:paraId="0D7CC632">
            <w:pPr>
              <w:spacing w:line="360" w:lineRule="auto"/>
              <w:rPr>
                <w:color w:val="000000"/>
                <w:szCs w:val="21"/>
                <w:u w:val="single"/>
              </w:rPr>
            </w:pPr>
          </w:p>
        </w:tc>
        <w:tc>
          <w:tcPr>
            <w:tcW w:w="1832" w:type="dxa"/>
          </w:tcPr>
          <w:p w14:paraId="53E7BF8F">
            <w:pPr>
              <w:spacing w:line="360" w:lineRule="auto"/>
              <w:rPr>
                <w:color w:val="000000"/>
                <w:szCs w:val="21"/>
                <w:u w:val="single"/>
              </w:rPr>
            </w:pPr>
          </w:p>
        </w:tc>
        <w:tc>
          <w:tcPr>
            <w:tcW w:w="1675" w:type="dxa"/>
          </w:tcPr>
          <w:p w14:paraId="221AFE87">
            <w:pPr>
              <w:spacing w:line="360" w:lineRule="auto"/>
              <w:rPr>
                <w:color w:val="000000"/>
                <w:szCs w:val="21"/>
                <w:u w:val="single"/>
              </w:rPr>
            </w:pPr>
          </w:p>
        </w:tc>
        <w:tc>
          <w:tcPr>
            <w:tcW w:w="1673" w:type="dxa"/>
          </w:tcPr>
          <w:p w14:paraId="1BD0F5DF">
            <w:pPr>
              <w:spacing w:line="360" w:lineRule="auto"/>
              <w:rPr>
                <w:color w:val="000000"/>
                <w:szCs w:val="21"/>
                <w:u w:val="single"/>
              </w:rPr>
            </w:pPr>
          </w:p>
        </w:tc>
      </w:tr>
      <w:tr w14:paraId="38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BDAC1F">
            <w:pPr>
              <w:spacing w:line="360" w:lineRule="auto"/>
              <w:rPr>
                <w:color w:val="000000"/>
                <w:szCs w:val="21"/>
                <w:u w:val="single"/>
              </w:rPr>
            </w:pPr>
          </w:p>
        </w:tc>
        <w:tc>
          <w:tcPr>
            <w:tcW w:w="1980" w:type="dxa"/>
          </w:tcPr>
          <w:p w14:paraId="48ED7D1B">
            <w:pPr>
              <w:spacing w:line="360" w:lineRule="auto"/>
              <w:rPr>
                <w:color w:val="000000"/>
                <w:szCs w:val="21"/>
                <w:u w:val="single"/>
              </w:rPr>
            </w:pPr>
          </w:p>
        </w:tc>
        <w:tc>
          <w:tcPr>
            <w:tcW w:w="1832" w:type="dxa"/>
          </w:tcPr>
          <w:p w14:paraId="6321A20C">
            <w:pPr>
              <w:spacing w:line="360" w:lineRule="auto"/>
              <w:rPr>
                <w:color w:val="000000"/>
                <w:szCs w:val="21"/>
                <w:u w:val="single"/>
              </w:rPr>
            </w:pPr>
          </w:p>
        </w:tc>
        <w:tc>
          <w:tcPr>
            <w:tcW w:w="1675" w:type="dxa"/>
          </w:tcPr>
          <w:p w14:paraId="20EB3CC1">
            <w:pPr>
              <w:spacing w:line="360" w:lineRule="auto"/>
              <w:rPr>
                <w:color w:val="000000"/>
                <w:szCs w:val="21"/>
                <w:u w:val="single"/>
              </w:rPr>
            </w:pPr>
          </w:p>
        </w:tc>
        <w:tc>
          <w:tcPr>
            <w:tcW w:w="1673" w:type="dxa"/>
          </w:tcPr>
          <w:p w14:paraId="366F3B9F">
            <w:pPr>
              <w:spacing w:line="360" w:lineRule="auto"/>
              <w:rPr>
                <w:color w:val="000000"/>
                <w:szCs w:val="21"/>
                <w:u w:val="single"/>
              </w:rPr>
            </w:pPr>
          </w:p>
        </w:tc>
      </w:tr>
      <w:tr w14:paraId="5CFF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B43332">
            <w:pPr>
              <w:spacing w:line="360" w:lineRule="auto"/>
              <w:rPr>
                <w:color w:val="000000"/>
                <w:szCs w:val="21"/>
                <w:u w:val="single"/>
              </w:rPr>
            </w:pPr>
          </w:p>
        </w:tc>
        <w:tc>
          <w:tcPr>
            <w:tcW w:w="1980" w:type="dxa"/>
          </w:tcPr>
          <w:p w14:paraId="0D5E5401">
            <w:pPr>
              <w:spacing w:line="360" w:lineRule="auto"/>
              <w:rPr>
                <w:color w:val="000000"/>
                <w:szCs w:val="21"/>
                <w:u w:val="single"/>
              </w:rPr>
            </w:pPr>
          </w:p>
        </w:tc>
        <w:tc>
          <w:tcPr>
            <w:tcW w:w="1832" w:type="dxa"/>
          </w:tcPr>
          <w:p w14:paraId="6403B66C">
            <w:pPr>
              <w:spacing w:line="360" w:lineRule="auto"/>
              <w:rPr>
                <w:color w:val="000000"/>
                <w:szCs w:val="21"/>
                <w:u w:val="single"/>
              </w:rPr>
            </w:pPr>
          </w:p>
        </w:tc>
        <w:tc>
          <w:tcPr>
            <w:tcW w:w="1675" w:type="dxa"/>
          </w:tcPr>
          <w:p w14:paraId="7330D7B1">
            <w:pPr>
              <w:spacing w:line="360" w:lineRule="auto"/>
              <w:rPr>
                <w:color w:val="000000"/>
                <w:szCs w:val="21"/>
                <w:u w:val="single"/>
              </w:rPr>
            </w:pPr>
          </w:p>
        </w:tc>
        <w:tc>
          <w:tcPr>
            <w:tcW w:w="1673" w:type="dxa"/>
          </w:tcPr>
          <w:p w14:paraId="7BB93C9D">
            <w:pPr>
              <w:spacing w:line="360" w:lineRule="auto"/>
              <w:rPr>
                <w:color w:val="000000"/>
                <w:szCs w:val="21"/>
                <w:u w:val="single"/>
              </w:rPr>
            </w:pPr>
          </w:p>
        </w:tc>
      </w:tr>
      <w:tr w14:paraId="25C7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99C785">
            <w:pPr>
              <w:spacing w:line="360" w:lineRule="auto"/>
              <w:rPr>
                <w:color w:val="000000"/>
                <w:szCs w:val="21"/>
                <w:u w:val="single"/>
              </w:rPr>
            </w:pPr>
          </w:p>
        </w:tc>
        <w:tc>
          <w:tcPr>
            <w:tcW w:w="1980" w:type="dxa"/>
          </w:tcPr>
          <w:p w14:paraId="2FAF5B2A">
            <w:pPr>
              <w:spacing w:line="360" w:lineRule="auto"/>
              <w:rPr>
                <w:color w:val="000000"/>
                <w:szCs w:val="21"/>
                <w:u w:val="single"/>
              </w:rPr>
            </w:pPr>
          </w:p>
        </w:tc>
        <w:tc>
          <w:tcPr>
            <w:tcW w:w="1832" w:type="dxa"/>
          </w:tcPr>
          <w:p w14:paraId="2F4EFBDC">
            <w:pPr>
              <w:spacing w:line="360" w:lineRule="auto"/>
              <w:rPr>
                <w:color w:val="000000"/>
                <w:szCs w:val="21"/>
                <w:u w:val="single"/>
              </w:rPr>
            </w:pPr>
          </w:p>
        </w:tc>
        <w:tc>
          <w:tcPr>
            <w:tcW w:w="1675" w:type="dxa"/>
          </w:tcPr>
          <w:p w14:paraId="46AA9F7F">
            <w:pPr>
              <w:spacing w:line="360" w:lineRule="auto"/>
              <w:rPr>
                <w:color w:val="000000"/>
                <w:szCs w:val="21"/>
                <w:u w:val="single"/>
              </w:rPr>
            </w:pPr>
          </w:p>
        </w:tc>
        <w:tc>
          <w:tcPr>
            <w:tcW w:w="1673" w:type="dxa"/>
          </w:tcPr>
          <w:p w14:paraId="60639BCE">
            <w:pPr>
              <w:spacing w:line="360" w:lineRule="auto"/>
              <w:rPr>
                <w:color w:val="000000"/>
                <w:szCs w:val="21"/>
                <w:u w:val="single"/>
              </w:rPr>
            </w:pPr>
          </w:p>
        </w:tc>
      </w:tr>
      <w:tr w14:paraId="486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5AA35CF">
            <w:pPr>
              <w:spacing w:line="360" w:lineRule="auto"/>
              <w:rPr>
                <w:color w:val="000000"/>
                <w:szCs w:val="21"/>
                <w:u w:val="single"/>
              </w:rPr>
            </w:pPr>
          </w:p>
        </w:tc>
        <w:tc>
          <w:tcPr>
            <w:tcW w:w="1980" w:type="dxa"/>
          </w:tcPr>
          <w:p w14:paraId="22BEF719">
            <w:pPr>
              <w:spacing w:line="360" w:lineRule="auto"/>
              <w:rPr>
                <w:color w:val="000000"/>
                <w:szCs w:val="21"/>
                <w:u w:val="single"/>
              </w:rPr>
            </w:pPr>
          </w:p>
        </w:tc>
        <w:tc>
          <w:tcPr>
            <w:tcW w:w="1832" w:type="dxa"/>
          </w:tcPr>
          <w:p w14:paraId="556818A7">
            <w:pPr>
              <w:spacing w:line="360" w:lineRule="auto"/>
              <w:rPr>
                <w:color w:val="000000"/>
                <w:szCs w:val="21"/>
                <w:u w:val="single"/>
              </w:rPr>
            </w:pPr>
          </w:p>
        </w:tc>
        <w:tc>
          <w:tcPr>
            <w:tcW w:w="1675" w:type="dxa"/>
          </w:tcPr>
          <w:p w14:paraId="0BE5F6BB">
            <w:pPr>
              <w:spacing w:line="360" w:lineRule="auto"/>
              <w:rPr>
                <w:color w:val="000000"/>
                <w:szCs w:val="21"/>
                <w:u w:val="single"/>
              </w:rPr>
            </w:pPr>
          </w:p>
        </w:tc>
        <w:tc>
          <w:tcPr>
            <w:tcW w:w="1673" w:type="dxa"/>
          </w:tcPr>
          <w:p w14:paraId="5F2ACDDE">
            <w:pPr>
              <w:spacing w:line="360" w:lineRule="auto"/>
              <w:rPr>
                <w:color w:val="000000"/>
                <w:szCs w:val="21"/>
                <w:u w:val="single"/>
              </w:rPr>
            </w:pPr>
          </w:p>
        </w:tc>
      </w:tr>
      <w:tr w14:paraId="2C5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EBA88E">
            <w:pPr>
              <w:spacing w:line="360" w:lineRule="auto"/>
              <w:rPr>
                <w:color w:val="000000"/>
                <w:szCs w:val="21"/>
                <w:u w:val="single"/>
              </w:rPr>
            </w:pPr>
          </w:p>
        </w:tc>
        <w:tc>
          <w:tcPr>
            <w:tcW w:w="1980" w:type="dxa"/>
          </w:tcPr>
          <w:p w14:paraId="34B4BED1">
            <w:pPr>
              <w:spacing w:line="360" w:lineRule="auto"/>
              <w:rPr>
                <w:color w:val="000000"/>
                <w:szCs w:val="21"/>
                <w:u w:val="single"/>
              </w:rPr>
            </w:pPr>
          </w:p>
        </w:tc>
        <w:tc>
          <w:tcPr>
            <w:tcW w:w="1832" w:type="dxa"/>
          </w:tcPr>
          <w:p w14:paraId="0A15830C">
            <w:pPr>
              <w:spacing w:line="360" w:lineRule="auto"/>
              <w:rPr>
                <w:color w:val="000000"/>
                <w:szCs w:val="21"/>
                <w:u w:val="single"/>
              </w:rPr>
            </w:pPr>
          </w:p>
        </w:tc>
        <w:tc>
          <w:tcPr>
            <w:tcW w:w="1675" w:type="dxa"/>
          </w:tcPr>
          <w:p w14:paraId="13ED7B67">
            <w:pPr>
              <w:spacing w:line="360" w:lineRule="auto"/>
              <w:rPr>
                <w:color w:val="000000"/>
                <w:szCs w:val="21"/>
                <w:u w:val="single"/>
              </w:rPr>
            </w:pPr>
          </w:p>
        </w:tc>
        <w:tc>
          <w:tcPr>
            <w:tcW w:w="1673" w:type="dxa"/>
          </w:tcPr>
          <w:p w14:paraId="109177E1">
            <w:pPr>
              <w:spacing w:line="360" w:lineRule="auto"/>
              <w:rPr>
                <w:color w:val="000000"/>
                <w:szCs w:val="21"/>
                <w:u w:val="single"/>
              </w:rPr>
            </w:pPr>
          </w:p>
        </w:tc>
      </w:tr>
      <w:tr w14:paraId="4B3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87158B">
            <w:pPr>
              <w:spacing w:line="360" w:lineRule="auto"/>
              <w:rPr>
                <w:color w:val="000000"/>
                <w:szCs w:val="21"/>
                <w:u w:val="single"/>
              </w:rPr>
            </w:pPr>
          </w:p>
        </w:tc>
        <w:tc>
          <w:tcPr>
            <w:tcW w:w="1980" w:type="dxa"/>
          </w:tcPr>
          <w:p w14:paraId="79268BEB">
            <w:pPr>
              <w:spacing w:line="360" w:lineRule="auto"/>
              <w:rPr>
                <w:color w:val="000000"/>
                <w:szCs w:val="21"/>
                <w:u w:val="single"/>
              </w:rPr>
            </w:pPr>
          </w:p>
        </w:tc>
        <w:tc>
          <w:tcPr>
            <w:tcW w:w="1832" w:type="dxa"/>
          </w:tcPr>
          <w:p w14:paraId="022CA9C0">
            <w:pPr>
              <w:spacing w:line="360" w:lineRule="auto"/>
              <w:rPr>
                <w:color w:val="000000"/>
                <w:szCs w:val="21"/>
                <w:u w:val="single"/>
              </w:rPr>
            </w:pPr>
          </w:p>
        </w:tc>
        <w:tc>
          <w:tcPr>
            <w:tcW w:w="1675" w:type="dxa"/>
          </w:tcPr>
          <w:p w14:paraId="3103955A">
            <w:pPr>
              <w:spacing w:line="360" w:lineRule="auto"/>
              <w:rPr>
                <w:color w:val="000000"/>
                <w:szCs w:val="21"/>
                <w:u w:val="single"/>
              </w:rPr>
            </w:pPr>
          </w:p>
        </w:tc>
        <w:tc>
          <w:tcPr>
            <w:tcW w:w="1673" w:type="dxa"/>
          </w:tcPr>
          <w:p w14:paraId="681C5209">
            <w:pPr>
              <w:spacing w:line="360" w:lineRule="auto"/>
              <w:rPr>
                <w:color w:val="000000"/>
                <w:szCs w:val="21"/>
                <w:u w:val="single"/>
              </w:rPr>
            </w:pPr>
          </w:p>
        </w:tc>
      </w:tr>
      <w:tr w14:paraId="08E3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AE7981">
            <w:pPr>
              <w:spacing w:line="360" w:lineRule="auto"/>
              <w:rPr>
                <w:color w:val="000000"/>
                <w:szCs w:val="21"/>
                <w:u w:val="single"/>
              </w:rPr>
            </w:pPr>
          </w:p>
        </w:tc>
        <w:tc>
          <w:tcPr>
            <w:tcW w:w="1980" w:type="dxa"/>
          </w:tcPr>
          <w:p w14:paraId="307B11F0">
            <w:pPr>
              <w:spacing w:line="360" w:lineRule="auto"/>
              <w:rPr>
                <w:color w:val="000000"/>
                <w:szCs w:val="21"/>
                <w:u w:val="single"/>
              </w:rPr>
            </w:pPr>
          </w:p>
        </w:tc>
        <w:tc>
          <w:tcPr>
            <w:tcW w:w="1832" w:type="dxa"/>
          </w:tcPr>
          <w:p w14:paraId="40809296">
            <w:pPr>
              <w:spacing w:line="360" w:lineRule="auto"/>
              <w:rPr>
                <w:color w:val="000000"/>
                <w:szCs w:val="21"/>
                <w:u w:val="single"/>
              </w:rPr>
            </w:pPr>
          </w:p>
        </w:tc>
        <w:tc>
          <w:tcPr>
            <w:tcW w:w="1675" w:type="dxa"/>
          </w:tcPr>
          <w:p w14:paraId="77C98411">
            <w:pPr>
              <w:spacing w:line="360" w:lineRule="auto"/>
              <w:rPr>
                <w:color w:val="000000"/>
                <w:szCs w:val="21"/>
                <w:u w:val="single"/>
              </w:rPr>
            </w:pPr>
          </w:p>
        </w:tc>
        <w:tc>
          <w:tcPr>
            <w:tcW w:w="1673" w:type="dxa"/>
          </w:tcPr>
          <w:p w14:paraId="0D1403AC">
            <w:pPr>
              <w:spacing w:line="360" w:lineRule="auto"/>
              <w:rPr>
                <w:color w:val="000000"/>
                <w:szCs w:val="21"/>
                <w:u w:val="single"/>
              </w:rPr>
            </w:pPr>
          </w:p>
        </w:tc>
      </w:tr>
      <w:tr w14:paraId="0ED3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051E39">
            <w:pPr>
              <w:spacing w:line="360" w:lineRule="auto"/>
              <w:rPr>
                <w:color w:val="000000"/>
                <w:szCs w:val="21"/>
                <w:u w:val="single"/>
              </w:rPr>
            </w:pPr>
          </w:p>
        </w:tc>
        <w:tc>
          <w:tcPr>
            <w:tcW w:w="1980" w:type="dxa"/>
          </w:tcPr>
          <w:p w14:paraId="4DDCBAD4">
            <w:pPr>
              <w:spacing w:line="360" w:lineRule="auto"/>
              <w:rPr>
                <w:color w:val="000000"/>
                <w:szCs w:val="21"/>
                <w:u w:val="single"/>
              </w:rPr>
            </w:pPr>
          </w:p>
        </w:tc>
        <w:tc>
          <w:tcPr>
            <w:tcW w:w="1832" w:type="dxa"/>
          </w:tcPr>
          <w:p w14:paraId="3EE599A0">
            <w:pPr>
              <w:spacing w:line="360" w:lineRule="auto"/>
              <w:rPr>
                <w:color w:val="000000"/>
                <w:szCs w:val="21"/>
                <w:u w:val="single"/>
              </w:rPr>
            </w:pPr>
          </w:p>
        </w:tc>
        <w:tc>
          <w:tcPr>
            <w:tcW w:w="1675" w:type="dxa"/>
          </w:tcPr>
          <w:p w14:paraId="62FD109C">
            <w:pPr>
              <w:spacing w:line="360" w:lineRule="auto"/>
              <w:rPr>
                <w:color w:val="000000"/>
                <w:szCs w:val="21"/>
                <w:u w:val="single"/>
              </w:rPr>
            </w:pPr>
          </w:p>
        </w:tc>
        <w:tc>
          <w:tcPr>
            <w:tcW w:w="1673" w:type="dxa"/>
          </w:tcPr>
          <w:p w14:paraId="11E31A92">
            <w:pPr>
              <w:spacing w:line="360" w:lineRule="auto"/>
              <w:rPr>
                <w:color w:val="000000"/>
                <w:szCs w:val="21"/>
                <w:u w:val="single"/>
              </w:rPr>
            </w:pPr>
          </w:p>
        </w:tc>
      </w:tr>
      <w:tr w14:paraId="0C90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D1D69E">
            <w:pPr>
              <w:spacing w:line="360" w:lineRule="auto"/>
              <w:rPr>
                <w:color w:val="000000"/>
                <w:szCs w:val="21"/>
                <w:u w:val="single"/>
              </w:rPr>
            </w:pPr>
          </w:p>
        </w:tc>
        <w:tc>
          <w:tcPr>
            <w:tcW w:w="1980" w:type="dxa"/>
          </w:tcPr>
          <w:p w14:paraId="113261F6">
            <w:pPr>
              <w:spacing w:line="360" w:lineRule="auto"/>
              <w:rPr>
                <w:color w:val="000000"/>
                <w:szCs w:val="21"/>
                <w:u w:val="single"/>
              </w:rPr>
            </w:pPr>
          </w:p>
        </w:tc>
        <w:tc>
          <w:tcPr>
            <w:tcW w:w="1832" w:type="dxa"/>
          </w:tcPr>
          <w:p w14:paraId="543AF0E6">
            <w:pPr>
              <w:spacing w:line="360" w:lineRule="auto"/>
              <w:rPr>
                <w:color w:val="000000"/>
                <w:szCs w:val="21"/>
                <w:u w:val="single"/>
              </w:rPr>
            </w:pPr>
          </w:p>
        </w:tc>
        <w:tc>
          <w:tcPr>
            <w:tcW w:w="1675" w:type="dxa"/>
          </w:tcPr>
          <w:p w14:paraId="6FA9AEFB">
            <w:pPr>
              <w:spacing w:line="360" w:lineRule="auto"/>
              <w:rPr>
                <w:color w:val="000000"/>
                <w:szCs w:val="21"/>
                <w:u w:val="single"/>
              </w:rPr>
            </w:pPr>
          </w:p>
        </w:tc>
        <w:tc>
          <w:tcPr>
            <w:tcW w:w="1673" w:type="dxa"/>
          </w:tcPr>
          <w:p w14:paraId="750F6C8D">
            <w:pPr>
              <w:spacing w:line="360" w:lineRule="auto"/>
              <w:rPr>
                <w:color w:val="000000"/>
                <w:szCs w:val="21"/>
                <w:u w:val="single"/>
              </w:rPr>
            </w:pPr>
          </w:p>
        </w:tc>
      </w:tr>
      <w:tr w14:paraId="55F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7B8B0F">
            <w:pPr>
              <w:spacing w:line="360" w:lineRule="auto"/>
              <w:rPr>
                <w:color w:val="000000"/>
                <w:szCs w:val="21"/>
                <w:u w:val="single"/>
              </w:rPr>
            </w:pPr>
          </w:p>
        </w:tc>
        <w:tc>
          <w:tcPr>
            <w:tcW w:w="1980" w:type="dxa"/>
          </w:tcPr>
          <w:p w14:paraId="49858953">
            <w:pPr>
              <w:spacing w:line="360" w:lineRule="auto"/>
              <w:rPr>
                <w:color w:val="000000"/>
                <w:szCs w:val="21"/>
                <w:u w:val="single"/>
              </w:rPr>
            </w:pPr>
          </w:p>
        </w:tc>
        <w:tc>
          <w:tcPr>
            <w:tcW w:w="1832" w:type="dxa"/>
          </w:tcPr>
          <w:p w14:paraId="26CC06FA">
            <w:pPr>
              <w:spacing w:line="360" w:lineRule="auto"/>
              <w:rPr>
                <w:color w:val="000000"/>
                <w:szCs w:val="21"/>
                <w:u w:val="single"/>
              </w:rPr>
            </w:pPr>
          </w:p>
        </w:tc>
        <w:tc>
          <w:tcPr>
            <w:tcW w:w="1675" w:type="dxa"/>
          </w:tcPr>
          <w:p w14:paraId="05D96F34">
            <w:pPr>
              <w:spacing w:line="360" w:lineRule="auto"/>
              <w:rPr>
                <w:color w:val="000000"/>
                <w:szCs w:val="21"/>
                <w:u w:val="single"/>
              </w:rPr>
            </w:pPr>
          </w:p>
        </w:tc>
        <w:tc>
          <w:tcPr>
            <w:tcW w:w="1673" w:type="dxa"/>
          </w:tcPr>
          <w:p w14:paraId="082E768B">
            <w:pPr>
              <w:spacing w:line="360" w:lineRule="auto"/>
              <w:rPr>
                <w:color w:val="000000"/>
                <w:szCs w:val="21"/>
                <w:u w:val="single"/>
              </w:rPr>
            </w:pPr>
          </w:p>
        </w:tc>
      </w:tr>
      <w:tr w14:paraId="324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74DA393">
            <w:pPr>
              <w:spacing w:line="360" w:lineRule="auto"/>
              <w:rPr>
                <w:color w:val="000000"/>
                <w:szCs w:val="21"/>
                <w:u w:val="single"/>
              </w:rPr>
            </w:pPr>
          </w:p>
        </w:tc>
        <w:tc>
          <w:tcPr>
            <w:tcW w:w="1980" w:type="dxa"/>
          </w:tcPr>
          <w:p w14:paraId="296D1EAC">
            <w:pPr>
              <w:spacing w:line="360" w:lineRule="auto"/>
              <w:rPr>
                <w:color w:val="000000"/>
                <w:szCs w:val="21"/>
                <w:u w:val="single"/>
              </w:rPr>
            </w:pPr>
          </w:p>
        </w:tc>
        <w:tc>
          <w:tcPr>
            <w:tcW w:w="1832" w:type="dxa"/>
          </w:tcPr>
          <w:p w14:paraId="2B3D4783">
            <w:pPr>
              <w:spacing w:line="360" w:lineRule="auto"/>
              <w:rPr>
                <w:color w:val="000000"/>
                <w:szCs w:val="21"/>
                <w:u w:val="single"/>
              </w:rPr>
            </w:pPr>
          </w:p>
        </w:tc>
        <w:tc>
          <w:tcPr>
            <w:tcW w:w="1675" w:type="dxa"/>
          </w:tcPr>
          <w:p w14:paraId="4E282FA5">
            <w:pPr>
              <w:spacing w:line="360" w:lineRule="auto"/>
              <w:rPr>
                <w:color w:val="000000"/>
                <w:szCs w:val="21"/>
                <w:u w:val="single"/>
              </w:rPr>
            </w:pPr>
          </w:p>
        </w:tc>
        <w:tc>
          <w:tcPr>
            <w:tcW w:w="1673" w:type="dxa"/>
          </w:tcPr>
          <w:p w14:paraId="3FD9BC10">
            <w:pPr>
              <w:spacing w:line="360" w:lineRule="auto"/>
              <w:rPr>
                <w:color w:val="000000"/>
                <w:szCs w:val="21"/>
                <w:u w:val="single"/>
              </w:rPr>
            </w:pPr>
          </w:p>
        </w:tc>
      </w:tr>
      <w:tr w14:paraId="35ED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0C2DCA">
            <w:pPr>
              <w:spacing w:line="360" w:lineRule="auto"/>
              <w:rPr>
                <w:color w:val="000000"/>
                <w:szCs w:val="21"/>
                <w:u w:val="single"/>
              </w:rPr>
            </w:pPr>
          </w:p>
        </w:tc>
        <w:tc>
          <w:tcPr>
            <w:tcW w:w="1980" w:type="dxa"/>
          </w:tcPr>
          <w:p w14:paraId="04689700">
            <w:pPr>
              <w:spacing w:line="360" w:lineRule="auto"/>
              <w:rPr>
                <w:color w:val="000000"/>
                <w:szCs w:val="21"/>
                <w:u w:val="single"/>
              </w:rPr>
            </w:pPr>
          </w:p>
        </w:tc>
        <w:tc>
          <w:tcPr>
            <w:tcW w:w="1832" w:type="dxa"/>
          </w:tcPr>
          <w:p w14:paraId="3EADAF30">
            <w:pPr>
              <w:spacing w:line="360" w:lineRule="auto"/>
              <w:rPr>
                <w:color w:val="000000"/>
                <w:szCs w:val="21"/>
                <w:u w:val="single"/>
              </w:rPr>
            </w:pPr>
          </w:p>
        </w:tc>
        <w:tc>
          <w:tcPr>
            <w:tcW w:w="1675" w:type="dxa"/>
          </w:tcPr>
          <w:p w14:paraId="4CBE1631">
            <w:pPr>
              <w:spacing w:line="360" w:lineRule="auto"/>
              <w:rPr>
                <w:color w:val="000000"/>
                <w:szCs w:val="21"/>
                <w:u w:val="single"/>
              </w:rPr>
            </w:pPr>
          </w:p>
        </w:tc>
        <w:tc>
          <w:tcPr>
            <w:tcW w:w="1673" w:type="dxa"/>
          </w:tcPr>
          <w:p w14:paraId="76720163">
            <w:pPr>
              <w:spacing w:line="360" w:lineRule="auto"/>
              <w:rPr>
                <w:color w:val="000000"/>
                <w:szCs w:val="21"/>
                <w:u w:val="single"/>
              </w:rPr>
            </w:pPr>
          </w:p>
        </w:tc>
      </w:tr>
      <w:tr w14:paraId="0ED5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9B29A1">
            <w:pPr>
              <w:spacing w:line="360" w:lineRule="auto"/>
              <w:rPr>
                <w:color w:val="000000"/>
                <w:szCs w:val="21"/>
                <w:u w:val="single"/>
              </w:rPr>
            </w:pPr>
          </w:p>
        </w:tc>
        <w:tc>
          <w:tcPr>
            <w:tcW w:w="1980" w:type="dxa"/>
          </w:tcPr>
          <w:p w14:paraId="0E0955B1">
            <w:pPr>
              <w:spacing w:line="360" w:lineRule="auto"/>
              <w:rPr>
                <w:color w:val="000000"/>
                <w:szCs w:val="21"/>
                <w:u w:val="single"/>
              </w:rPr>
            </w:pPr>
          </w:p>
        </w:tc>
        <w:tc>
          <w:tcPr>
            <w:tcW w:w="1832" w:type="dxa"/>
          </w:tcPr>
          <w:p w14:paraId="05D25B08">
            <w:pPr>
              <w:spacing w:line="360" w:lineRule="auto"/>
              <w:rPr>
                <w:color w:val="000000"/>
                <w:szCs w:val="21"/>
                <w:u w:val="single"/>
              </w:rPr>
            </w:pPr>
          </w:p>
        </w:tc>
        <w:tc>
          <w:tcPr>
            <w:tcW w:w="1675" w:type="dxa"/>
          </w:tcPr>
          <w:p w14:paraId="2C176278">
            <w:pPr>
              <w:spacing w:line="360" w:lineRule="auto"/>
              <w:rPr>
                <w:color w:val="000000"/>
                <w:szCs w:val="21"/>
                <w:u w:val="single"/>
              </w:rPr>
            </w:pPr>
          </w:p>
        </w:tc>
        <w:tc>
          <w:tcPr>
            <w:tcW w:w="1673" w:type="dxa"/>
          </w:tcPr>
          <w:p w14:paraId="2474474D">
            <w:pPr>
              <w:spacing w:line="360" w:lineRule="auto"/>
              <w:rPr>
                <w:color w:val="000000"/>
                <w:szCs w:val="21"/>
                <w:u w:val="single"/>
              </w:rPr>
            </w:pPr>
          </w:p>
        </w:tc>
      </w:tr>
    </w:tbl>
    <w:p w14:paraId="19A34AAF">
      <w:pPr>
        <w:spacing w:line="360" w:lineRule="auto"/>
        <w:rPr>
          <w:rFonts w:hint="eastAsia" w:ascii="宋体" w:hAnsi="宋体"/>
          <w:color w:val="000000"/>
          <w:szCs w:val="21"/>
          <w:u w:val="single"/>
        </w:rPr>
      </w:pPr>
    </w:p>
    <w:p w14:paraId="67BF610D">
      <w:pPr>
        <w:spacing w:line="320" w:lineRule="exact"/>
        <w:rPr>
          <w:rFonts w:hint="eastAsia" w:ascii="宋体" w:hAnsi="宋体"/>
          <w:color w:val="000000"/>
          <w:sz w:val="18"/>
          <w:szCs w:val="24"/>
        </w:rPr>
      </w:pPr>
      <w:r>
        <w:rPr>
          <w:rFonts w:ascii="宋体" w:hAnsi="宋体"/>
          <w:color w:val="000000"/>
          <w:sz w:val="18"/>
          <w:szCs w:val="24"/>
        </w:rPr>
        <w:t>填报说明：</w:t>
      </w:r>
    </w:p>
    <w:p w14:paraId="376B3A1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291AD178">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2887634">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50F19175">
      <w:pPr>
        <w:spacing w:line="360" w:lineRule="auto"/>
        <w:rPr>
          <w:rFonts w:hint="eastAsia" w:ascii="宋体" w:hAnsi="宋体"/>
          <w:color w:val="000000"/>
          <w:szCs w:val="21"/>
        </w:rPr>
      </w:pPr>
    </w:p>
    <w:p w14:paraId="12C9C62B">
      <w:pPr>
        <w:spacing w:line="300" w:lineRule="auto"/>
        <w:rPr>
          <w:rFonts w:hint="eastAsia"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w:t>
      </w:r>
    </w:p>
    <w:p w14:paraId="2BADE37E">
      <w:pPr>
        <w:spacing w:line="300" w:lineRule="auto"/>
        <w:rPr>
          <w:rFonts w:hint="eastAsia" w:ascii="宋体" w:hAnsi="宋体"/>
          <w:bCs/>
          <w:sz w:val="24"/>
          <w:szCs w:val="24"/>
        </w:rPr>
      </w:pPr>
    </w:p>
    <w:p w14:paraId="44BA0344">
      <w:pPr>
        <w:spacing w:line="300" w:lineRule="auto"/>
        <w:rPr>
          <w:rFonts w:hint="eastAsia" w:ascii="宋体" w:hAnsi="宋体"/>
          <w:bCs/>
          <w:sz w:val="24"/>
          <w:szCs w:val="24"/>
        </w:rPr>
      </w:pPr>
    </w:p>
    <w:p w14:paraId="4FFC3B79">
      <w:pPr>
        <w:spacing w:line="300" w:lineRule="auto"/>
        <w:rPr>
          <w:rFonts w:hint="eastAsia" w:ascii="宋体" w:hAnsi="宋体"/>
          <w:bCs/>
          <w:sz w:val="24"/>
          <w:szCs w:val="24"/>
        </w:rPr>
      </w:pPr>
    </w:p>
    <w:p w14:paraId="19A1DA97">
      <w:pPr>
        <w:spacing w:line="300" w:lineRule="auto"/>
        <w:rPr>
          <w:rFonts w:hint="eastAsia" w:ascii="宋体" w:hAnsi="宋体"/>
          <w:bCs/>
          <w:sz w:val="24"/>
          <w:szCs w:val="24"/>
        </w:rPr>
      </w:pPr>
    </w:p>
    <w:p w14:paraId="655657A9">
      <w:pPr>
        <w:spacing w:line="300" w:lineRule="auto"/>
        <w:rPr>
          <w:rFonts w:hint="eastAsia" w:ascii="宋体" w:hAnsi="宋体"/>
          <w:bCs/>
          <w:sz w:val="24"/>
          <w:szCs w:val="24"/>
        </w:rPr>
      </w:pPr>
    </w:p>
    <w:p w14:paraId="442836AC">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76CFD2AD">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3AA622C7">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60AB0F8">
        <w:tblPrEx>
          <w:tblCellMar>
            <w:top w:w="0" w:type="dxa"/>
            <w:left w:w="108" w:type="dxa"/>
            <w:bottom w:w="0" w:type="dxa"/>
            <w:right w:w="108" w:type="dxa"/>
          </w:tblCellMar>
        </w:tblPrEx>
        <w:trPr>
          <w:jc w:val="center"/>
        </w:trPr>
        <w:tc>
          <w:tcPr>
            <w:tcW w:w="1369" w:type="dxa"/>
            <w:vAlign w:val="center"/>
          </w:tcPr>
          <w:p w14:paraId="24197759">
            <w:pPr>
              <w:jc w:val="center"/>
              <w:rPr>
                <w:color w:val="000000"/>
                <w:sz w:val="24"/>
                <w:szCs w:val="24"/>
              </w:rPr>
            </w:pPr>
            <w:r>
              <w:rPr>
                <w:color w:val="000000"/>
                <w:szCs w:val="24"/>
              </w:rPr>
              <w:t>需求名称</w:t>
            </w:r>
          </w:p>
        </w:tc>
        <w:tc>
          <w:tcPr>
            <w:tcW w:w="1980" w:type="dxa"/>
            <w:vAlign w:val="center"/>
          </w:tcPr>
          <w:p w14:paraId="77E51C4B">
            <w:pPr>
              <w:jc w:val="center"/>
              <w:rPr>
                <w:color w:val="000000"/>
                <w:sz w:val="24"/>
                <w:szCs w:val="24"/>
              </w:rPr>
            </w:pPr>
            <w:r>
              <w:rPr>
                <w:color w:val="000000"/>
                <w:szCs w:val="24"/>
              </w:rPr>
              <w:t>招标文件商务需求</w:t>
            </w:r>
          </w:p>
        </w:tc>
        <w:tc>
          <w:tcPr>
            <w:tcW w:w="1832" w:type="dxa"/>
            <w:vAlign w:val="center"/>
          </w:tcPr>
          <w:p w14:paraId="18074B74">
            <w:pPr>
              <w:jc w:val="center"/>
              <w:rPr>
                <w:color w:val="000000"/>
                <w:sz w:val="24"/>
                <w:szCs w:val="24"/>
              </w:rPr>
            </w:pPr>
            <w:r>
              <w:rPr>
                <w:color w:val="000000"/>
                <w:szCs w:val="24"/>
              </w:rPr>
              <w:t>投标人响应情况</w:t>
            </w:r>
          </w:p>
        </w:tc>
        <w:tc>
          <w:tcPr>
            <w:tcW w:w="1675" w:type="dxa"/>
            <w:vAlign w:val="center"/>
          </w:tcPr>
          <w:p w14:paraId="3B3606FE">
            <w:pPr>
              <w:jc w:val="center"/>
              <w:rPr>
                <w:color w:val="000000"/>
                <w:szCs w:val="24"/>
              </w:rPr>
            </w:pPr>
            <w:r>
              <w:rPr>
                <w:color w:val="000000"/>
                <w:szCs w:val="24"/>
              </w:rPr>
              <w:t>是否有偏离</w:t>
            </w:r>
          </w:p>
          <w:p w14:paraId="7BEC0C8E">
            <w:pPr>
              <w:jc w:val="center"/>
              <w:rPr>
                <w:color w:val="000000"/>
                <w:sz w:val="24"/>
                <w:szCs w:val="24"/>
              </w:rPr>
            </w:pPr>
            <w:r>
              <w:rPr>
                <w:color w:val="000000"/>
                <w:szCs w:val="24"/>
              </w:rPr>
              <w:t>（填写有/无）</w:t>
            </w:r>
          </w:p>
        </w:tc>
        <w:tc>
          <w:tcPr>
            <w:tcW w:w="1673" w:type="dxa"/>
            <w:vAlign w:val="center"/>
          </w:tcPr>
          <w:p w14:paraId="4CD75445">
            <w:pPr>
              <w:jc w:val="center"/>
              <w:rPr>
                <w:color w:val="000000"/>
                <w:sz w:val="24"/>
                <w:szCs w:val="24"/>
              </w:rPr>
            </w:pPr>
            <w:r>
              <w:rPr>
                <w:color w:val="000000"/>
                <w:szCs w:val="24"/>
              </w:rPr>
              <w:t>偏离说明</w:t>
            </w:r>
          </w:p>
        </w:tc>
      </w:tr>
      <w:tr w14:paraId="33C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77A23B8">
            <w:pPr>
              <w:spacing w:line="360" w:lineRule="auto"/>
              <w:rPr>
                <w:rFonts w:hint="eastAsia" w:ascii="宋体" w:hAnsi="宋体"/>
                <w:color w:val="000000"/>
                <w:szCs w:val="21"/>
                <w:u w:val="single"/>
              </w:rPr>
            </w:pPr>
          </w:p>
        </w:tc>
        <w:tc>
          <w:tcPr>
            <w:tcW w:w="1980" w:type="dxa"/>
          </w:tcPr>
          <w:p w14:paraId="0E5BA985">
            <w:pPr>
              <w:spacing w:line="360" w:lineRule="auto"/>
              <w:rPr>
                <w:color w:val="000000"/>
                <w:szCs w:val="21"/>
                <w:u w:val="single"/>
              </w:rPr>
            </w:pPr>
          </w:p>
        </w:tc>
        <w:tc>
          <w:tcPr>
            <w:tcW w:w="1832" w:type="dxa"/>
          </w:tcPr>
          <w:p w14:paraId="62376B52">
            <w:pPr>
              <w:spacing w:line="360" w:lineRule="auto"/>
              <w:rPr>
                <w:color w:val="000000"/>
                <w:szCs w:val="21"/>
                <w:u w:val="single"/>
              </w:rPr>
            </w:pPr>
          </w:p>
        </w:tc>
        <w:tc>
          <w:tcPr>
            <w:tcW w:w="1675" w:type="dxa"/>
          </w:tcPr>
          <w:p w14:paraId="210413DC">
            <w:pPr>
              <w:spacing w:line="360" w:lineRule="auto"/>
              <w:rPr>
                <w:color w:val="000000"/>
                <w:szCs w:val="21"/>
                <w:u w:val="single"/>
              </w:rPr>
            </w:pPr>
          </w:p>
        </w:tc>
        <w:tc>
          <w:tcPr>
            <w:tcW w:w="1673" w:type="dxa"/>
          </w:tcPr>
          <w:p w14:paraId="268717BE">
            <w:pPr>
              <w:spacing w:line="360" w:lineRule="auto"/>
              <w:rPr>
                <w:color w:val="000000"/>
                <w:szCs w:val="21"/>
                <w:u w:val="single"/>
              </w:rPr>
            </w:pPr>
          </w:p>
        </w:tc>
      </w:tr>
      <w:tr w14:paraId="64EF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B2F6E2">
            <w:pPr>
              <w:spacing w:line="360" w:lineRule="auto"/>
              <w:rPr>
                <w:color w:val="000000"/>
                <w:szCs w:val="21"/>
                <w:u w:val="single"/>
              </w:rPr>
            </w:pPr>
          </w:p>
        </w:tc>
        <w:tc>
          <w:tcPr>
            <w:tcW w:w="1980" w:type="dxa"/>
          </w:tcPr>
          <w:p w14:paraId="5D7FB2B7">
            <w:pPr>
              <w:spacing w:line="360" w:lineRule="auto"/>
              <w:rPr>
                <w:color w:val="000000"/>
                <w:szCs w:val="21"/>
                <w:u w:val="single"/>
              </w:rPr>
            </w:pPr>
          </w:p>
        </w:tc>
        <w:tc>
          <w:tcPr>
            <w:tcW w:w="1832" w:type="dxa"/>
          </w:tcPr>
          <w:p w14:paraId="33A65CB8">
            <w:pPr>
              <w:spacing w:line="360" w:lineRule="auto"/>
              <w:rPr>
                <w:color w:val="000000"/>
                <w:szCs w:val="21"/>
                <w:u w:val="single"/>
              </w:rPr>
            </w:pPr>
          </w:p>
        </w:tc>
        <w:tc>
          <w:tcPr>
            <w:tcW w:w="1675" w:type="dxa"/>
          </w:tcPr>
          <w:p w14:paraId="509EB2E6">
            <w:pPr>
              <w:spacing w:line="360" w:lineRule="auto"/>
              <w:rPr>
                <w:color w:val="000000"/>
                <w:szCs w:val="21"/>
                <w:u w:val="single"/>
              </w:rPr>
            </w:pPr>
          </w:p>
        </w:tc>
        <w:tc>
          <w:tcPr>
            <w:tcW w:w="1673" w:type="dxa"/>
          </w:tcPr>
          <w:p w14:paraId="39154980">
            <w:pPr>
              <w:spacing w:line="360" w:lineRule="auto"/>
              <w:rPr>
                <w:color w:val="000000"/>
                <w:szCs w:val="21"/>
                <w:u w:val="single"/>
              </w:rPr>
            </w:pPr>
          </w:p>
        </w:tc>
      </w:tr>
      <w:tr w14:paraId="6D3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92463E">
            <w:pPr>
              <w:spacing w:line="360" w:lineRule="auto"/>
              <w:rPr>
                <w:color w:val="000000"/>
                <w:szCs w:val="21"/>
                <w:u w:val="single"/>
              </w:rPr>
            </w:pPr>
          </w:p>
        </w:tc>
        <w:tc>
          <w:tcPr>
            <w:tcW w:w="1980" w:type="dxa"/>
          </w:tcPr>
          <w:p w14:paraId="22E36FB7">
            <w:pPr>
              <w:spacing w:line="360" w:lineRule="auto"/>
              <w:rPr>
                <w:color w:val="000000"/>
                <w:szCs w:val="21"/>
                <w:u w:val="single"/>
              </w:rPr>
            </w:pPr>
          </w:p>
        </w:tc>
        <w:tc>
          <w:tcPr>
            <w:tcW w:w="1832" w:type="dxa"/>
          </w:tcPr>
          <w:p w14:paraId="69CDAF62">
            <w:pPr>
              <w:spacing w:line="360" w:lineRule="auto"/>
              <w:rPr>
                <w:color w:val="000000"/>
                <w:szCs w:val="21"/>
                <w:u w:val="single"/>
              </w:rPr>
            </w:pPr>
          </w:p>
        </w:tc>
        <w:tc>
          <w:tcPr>
            <w:tcW w:w="1675" w:type="dxa"/>
          </w:tcPr>
          <w:p w14:paraId="5A537724">
            <w:pPr>
              <w:spacing w:line="360" w:lineRule="auto"/>
              <w:rPr>
                <w:color w:val="000000"/>
                <w:szCs w:val="21"/>
                <w:u w:val="single"/>
              </w:rPr>
            </w:pPr>
          </w:p>
        </w:tc>
        <w:tc>
          <w:tcPr>
            <w:tcW w:w="1673" w:type="dxa"/>
          </w:tcPr>
          <w:p w14:paraId="116F83CD">
            <w:pPr>
              <w:spacing w:line="360" w:lineRule="auto"/>
              <w:rPr>
                <w:color w:val="000000"/>
                <w:szCs w:val="21"/>
                <w:u w:val="single"/>
              </w:rPr>
            </w:pPr>
          </w:p>
        </w:tc>
      </w:tr>
      <w:tr w14:paraId="353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1F87FD">
            <w:pPr>
              <w:spacing w:line="360" w:lineRule="auto"/>
              <w:rPr>
                <w:color w:val="000000"/>
                <w:szCs w:val="21"/>
                <w:u w:val="single"/>
              </w:rPr>
            </w:pPr>
          </w:p>
        </w:tc>
        <w:tc>
          <w:tcPr>
            <w:tcW w:w="1980" w:type="dxa"/>
          </w:tcPr>
          <w:p w14:paraId="17C45891">
            <w:pPr>
              <w:spacing w:line="360" w:lineRule="auto"/>
              <w:rPr>
                <w:color w:val="000000"/>
                <w:szCs w:val="21"/>
                <w:u w:val="single"/>
              </w:rPr>
            </w:pPr>
          </w:p>
        </w:tc>
        <w:tc>
          <w:tcPr>
            <w:tcW w:w="1832" w:type="dxa"/>
          </w:tcPr>
          <w:p w14:paraId="5574402B">
            <w:pPr>
              <w:spacing w:line="360" w:lineRule="auto"/>
              <w:rPr>
                <w:color w:val="000000"/>
                <w:szCs w:val="21"/>
                <w:u w:val="single"/>
              </w:rPr>
            </w:pPr>
          </w:p>
        </w:tc>
        <w:tc>
          <w:tcPr>
            <w:tcW w:w="1675" w:type="dxa"/>
          </w:tcPr>
          <w:p w14:paraId="15A5A4D5">
            <w:pPr>
              <w:spacing w:line="360" w:lineRule="auto"/>
              <w:rPr>
                <w:color w:val="000000"/>
                <w:szCs w:val="21"/>
                <w:u w:val="single"/>
              </w:rPr>
            </w:pPr>
          </w:p>
        </w:tc>
        <w:tc>
          <w:tcPr>
            <w:tcW w:w="1673" w:type="dxa"/>
          </w:tcPr>
          <w:p w14:paraId="7B359C6A">
            <w:pPr>
              <w:spacing w:line="360" w:lineRule="auto"/>
              <w:rPr>
                <w:color w:val="000000"/>
                <w:szCs w:val="21"/>
                <w:u w:val="single"/>
              </w:rPr>
            </w:pPr>
          </w:p>
        </w:tc>
      </w:tr>
      <w:tr w14:paraId="0A8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BA3374">
            <w:pPr>
              <w:spacing w:line="360" w:lineRule="auto"/>
              <w:rPr>
                <w:color w:val="000000"/>
                <w:szCs w:val="21"/>
                <w:u w:val="single"/>
              </w:rPr>
            </w:pPr>
          </w:p>
        </w:tc>
        <w:tc>
          <w:tcPr>
            <w:tcW w:w="1980" w:type="dxa"/>
          </w:tcPr>
          <w:p w14:paraId="29DF3DBE">
            <w:pPr>
              <w:spacing w:line="360" w:lineRule="auto"/>
              <w:rPr>
                <w:color w:val="000000"/>
                <w:szCs w:val="21"/>
                <w:u w:val="single"/>
              </w:rPr>
            </w:pPr>
          </w:p>
        </w:tc>
        <w:tc>
          <w:tcPr>
            <w:tcW w:w="1832" w:type="dxa"/>
          </w:tcPr>
          <w:p w14:paraId="258F768A">
            <w:pPr>
              <w:spacing w:line="360" w:lineRule="auto"/>
              <w:rPr>
                <w:color w:val="000000"/>
                <w:szCs w:val="21"/>
                <w:u w:val="single"/>
              </w:rPr>
            </w:pPr>
          </w:p>
        </w:tc>
        <w:tc>
          <w:tcPr>
            <w:tcW w:w="1675" w:type="dxa"/>
          </w:tcPr>
          <w:p w14:paraId="28DE9EEC">
            <w:pPr>
              <w:spacing w:line="360" w:lineRule="auto"/>
              <w:rPr>
                <w:color w:val="000000"/>
                <w:szCs w:val="21"/>
                <w:u w:val="single"/>
              </w:rPr>
            </w:pPr>
          </w:p>
        </w:tc>
        <w:tc>
          <w:tcPr>
            <w:tcW w:w="1673" w:type="dxa"/>
          </w:tcPr>
          <w:p w14:paraId="5B7DCDA8">
            <w:pPr>
              <w:spacing w:line="360" w:lineRule="auto"/>
              <w:rPr>
                <w:color w:val="000000"/>
                <w:szCs w:val="21"/>
                <w:u w:val="single"/>
              </w:rPr>
            </w:pPr>
          </w:p>
        </w:tc>
      </w:tr>
      <w:tr w14:paraId="440C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CDFD74">
            <w:pPr>
              <w:spacing w:line="360" w:lineRule="auto"/>
              <w:rPr>
                <w:color w:val="000000"/>
                <w:szCs w:val="21"/>
                <w:u w:val="single"/>
              </w:rPr>
            </w:pPr>
          </w:p>
        </w:tc>
        <w:tc>
          <w:tcPr>
            <w:tcW w:w="1980" w:type="dxa"/>
          </w:tcPr>
          <w:p w14:paraId="51480150">
            <w:pPr>
              <w:spacing w:line="360" w:lineRule="auto"/>
              <w:rPr>
                <w:color w:val="000000"/>
                <w:szCs w:val="21"/>
                <w:u w:val="single"/>
              </w:rPr>
            </w:pPr>
          </w:p>
        </w:tc>
        <w:tc>
          <w:tcPr>
            <w:tcW w:w="1832" w:type="dxa"/>
          </w:tcPr>
          <w:p w14:paraId="7773010F">
            <w:pPr>
              <w:spacing w:line="360" w:lineRule="auto"/>
              <w:rPr>
                <w:color w:val="000000"/>
                <w:szCs w:val="21"/>
                <w:u w:val="single"/>
              </w:rPr>
            </w:pPr>
          </w:p>
        </w:tc>
        <w:tc>
          <w:tcPr>
            <w:tcW w:w="1675" w:type="dxa"/>
          </w:tcPr>
          <w:p w14:paraId="1B2A2947">
            <w:pPr>
              <w:spacing w:line="360" w:lineRule="auto"/>
              <w:rPr>
                <w:color w:val="000000"/>
                <w:szCs w:val="21"/>
                <w:u w:val="single"/>
              </w:rPr>
            </w:pPr>
          </w:p>
        </w:tc>
        <w:tc>
          <w:tcPr>
            <w:tcW w:w="1673" w:type="dxa"/>
          </w:tcPr>
          <w:p w14:paraId="5FBA4DD3">
            <w:pPr>
              <w:spacing w:line="360" w:lineRule="auto"/>
              <w:rPr>
                <w:color w:val="000000"/>
                <w:szCs w:val="21"/>
                <w:u w:val="single"/>
              </w:rPr>
            </w:pPr>
          </w:p>
        </w:tc>
      </w:tr>
      <w:tr w14:paraId="431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B13F41D">
            <w:pPr>
              <w:spacing w:line="360" w:lineRule="auto"/>
              <w:rPr>
                <w:color w:val="000000"/>
                <w:szCs w:val="21"/>
                <w:u w:val="single"/>
              </w:rPr>
            </w:pPr>
          </w:p>
        </w:tc>
        <w:tc>
          <w:tcPr>
            <w:tcW w:w="1980" w:type="dxa"/>
          </w:tcPr>
          <w:p w14:paraId="1E211908">
            <w:pPr>
              <w:spacing w:line="360" w:lineRule="auto"/>
              <w:rPr>
                <w:color w:val="000000"/>
                <w:szCs w:val="21"/>
                <w:u w:val="single"/>
              </w:rPr>
            </w:pPr>
          </w:p>
        </w:tc>
        <w:tc>
          <w:tcPr>
            <w:tcW w:w="1832" w:type="dxa"/>
          </w:tcPr>
          <w:p w14:paraId="2D7F1474">
            <w:pPr>
              <w:spacing w:line="360" w:lineRule="auto"/>
              <w:rPr>
                <w:color w:val="000000"/>
                <w:szCs w:val="21"/>
                <w:u w:val="single"/>
              </w:rPr>
            </w:pPr>
          </w:p>
        </w:tc>
        <w:tc>
          <w:tcPr>
            <w:tcW w:w="1675" w:type="dxa"/>
          </w:tcPr>
          <w:p w14:paraId="759CFD50">
            <w:pPr>
              <w:spacing w:line="360" w:lineRule="auto"/>
              <w:rPr>
                <w:color w:val="000000"/>
                <w:szCs w:val="21"/>
                <w:u w:val="single"/>
              </w:rPr>
            </w:pPr>
          </w:p>
        </w:tc>
        <w:tc>
          <w:tcPr>
            <w:tcW w:w="1673" w:type="dxa"/>
          </w:tcPr>
          <w:p w14:paraId="6BA4AE12">
            <w:pPr>
              <w:spacing w:line="360" w:lineRule="auto"/>
              <w:rPr>
                <w:color w:val="000000"/>
                <w:szCs w:val="21"/>
                <w:u w:val="single"/>
              </w:rPr>
            </w:pPr>
          </w:p>
        </w:tc>
      </w:tr>
      <w:tr w14:paraId="125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9987B4">
            <w:pPr>
              <w:spacing w:line="360" w:lineRule="auto"/>
              <w:rPr>
                <w:color w:val="000000"/>
                <w:szCs w:val="21"/>
                <w:u w:val="single"/>
              </w:rPr>
            </w:pPr>
          </w:p>
        </w:tc>
        <w:tc>
          <w:tcPr>
            <w:tcW w:w="1980" w:type="dxa"/>
          </w:tcPr>
          <w:p w14:paraId="6C97BCB2">
            <w:pPr>
              <w:spacing w:line="360" w:lineRule="auto"/>
              <w:rPr>
                <w:color w:val="000000"/>
                <w:szCs w:val="21"/>
                <w:u w:val="single"/>
              </w:rPr>
            </w:pPr>
          </w:p>
        </w:tc>
        <w:tc>
          <w:tcPr>
            <w:tcW w:w="1832" w:type="dxa"/>
          </w:tcPr>
          <w:p w14:paraId="7AF90904">
            <w:pPr>
              <w:spacing w:line="360" w:lineRule="auto"/>
              <w:rPr>
                <w:color w:val="000000"/>
                <w:szCs w:val="21"/>
                <w:u w:val="single"/>
              </w:rPr>
            </w:pPr>
          </w:p>
        </w:tc>
        <w:tc>
          <w:tcPr>
            <w:tcW w:w="1675" w:type="dxa"/>
          </w:tcPr>
          <w:p w14:paraId="4ACBF668">
            <w:pPr>
              <w:spacing w:line="360" w:lineRule="auto"/>
              <w:rPr>
                <w:color w:val="000000"/>
                <w:szCs w:val="21"/>
                <w:u w:val="single"/>
              </w:rPr>
            </w:pPr>
          </w:p>
        </w:tc>
        <w:tc>
          <w:tcPr>
            <w:tcW w:w="1673" w:type="dxa"/>
          </w:tcPr>
          <w:p w14:paraId="02452C4D">
            <w:pPr>
              <w:spacing w:line="360" w:lineRule="auto"/>
              <w:rPr>
                <w:color w:val="000000"/>
                <w:szCs w:val="21"/>
                <w:u w:val="single"/>
              </w:rPr>
            </w:pPr>
          </w:p>
        </w:tc>
      </w:tr>
      <w:tr w14:paraId="022C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E41430">
            <w:pPr>
              <w:spacing w:line="360" w:lineRule="auto"/>
              <w:rPr>
                <w:color w:val="000000"/>
                <w:szCs w:val="21"/>
                <w:u w:val="single"/>
              </w:rPr>
            </w:pPr>
          </w:p>
        </w:tc>
        <w:tc>
          <w:tcPr>
            <w:tcW w:w="1980" w:type="dxa"/>
          </w:tcPr>
          <w:p w14:paraId="38A4743D">
            <w:pPr>
              <w:spacing w:line="360" w:lineRule="auto"/>
              <w:rPr>
                <w:color w:val="000000"/>
                <w:szCs w:val="21"/>
                <w:u w:val="single"/>
              </w:rPr>
            </w:pPr>
          </w:p>
        </w:tc>
        <w:tc>
          <w:tcPr>
            <w:tcW w:w="1832" w:type="dxa"/>
          </w:tcPr>
          <w:p w14:paraId="39C777D2">
            <w:pPr>
              <w:spacing w:line="360" w:lineRule="auto"/>
              <w:rPr>
                <w:color w:val="000000"/>
                <w:szCs w:val="21"/>
                <w:u w:val="single"/>
              </w:rPr>
            </w:pPr>
          </w:p>
        </w:tc>
        <w:tc>
          <w:tcPr>
            <w:tcW w:w="1675" w:type="dxa"/>
          </w:tcPr>
          <w:p w14:paraId="5AE3599C">
            <w:pPr>
              <w:spacing w:line="360" w:lineRule="auto"/>
              <w:rPr>
                <w:color w:val="000000"/>
                <w:szCs w:val="21"/>
                <w:u w:val="single"/>
              </w:rPr>
            </w:pPr>
          </w:p>
        </w:tc>
        <w:tc>
          <w:tcPr>
            <w:tcW w:w="1673" w:type="dxa"/>
          </w:tcPr>
          <w:p w14:paraId="28AA1870">
            <w:pPr>
              <w:spacing w:line="360" w:lineRule="auto"/>
              <w:rPr>
                <w:color w:val="000000"/>
                <w:szCs w:val="21"/>
                <w:u w:val="single"/>
              </w:rPr>
            </w:pPr>
          </w:p>
        </w:tc>
      </w:tr>
      <w:tr w14:paraId="629E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7F92EB">
            <w:pPr>
              <w:spacing w:line="360" w:lineRule="auto"/>
              <w:rPr>
                <w:color w:val="000000"/>
                <w:szCs w:val="21"/>
                <w:u w:val="single"/>
              </w:rPr>
            </w:pPr>
          </w:p>
        </w:tc>
        <w:tc>
          <w:tcPr>
            <w:tcW w:w="1980" w:type="dxa"/>
          </w:tcPr>
          <w:p w14:paraId="493A3F2A">
            <w:pPr>
              <w:spacing w:line="360" w:lineRule="auto"/>
              <w:rPr>
                <w:color w:val="000000"/>
                <w:szCs w:val="21"/>
                <w:u w:val="single"/>
              </w:rPr>
            </w:pPr>
          </w:p>
        </w:tc>
        <w:tc>
          <w:tcPr>
            <w:tcW w:w="1832" w:type="dxa"/>
          </w:tcPr>
          <w:p w14:paraId="28770047">
            <w:pPr>
              <w:spacing w:line="360" w:lineRule="auto"/>
              <w:rPr>
                <w:color w:val="000000"/>
                <w:szCs w:val="21"/>
                <w:u w:val="single"/>
              </w:rPr>
            </w:pPr>
          </w:p>
        </w:tc>
        <w:tc>
          <w:tcPr>
            <w:tcW w:w="1675" w:type="dxa"/>
          </w:tcPr>
          <w:p w14:paraId="20974F0F">
            <w:pPr>
              <w:spacing w:line="360" w:lineRule="auto"/>
              <w:rPr>
                <w:color w:val="000000"/>
                <w:szCs w:val="21"/>
                <w:u w:val="single"/>
              </w:rPr>
            </w:pPr>
          </w:p>
        </w:tc>
        <w:tc>
          <w:tcPr>
            <w:tcW w:w="1673" w:type="dxa"/>
          </w:tcPr>
          <w:p w14:paraId="4C8B698B">
            <w:pPr>
              <w:spacing w:line="360" w:lineRule="auto"/>
              <w:rPr>
                <w:color w:val="000000"/>
                <w:szCs w:val="21"/>
                <w:u w:val="single"/>
              </w:rPr>
            </w:pPr>
          </w:p>
        </w:tc>
      </w:tr>
      <w:tr w14:paraId="7863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9D8688">
            <w:pPr>
              <w:spacing w:line="360" w:lineRule="auto"/>
              <w:rPr>
                <w:color w:val="000000"/>
                <w:szCs w:val="21"/>
                <w:u w:val="single"/>
              </w:rPr>
            </w:pPr>
          </w:p>
        </w:tc>
        <w:tc>
          <w:tcPr>
            <w:tcW w:w="1980" w:type="dxa"/>
          </w:tcPr>
          <w:p w14:paraId="2262B17C">
            <w:pPr>
              <w:spacing w:line="360" w:lineRule="auto"/>
              <w:rPr>
                <w:color w:val="000000"/>
                <w:szCs w:val="21"/>
                <w:u w:val="single"/>
              </w:rPr>
            </w:pPr>
          </w:p>
        </w:tc>
        <w:tc>
          <w:tcPr>
            <w:tcW w:w="1832" w:type="dxa"/>
          </w:tcPr>
          <w:p w14:paraId="1D50B285">
            <w:pPr>
              <w:spacing w:line="360" w:lineRule="auto"/>
              <w:rPr>
                <w:color w:val="000000"/>
                <w:szCs w:val="21"/>
                <w:u w:val="single"/>
              </w:rPr>
            </w:pPr>
          </w:p>
        </w:tc>
        <w:tc>
          <w:tcPr>
            <w:tcW w:w="1675" w:type="dxa"/>
          </w:tcPr>
          <w:p w14:paraId="0A2F5302">
            <w:pPr>
              <w:spacing w:line="360" w:lineRule="auto"/>
              <w:rPr>
                <w:color w:val="000000"/>
                <w:szCs w:val="21"/>
                <w:u w:val="single"/>
              </w:rPr>
            </w:pPr>
          </w:p>
        </w:tc>
        <w:tc>
          <w:tcPr>
            <w:tcW w:w="1673" w:type="dxa"/>
          </w:tcPr>
          <w:p w14:paraId="1B989D0E">
            <w:pPr>
              <w:spacing w:line="360" w:lineRule="auto"/>
              <w:rPr>
                <w:color w:val="000000"/>
                <w:szCs w:val="21"/>
                <w:u w:val="single"/>
              </w:rPr>
            </w:pPr>
          </w:p>
        </w:tc>
      </w:tr>
      <w:tr w14:paraId="09D3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DD22A9">
            <w:pPr>
              <w:spacing w:line="360" w:lineRule="auto"/>
              <w:rPr>
                <w:color w:val="000000"/>
                <w:szCs w:val="21"/>
                <w:u w:val="single"/>
              </w:rPr>
            </w:pPr>
          </w:p>
        </w:tc>
        <w:tc>
          <w:tcPr>
            <w:tcW w:w="1980" w:type="dxa"/>
          </w:tcPr>
          <w:p w14:paraId="2552EBB9">
            <w:pPr>
              <w:spacing w:line="360" w:lineRule="auto"/>
              <w:rPr>
                <w:color w:val="000000"/>
                <w:szCs w:val="21"/>
                <w:u w:val="single"/>
              </w:rPr>
            </w:pPr>
          </w:p>
        </w:tc>
        <w:tc>
          <w:tcPr>
            <w:tcW w:w="1832" w:type="dxa"/>
          </w:tcPr>
          <w:p w14:paraId="2EE85956">
            <w:pPr>
              <w:spacing w:line="360" w:lineRule="auto"/>
              <w:rPr>
                <w:color w:val="000000"/>
                <w:szCs w:val="21"/>
                <w:u w:val="single"/>
              </w:rPr>
            </w:pPr>
          </w:p>
        </w:tc>
        <w:tc>
          <w:tcPr>
            <w:tcW w:w="1675" w:type="dxa"/>
          </w:tcPr>
          <w:p w14:paraId="3F30C29E">
            <w:pPr>
              <w:spacing w:line="360" w:lineRule="auto"/>
              <w:rPr>
                <w:color w:val="000000"/>
                <w:szCs w:val="21"/>
                <w:u w:val="single"/>
              </w:rPr>
            </w:pPr>
          </w:p>
        </w:tc>
        <w:tc>
          <w:tcPr>
            <w:tcW w:w="1673" w:type="dxa"/>
          </w:tcPr>
          <w:p w14:paraId="7C324A7C">
            <w:pPr>
              <w:spacing w:line="360" w:lineRule="auto"/>
              <w:rPr>
                <w:color w:val="000000"/>
                <w:szCs w:val="21"/>
                <w:u w:val="single"/>
              </w:rPr>
            </w:pPr>
          </w:p>
        </w:tc>
      </w:tr>
      <w:tr w14:paraId="473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87399A">
            <w:pPr>
              <w:spacing w:line="360" w:lineRule="auto"/>
              <w:rPr>
                <w:color w:val="000000"/>
                <w:szCs w:val="21"/>
                <w:u w:val="single"/>
              </w:rPr>
            </w:pPr>
          </w:p>
        </w:tc>
        <w:tc>
          <w:tcPr>
            <w:tcW w:w="1980" w:type="dxa"/>
          </w:tcPr>
          <w:p w14:paraId="6CC1E64B">
            <w:pPr>
              <w:spacing w:line="360" w:lineRule="auto"/>
              <w:rPr>
                <w:color w:val="000000"/>
                <w:szCs w:val="21"/>
                <w:u w:val="single"/>
              </w:rPr>
            </w:pPr>
          </w:p>
        </w:tc>
        <w:tc>
          <w:tcPr>
            <w:tcW w:w="1832" w:type="dxa"/>
          </w:tcPr>
          <w:p w14:paraId="6F0C31D9">
            <w:pPr>
              <w:spacing w:line="360" w:lineRule="auto"/>
              <w:rPr>
                <w:color w:val="000000"/>
                <w:szCs w:val="21"/>
                <w:u w:val="single"/>
              </w:rPr>
            </w:pPr>
          </w:p>
        </w:tc>
        <w:tc>
          <w:tcPr>
            <w:tcW w:w="1675" w:type="dxa"/>
          </w:tcPr>
          <w:p w14:paraId="00A7E7C0">
            <w:pPr>
              <w:spacing w:line="360" w:lineRule="auto"/>
              <w:rPr>
                <w:color w:val="000000"/>
                <w:szCs w:val="21"/>
                <w:u w:val="single"/>
              </w:rPr>
            </w:pPr>
          </w:p>
        </w:tc>
        <w:tc>
          <w:tcPr>
            <w:tcW w:w="1673" w:type="dxa"/>
          </w:tcPr>
          <w:p w14:paraId="06FE4F34">
            <w:pPr>
              <w:spacing w:line="360" w:lineRule="auto"/>
              <w:rPr>
                <w:color w:val="000000"/>
                <w:szCs w:val="21"/>
                <w:u w:val="single"/>
              </w:rPr>
            </w:pPr>
          </w:p>
        </w:tc>
      </w:tr>
      <w:tr w14:paraId="7EE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1B91903">
            <w:pPr>
              <w:spacing w:line="360" w:lineRule="auto"/>
              <w:rPr>
                <w:color w:val="000000"/>
                <w:szCs w:val="21"/>
                <w:u w:val="single"/>
              </w:rPr>
            </w:pPr>
          </w:p>
        </w:tc>
        <w:tc>
          <w:tcPr>
            <w:tcW w:w="1980" w:type="dxa"/>
          </w:tcPr>
          <w:p w14:paraId="12C3F488">
            <w:pPr>
              <w:spacing w:line="360" w:lineRule="auto"/>
              <w:rPr>
                <w:color w:val="000000"/>
                <w:szCs w:val="21"/>
                <w:u w:val="single"/>
              </w:rPr>
            </w:pPr>
          </w:p>
        </w:tc>
        <w:tc>
          <w:tcPr>
            <w:tcW w:w="1832" w:type="dxa"/>
          </w:tcPr>
          <w:p w14:paraId="463F386D">
            <w:pPr>
              <w:spacing w:line="360" w:lineRule="auto"/>
              <w:rPr>
                <w:color w:val="000000"/>
                <w:szCs w:val="21"/>
                <w:u w:val="single"/>
              </w:rPr>
            </w:pPr>
          </w:p>
        </w:tc>
        <w:tc>
          <w:tcPr>
            <w:tcW w:w="1675" w:type="dxa"/>
          </w:tcPr>
          <w:p w14:paraId="6CD99BCF">
            <w:pPr>
              <w:spacing w:line="360" w:lineRule="auto"/>
              <w:rPr>
                <w:color w:val="000000"/>
                <w:szCs w:val="21"/>
                <w:u w:val="single"/>
              </w:rPr>
            </w:pPr>
          </w:p>
        </w:tc>
        <w:tc>
          <w:tcPr>
            <w:tcW w:w="1673" w:type="dxa"/>
          </w:tcPr>
          <w:p w14:paraId="4860E624">
            <w:pPr>
              <w:spacing w:line="360" w:lineRule="auto"/>
              <w:rPr>
                <w:color w:val="000000"/>
                <w:szCs w:val="21"/>
                <w:u w:val="single"/>
              </w:rPr>
            </w:pPr>
          </w:p>
        </w:tc>
      </w:tr>
      <w:tr w14:paraId="33CA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0DD5F5">
            <w:pPr>
              <w:spacing w:line="360" w:lineRule="auto"/>
              <w:rPr>
                <w:color w:val="000000"/>
                <w:szCs w:val="21"/>
                <w:u w:val="single"/>
              </w:rPr>
            </w:pPr>
          </w:p>
        </w:tc>
        <w:tc>
          <w:tcPr>
            <w:tcW w:w="1980" w:type="dxa"/>
          </w:tcPr>
          <w:p w14:paraId="71EFB8FA">
            <w:pPr>
              <w:spacing w:line="360" w:lineRule="auto"/>
              <w:rPr>
                <w:color w:val="000000"/>
                <w:szCs w:val="21"/>
                <w:u w:val="single"/>
              </w:rPr>
            </w:pPr>
          </w:p>
        </w:tc>
        <w:tc>
          <w:tcPr>
            <w:tcW w:w="1832" w:type="dxa"/>
          </w:tcPr>
          <w:p w14:paraId="7CC1F40C">
            <w:pPr>
              <w:spacing w:line="360" w:lineRule="auto"/>
              <w:rPr>
                <w:color w:val="000000"/>
                <w:szCs w:val="21"/>
                <w:u w:val="single"/>
              </w:rPr>
            </w:pPr>
          </w:p>
        </w:tc>
        <w:tc>
          <w:tcPr>
            <w:tcW w:w="1675" w:type="dxa"/>
          </w:tcPr>
          <w:p w14:paraId="606E7EE4">
            <w:pPr>
              <w:spacing w:line="360" w:lineRule="auto"/>
              <w:rPr>
                <w:color w:val="000000"/>
                <w:szCs w:val="21"/>
                <w:u w:val="single"/>
              </w:rPr>
            </w:pPr>
          </w:p>
        </w:tc>
        <w:tc>
          <w:tcPr>
            <w:tcW w:w="1673" w:type="dxa"/>
          </w:tcPr>
          <w:p w14:paraId="449FFB08">
            <w:pPr>
              <w:spacing w:line="360" w:lineRule="auto"/>
              <w:rPr>
                <w:color w:val="000000"/>
                <w:szCs w:val="21"/>
                <w:u w:val="single"/>
              </w:rPr>
            </w:pPr>
          </w:p>
        </w:tc>
      </w:tr>
      <w:tr w14:paraId="780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71E501">
            <w:pPr>
              <w:spacing w:line="360" w:lineRule="auto"/>
              <w:rPr>
                <w:color w:val="000000"/>
                <w:szCs w:val="21"/>
                <w:u w:val="single"/>
              </w:rPr>
            </w:pPr>
          </w:p>
        </w:tc>
        <w:tc>
          <w:tcPr>
            <w:tcW w:w="1980" w:type="dxa"/>
          </w:tcPr>
          <w:p w14:paraId="04E56A0C">
            <w:pPr>
              <w:spacing w:line="360" w:lineRule="auto"/>
              <w:rPr>
                <w:color w:val="000000"/>
                <w:szCs w:val="21"/>
                <w:u w:val="single"/>
              </w:rPr>
            </w:pPr>
          </w:p>
        </w:tc>
        <w:tc>
          <w:tcPr>
            <w:tcW w:w="1832" w:type="dxa"/>
          </w:tcPr>
          <w:p w14:paraId="2A924E2A">
            <w:pPr>
              <w:spacing w:line="360" w:lineRule="auto"/>
              <w:rPr>
                <w:color w:val="000000"/>
                <w:szCs w:val="21"/>
                <w:u w:val="single"/>
              </w:rPr>
            </w:pPr>
          </w:p>
        </w:tc>
        <w:tc>
          <w:tcPr>
            <w:tcW w:w="1675" w:type="dxa"/>
          </w:tcPr>
          <w:p w14:paraId="68B4D54C">
            <w:pPr>
              <w:spacing w:line="360" w:lineRule="auto"/>
              <w:rPr>
                <w:color w:val="000000"/>
                <w:szCs w:val="21"/>
                <w:u w:val="single"/>
              </w:rPr>
            </w:pPr>
          </w:p>
        </w:tc>
        <w:tc>
          <w:tcPr>
            <w:tcW w:w="1673" w:type="dxa"/>
          </w:tcPr>
          <w:p w14:paraId="7D948733">
            <w:pPr>
              <w:spacing w:line="360" w:lineRule="auto"/>
              <w:rPr>
                <w:color w:val="000000"/>
                <w:szCs w:val="21"/>
                <w:u w:val="single"/>
              </w:rPr>
            </w:pPr>
          </w:p>
        </w:tc>
      </w:tr>
      <w:tr w14:paraId="325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7E2CAE">
            <w:pPr>
              <w:spacing w:line="360" w:lineRule="auto"/>
              <w:rPr>
                <w:color w:val="000000"/>
                <w:szCs w:val="21"/>
                <w:u w:val="single"/>
              </w:rPr>
            </w:pPr>
          </w:p>
        </w:tc>
        <w:tc>
          <w:tcPr>
            <w:tcW w:w="1980" w:type="dxa"/>
          </w:tcPr>
          <w:p w14:paraId="591926D4">
            <w:pPr>
              <w:spacing w:line="360" w:lineRule="auto"/>
              <w:rPr>
                <w:color w:val="000000"/>
                <w:szCs w:val="21"/>
                <w:u w:val="single"/>
              </w:rPr>
            </w:pPr>
          </w:p>
        </w:tc>
        <w:tc>
          <w:tcPr>
            <w:tcW w:w="1832" w:type="dxa"/>
          </w:tcPr>
          <w:p w14:paraId="0E44EC17">
            <w:pPr>
              <w:spacing w:line="360" w:lineRule="auto"/>
              <w:rPr>
                <w:color w:val="000000"/>
                <w:szCs w:val="21"/>
                <w:u w:val="single"/>
              </w:rPr>
            </w:pPr>
          </w:p>
        </w:tc>
        <w:tc>
          <w:tcPr>
            <w:tcW w:w="1675" w:type="dxa"/>
          </w:tcPr>
          <w:p w14:paraId="40CBD99E">
            <w:pPr>
              <w:spacing w:line="360" w:lineRule="auto"/>
              <w:rPr>
                <w:color w:val="000000"/>
                <w:szCs w:val="21"/>
                <w:u w:val="single"/>
              </w:rPr>
            </w:pPr>
          </w:p>
        </w:tc>
        <w:tc>
          <w:tcPr>
            <w:tcW w:w="1673" w:type="dxa"/>
          </w:tcPr>
          <w:p w14:paraId="2ACBC1CD">
            <w:pPr>
              <w:spacing w:line="360" w:lineRule="auto"/>
              <w:rPr>
                <w:color w:val="000000"/>
                <w:szCs w:val="21"/>
                <w:u w:val="single"/>
              </w:rPr>
            </w:pPr>
          </w:p>
        </w:tc>
      </w:tr>
    </w:tbl>
    <w:p w14:paraId="260FBBF8">
      <w:pPr>
        <w:spacing w:line="360" w:lineRule="auto"/>
        <w:rPr>
          <w:color w:val="000000"/>
          <w:szCs w:val="21"/>
          <w:u w:val="single"/>
        </w:rPr>
      </w:pPr>
    </w:p>
    <w:p w14:paraId="25269DFC">
      <w:pPr>
        <w:spacing w:line="320" w:lineRule="exact"/>
        <w:rPr>
          <w:rFonts w:hint="eastAsia" w:ascii="宋体" w:hAnsi="宋体"/>
          <w:color w:val="000000"/>
          <w:sz w:val="18"/>
          <w:szCs w:val="24"/>
        </w:rPr>
      </w:pPr>
      <w:r>
        <w:rPr>
          <w:rFonts w:ascii="宋体" w:hAnsi="宋体"/>
          <w:color w:val="000000"/>
          <w:sz w:val="18"/>
          <w:szCs w:val="24"/>
        </w:rPr>
        <w:t>填报说明：</w:t>
      </w:r>
    </w:p>
    <w:p w14:paraId="1F8E7ACA">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182FD6AC">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B8E8CA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1B662C0D">
      <w:pPr>
        <w:spacing w:line="320" w:lineRule="exact"/>
        <w:rPr>
          <w:rFonts w:hint="eastAsia" w:ascii="宋体" w:hAnsi="宋体"/>
          <w:color w:val="000000"/>
          <w:szCs w:val="21"/>
        </w:rPr>
      </w:pPr>
    </w:p>
    <w:p w14:paraId="6A04433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p>
    <w:p w14:paraId="3145518D">
      <w:pPr>
        <w:spacing w:line="360" w:lineRule="auto"/>
        <w:rPr>
          <w:rFonts w:hint="eastAsia" w:ascii="宋体" w:hAnsi="宋体"/>
          <w:color w:val="000000"/>
          <w:szCs w:val="21"/>
        </w:rPr>
      </w:pPr>
    </w:p>
    <w:p w14:paraId="00E6BEE8">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2728550D">
      <w:pPr>
        <w:spacing w:line="300" w:lineRule="auto"/>
        <w:rPr>
          <w:rFonts w:hint="eastAsia" w:ascii="宋体" w:hAnsi="宋体"/>
          <w:bCs/>
          <w:sz w:val="24"/>
          <w:szCs w:val="24"/>
        </w:rPr>
      </w:pPr>
      <w:r>
        <w:rPr>
          <w:rFonts w:ascii="宋体" w:hAnsi="宋体"/>
          <w:color w:val="000000"/>
          <w:szCs w:val="21"/>
        </w:rPr>
        <w:br w:type="page"/>
      </w:r>
    </w:p>
    <w:p w14:paraId="7721E4BB">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6E42575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4F1356C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637EAFC8">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3F7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5D21782">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1CEC4A8F">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73A9853D">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5AFEE133">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2590FAF">
            <w:pPr>
              <w:jc w:val="center"/>
              <w:rPr>
                <w:rFonts w:hint="eastAsia" w:ascii="宋体" w:hAnsi="宋体"/>
                <w:color w:val="000000"/>
                <w:szCs w:val="21"/>
              </w:rPr>
            </w:pPr>
            <w:r>
              <w:rPr>
                <w:rFonts w:hint="eastAsia" w:ascii="宋体" w:hAnsi="宋体"/>
                <w:color w:val="000000"/>
                <w:szCs w:val="21"/>
              </w:rPr>
              <w:t>已承担项目情况</w:t>
            </w:r>
          </w:p>
        </w:tc>
      </w:tr>
      <w:tr w14:paraId="594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1BD174D">
            <w:pPr>
              <w:jc w:val="center"/>
              <w:rPr>
                <w:rFonts w:hint="eastAsia" w:ascii="宋体" w:hAnsi="宋体"/>
                <w:color w:val="000000"/>
                <w:szCs w:val="21"/>
              </w:rPr>
            </w:pPr>
          </w:p>
        </w:tc>
        <w:tc>
          <w:tcPr>
            <w:tcW w:w="981" w:type="dxa"/>
            <w:vMerge w:val="continue"/>
            <w:vAlign w:val="center"/>
          </w:tcPr>
          <w:p w14:paraId="27D17FD0">
            <w:pPr>
              <w:jc w:val="center"/>
              <w:rPr>
                <w:rFonts w:hint="eastAsia" w:ascii="宋体" w:hAnsi="宋体"/>
                <w:color w:val="000000"/>
                <w:szCs w:val="21"/>
              </w:rPr>
            </w:pPr>
          </w:p>
        </w:tc>
        <w:tc>
          <w:tcPr>
            <w:tcW w:w="976" w:type="dxa"/>
            <w:vMerge w:val="continue"/>
            <w:vAlign w:val="center"/>
          </w:tcPr>
          <w:p w14:paraId="0F5F981B">
            <w:pPr>
              <w:jc w:val="center"/>
              <w:rPr>
                <w:rFonts w:hint="eastAsia" w:ascii="宋体" w:hAnsi="宋体"/>
                <w:color w:val="000000"/>
                <w:szCs w:val="21"/>
              </w:rPr>
            </w:pPr>
          </w:p>
        </w:tc>
        <w:tc>
          <w:tcPr>
            <w:tcW w:w="1501" w:type="dxa"/>
            <w:vAlign w:val="center"/>
          </w:tcPr>
          <w:p w14:paraId="05FD8581">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624BF77C">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2DDD9D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1C1AC1B9">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310F9BA">
            <w:pPr>
              <w:jc w:val="center"/>
              <w:rPr>
                <w:rFonts w:hint="eastAsia" w:ascii="宋体" w:hAnsi="宋体"/>
                <w:color w:val="000000"/>
                <w:szCs w:val="21"/>
              </w:rPr>
            </w:pPr>
            <w:r>
              <w:rPr>
                <w:rFonts w:hint="eastAsia" w:ascii="宋体" w:hAnsi="宋体"/>
                <w:color w:val="000000"/>
                <w:szCs w:val="21"/>
              </w:rPr>
              <w:t>项目获奖情况</w:t>
            </w:r>
          </w:p>
        </w:tc>
      </w:tr>
      <w:tr w14:paraId="51DE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0658D879">
            <w:pPr>
              <w:rPr>
                <w:rFonts w:hint="eastAsia" w:ascii="宋体" w:hAnsi="宋体"/>
                <w:color w:val="000000"/>
                <w:szCs w:val="21"/>
              </w:rPr>
            </w:pPr>
          </w:p>
        </w:tc>
        <w:tc>
          <w:tcPr>
            <w:tcW w:w="981" w:type="dxa"/>
          </w:tcPr>
          <w:p w14:paraId="23D447DB">
            <w:pPr>
              <w:rPr>
                <w:rFonts w:hint="eastAsia" w:ascii="宋体" w:hAnsi="宋体"/>
                <w:color w:val="000000"/>
                <w:szCs w:val="21"/>
              </w:rPr>
            </w:pPr>
          </w:p>
        </w:tc>
        <w:tc>
          <w:tcPr>
            <w:tcW w:w="976" w:type="dxa"/>
          </w:tcPr>
          <w:p w14:paraId="2C16A0B1">
            <w:pPr>
              <w:rPr>
                <w:rFonts w:hint="eastAsia" w:ascii="宋体" w:hAnsi="宋体"/>
                <w:color w:val="000000"/>
                <w:szCs w:val="21"/>
              </w:rPr>
            </w:pPr>
          </w:p>
        </w:tc>
        <w:tc>
          <w:tcPr>
            <w:tcW w:w="1501" w:type="dxa"/>
          </w:tcPr>
          <w:p w14:paraId="663A21C6">
            <w:pPr>
              <w:rPr>
                <w:rFonts w:hint="eastAsia" w:ascii="宋体" w:hAnsi="宋体"/>
                <w:color w:val="000000"/>
                <w:szCs w:val="21"/>
              </w:rPr>
            </w:pPr>
          </w:p>
        </w:tc>
        <w:tc>
          <w:tcPr>
            <w:tcW w:w="785" w:type="dxa"/>
          </w:tcPr>
          <w:p w14:paraId="1D8A63EA">
            <w:pPr>
              <w:rPr>
                <w:rFonts w:hint="eastAsia" w:ascii="宋体" w:hAnsi="宋体"/>
                <w:color w:val="000000"/>
                <w:szCs w:val="21"/>
              </w:rPr>
            </w:pPr>
          </w:p>
        </w:tc>
        <w:tc>
          <w:tcPr>
            <w:tcW w:w="786" w:type="dxa"/>
          </w:tcPr>
          <w:p w14:paraId="7D03EFD3">
            <w:pPr>
              <w:rPr>
                <w:rFonts w:hint="eastAsia" w:ascii="宋体" w:hAnsi="宋体"/>
                <w:color w:val="000000"/>
                <w:szCs w:val="21"/>
              </w:rPr>
            </w:pPr>
          </w:p>
        </w:tc>
        <w:tc>
          <w:tcPr>
            <w:tcW w:w="1187" w:type="dxa"/>
          </w:tcPr>
          <w:p w14:paraId="2F8C90D9">
            <w:pPr>
              <w:rPr>
                <w:rFonts w:hint="eastAsia" w:ascii="宋体" w:hAnsi="宋体"/>
                <w:color w:val="000000"/>
                <w:szCs w:val="21"/>
              </w:rPr>
            </w:pPr>
          </w:p>
        </w:tc>
        <w:tc>
          <w:tcPr>
            <w:tcW w:w="1528" w:type="dxa"/>
          </w:tcPr>
          <w:p w14:paraId="20DF93F8">
            <w:pPr>
              <w:rPr>
                <w:rFonts w:hint="eastAsia" w:ascii="宋体" w:hAnsi="宋体"/>
                <w:color w:val="000000"/>
                <w:szCs w:val="21"/>
              </w:rPr>
            </w:pPr>
          </w:p>
        </w:tc>
      </w:tr>
      <w:tr w14:paraId="5C4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BE2EB43">
            <w:pPr>
              <w:rPr>
                <w:rFonts w:hint="eastAsia" w:ascii="宋体" w:hAnsi="宋体"/>
                <w:color w:val="000000"/>
                <w:szCs w:val="21"/>
              </w:rPr>
            </w:pPr>
          </w:p>
        </w:tc>
        <w:tc>
          <w:tcPr>
            <w:tcW w:w="981" w:type="dxa"/>
          </w:tcPr>
          <w:p w14:paraId="3E0D0A5D">
            <w:pPr>
              <w:rPr>
                <w:rFonts w:hint="eastAsia" w:ascii="宋体" w:hAnsi="宋体"/>
                <w:color w:val="000000"/>
                <w:szCs w:val="21"/>
              </w:rPr>
            </w:pPr>
          </w:p>
        </w:tc>
        <w:tc>
          <w:tcPr>
            <w:tcW w:w="976" w:type="dxa"/>
          </w:tcPr>
          <w:p w14:paraId="1D845FD6">
            <w:pPr>
              <w:rPr>
                <w:rFonts w:hint="eastAsia" w:ascii="宋体" w:hAnsi="宋体"/>
                <w:color w:val="000000"/>
                <w:szCs w:val="21"/>
              </w:rPr>
            </w:pPr>
          </w:p>
        </w:tc>
        <w:tc>
          <w:tcPr>
            <w:tcW w:w="1501" w:type="dxa"/>
          </w:tcPr>
          <w:p w14:paraId="2F75C4CA">
            <w:pPr>
              <w:rPr>
                <w:rFonts w:hint="eastAsia" w:ascii="宋体" w:hAnsi="宋体"/>
                <w:color w:val="000000"/>
                <w:szCs w:val="21"/>
              </w:rPr>
            </w:pPr>
          </w:p>
        </w:tc>
        <w:tc>
          <w:tcPr>
            <w:tcW w:w="785" w:type="dxa"/>
          </w:tcPr>
          <w:p w14:paraId="7B352050">
            <w:pPr>
              <w:rPr>
                <w:rFonts w:hint="eastAsia" w:ascii="宋体" w:hAnsi="宋体"/>
                <w:color w:val="000000"/>
                <w:szCs w:val="21"/>
              </w:rPr>
            </w:pPr>
          </w:p>
        </w:tc>
        <w:tc>
          <w:tcPr>
            <w:tcW w:w="786" w:type="dxa"/>
          </w:tcPr>
          <w:p w14:paraId="06A3E5A3">
            <w:pPr>
              <w:rPr>
                <w:rFonts w:hint="eastAsia" w:ascii="宋体" w:hAnsi="宋体"/>
                <w:color w:val="000000"/>
                <w:szCs w:val="21"/>
              </w:rPr>
            </w:pPr>
          </w:p>
        </w:tc>
        <w:tc>
          <w:tcPr>
            <w:tcW w:w="1187" w:type="dxa"/>
          </w:tcPr>
          <w:p w14:paraId="7CB54EE1">
            <w:pPr>
              <w:rPr>
                <w:rFonts w:hint="eastAsia" w:ascii="宋体" w:hAnsi="宋体"/>
                <w:color w:val="000000"/>
                <w:szCs w:val="21"/>
              </w:rPr>
            </w:pPr>
          </w:p>
        </w:tc>
        <w:tc>
          <w:tcPr>
            <w:tcW w:w="1528" w:type="dxa"/>
          </w:tcPr>
          <w:p w14:paraId="7021860F">
            <w:pPr>
              <w:rPr>
                <w:rFonts w:hint="eastAsia" w:ascii="宋体" w:hAnsi="宋体"/>
                <w:color w:val="000000"/>
                <w:szCs w:val="21"/>
              </w:rPr>
            </w:pPr>
          </w:p>
        </w:tc>
      </w:tr>
    </w:tbl>
    <w:p w14:paraId="183C614E">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979111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63661F0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DDA2BC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049B9A9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271DA2D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44829F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38AE18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A7908E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101074904"/>
      <w:bookmarkStart w:id="10" w:name="_Toc73521707"/>
      <w:bookmarkStart w:id="11" w:name="_Toc100052474"/>
      <w:bookmarkStart w:id="12" w:name="_Toc73521619"/>
    </w:p>
    <w:p w14:paraId="33E8699C">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7D38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6FF2B27">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68D21480">
            <w:pPr>
              <w:jc w:val="center"/>
              <w:rPr>
                <w:rFonts w:hint="eastAsia" w:ascii="宋体" w:hAnsi="宋体"/>
                <w:color w:val="000000"/>
                <w:szCs w:val="21"/>
              </w:rPr>
            </w:pPr>
          </w:p>
        </w:tc>
        <w:tc>
          <w:tcPr>
            <w:tcW w:w="972" w:type="dxa"/>
            <w:vAlign w:val="center"/>
          </w:tcPr>
          <w:p w14:paraId="5523D254">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EC5A6B1">
            <w:pPr>
              <w:jc w:val="center"/>
              <w:rPr>
                <w:rFonts w:hint="eastAsia" w:ascii="宋体" w:hAnsi="宋体"/>
                <w:color w:val="000000"/>
                <w:szCs w:val="21"/>
              </w:rPr>
            </w:pPr>
          </w:p>
        </w:tc>
        <w:tc>
          <w:tcPr>
            <w:tcW w:w="1007" w:type="dxa"/>
            <w:gridSpan w:val="2"/>
            <w:vAlign w:val="center"/>
          </w:tcPr>
          <w:p w14:paraId="5368F1C8">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907D092">
            <w:pPr>
              <w:jc w:val="center"/>
              <w:rPr>
                <w:rFonts w:hint="eastAsia" w:ascii="宋体" w:hAnsi="宋体"/>
                <w:color w:val="000000"/>
                <w:szCs w:val="21"/>
              </w:rPr>
            </w:pPr>
          </w:p>
        </w:tc>
      </w:tr>
      <w:tr w14:paraId="15D6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C88BF4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E6598DD">
            <w:pPr>
              <w:jc w:val="center"/>
              <w:rPr>
                <w:rFonts w:hint="eastAsia" w:ascii="宋体" w:hAnsi="宋体"/>
                <w:color w:val="000000"/>
                <w:szCs w:val="21"/>
              </w:rPr>
            </w:pPr>
          </w:p>
        </w:tc>
        <w:tc>
          <w:tcPr>
            <w:tcW w:w="972" w:type="dxa"/>
            <w:vAlign w:val="center"/>
          </w:tcPr>
          <w:p w14:paraId="1152C59E">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A7EBC63">
            <w:pPr>
              <w:jc w:val="center"/>
              <w:rPr>
                <w:rFonts w:hint="eastAsia" w:ascii="宋体" w:hAnsi="宋体"/>
                <w:color w:val="000000"/>
                <w:szCs w:val="21"/>
              </w:rPr>
            </w:pPr>
          </w:p>
        </w:tc>
        <w:tc>
          <w:tcPr>
            <w:tcW w:w="1007" w:type="dxa"/>
            <w:gridSpan w:val="2"/>
            <w:vAlign w:val="center"/>
          </w:tcPr>
          <w:p w14:paraId="0D78F407">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40E86CDD">
            <w:pPr>
              <w:jc w:val="center"/>
              <w:rPr>
                <w:rFonts w:hint="eastAsia" w:ascii="宋体" w:hAnsi="宋体"/>
                <w:color w:val="000000"/>
                <w:szCs w:val="21"/>
              </w:rPr>
            </w:pPr>
          </w:p>
        </w:tc>
      </w:tr>
      <w:tr w14:paraId="78CA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6962563">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E6DAAC6">
            <w:pPr>
              <w:jc w:val="center"/>
              <w:rPr>
                <w:rFonts w:hint="eastAsia" w:ascii="宋体" w:hAnsi="宋体"/>
                <w:color w:val="000000"/>
                <w:szCs w:val="21"/>
              </w:rPr>
            </w:pPr>
          </w:p>
        </w:tc>
      </w:tr>
      <w:tr w14:paraId="12C3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7C5E3D96">
            <w:pPr>
              <w:jc w:val="center"/>
              <w:rPr>
                <w:rFonts w:hint="eastAsia" w:ascii="宋体" w:hAnsi="宋体"/>
                <w:color w:val="000000"/>
                <w:szCs w:val="21"/>
              </w:rPr>
            </w:pPr>
            <w:r>
              <w:rPr>
                <w:rFonts w:hint="eastAsia" w:ascii="宋体" w:hAnsi="宋体"/>
                <w:color w:val="000000"/>
                <w:szCs w:val="21"/>
              </w:rPr>
              <w:t>在执行和已完成项目情况</w:t>
            </w:r>
          </w:p>
        </w:tc>
      </w:tr>
      <w:tr w14:paraId="2ADC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6D680E2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07CBCE5">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5D85764">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4F7228B6">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2A7C5C6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E3D708D">
            <w:pPr>
              <w:jc w:val="center"/>
              <w:rPr>
                <w:rFonts w:hint="eastAsia" w:ascii="宋体" w:hAnsi="宋体"/>
                <w:color w:val="000000"/>
                <w:szCs w:val="21"/>
              </w:rPr>
            </w:pPr>
            <w:r>
              <w:rPr>
                <w:rFonts w:hint="eastAsia" w:ascii="宋体" w:hAnsi="宋体"/>
                <w:color w:val="000000"/>
                <w:szCs w:val="21"/>
              </w:rPr>
              <w:t>项目获奖情况</w:t>
            </w:r>
          </w:p>
        </w:tc>
      </w:tr>
      <w:tr w14:paraId="437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17844962">
            <w:pPr>
              <w:rPr>
                <w:rFonts w:hint="eastAsia" w:ascii="宋体" w:hAnsi="宋体"/>
                <w:color w:val="000000"/>
                <w:szCs w:val="21"/>
              </w:rPr>
            </w:pPr>
          </w:p>
        </w:tc>
        <w:tc>
          <w:tcPr>
            <w:tcW w:w="1622" w:type="dxa"/>
            <w:gridSpan w:val="2"/>
            <w:vAlign w:val="center"/>
          </w:tcPr>
          <w:p w14:paraId="0FDCB957">
            <w:pPr>
              <w:rPr>
                <w:rFonts w:hint="eastAsia" w:ascii="宋体" w:hAnsi="宋体"/>
                <w:color w:val="000000"/>
                <w:szCs w:val="21"/>
              </w:rPr>
            </w:pPr>
          </w:p>
        </w:tc>
        <w:tc>
          <w:tcPr>
            <w:tcW w:w="1326" w:type="dxa"/>
            <w:gridSpan w:val="3"/>
            <w:vAlign w:val="center"/>
          </w:tcPr>
          <w:p w14:paraId="650B3504">
            <w:pPr>
              <w:rPr>
                <w:rFonts w:hint="eastAsia" w:ascii="宋体" w:hAnsi="宋体"/>
                <w:color w:val="000000"/>
                <w:szCs w:val="21"/>
              </w:rPr>
            </w:pPr>
          </w:p>
        </w:tc>
        <w:tc>
          <w:tcPr>
            <w:tcW w:w="1592" w:type="dxa"/>
            <w:gridSpan w:val="2"/>
            <w:vAlign w:val="center"/>
          </w:tcPr>
          <w:p w14:paraId="465B6077">
            <w:pPr>
              <w:rPr>
                <w:rFonts w:hint="eastAsia" w:ascii="宋体" w:hAnsi="宋体"/>
                <w:color w:val="000000"/>
                <w:szCs w:val="21"/>
              </w:rPr>
            </w:pPr>
          </w:p>
        </w:tc>
        <w:tc>
          <w:tcPr>
            <w:tcW w:w="1461" w:type="dxa"/>
            <w:gridSpan w:val="2"/>
            <w:vAlign w:val="center"/>
          </w:tcPr>
          <w:p w14:paraId="032D59A0">
            <w:pPr>
              <w:rPr>
                <w:rFonts w:hint="eastAsia" w:ascii="宋体" w:hAnsi="宋体"/>
                <w:color w:val="000000"/>
                <w:szCs w:val="21"/>
              </w:rPr>
            </w:pPr>
          </w:p>
        </w:tc>
        <w:tc>
          <w:tcPr>
            <w:tcW w:w="1068" w:type="dxa"/>
            <w:vAlign w:val="center"/>
          </w:tcPr>
          <w:p w14:paraId="0CBBF0A4">
            <w:pPr>
              <w:rPr>
                <w:rFonts w:hint="eastAsia" w:ascii="宋体" w:hAnsi="宋体"/>
                <w:color w:val="000000"/>
                <w:szCs w:val="21"/>
              </w:rPr>
            </w:pPr>
          </w:p>
        </w:tc>
      </w:tr>
    </w:tbl>
    <w:p w14:paraId="1497458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73521708"/>
      <w:bookmarkStart w:id="14" w:name="_Toc73521620"/>
      <w:bookmarkStart w:id="15" w:name="_Toc100052475"/>
      <w:bookmarkStart w:id="16" w:name="_Toc101074905"/>
      <w:r>
        <w:rPr>
          <w:rFonts w:hint="eastAsia" w:ascii="宋体" w:hAnsi="宋体"/>
          <w:color w:val="000000"/>
          <w:szCs w:val="21"/>
        </w:rPr>
        <w:t>投标单位公章：</w:t>
      </w:r>
    </w:p>
    <w:p w14:paraId="54F74D2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8B1FB9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D54AA7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47B3020C">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C24A8FA">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742861"/>
      <w:bookmarkStart w:id="18" w:name="_Toc201401658"/>
      <w:bookmarkStart w:id="19" w:name="_Toc201743116"/>
      <w:bookmarkStart w:id="20" w:name="_Toc201719118"/>
      <w:bookmarkStart w:id="21" w:name="_Toc201997946"/>
    </w:p>
    <w:p w14:paraId="698FF1F7">
      <w:pPr>
        <w:spacing w:line="300" w:lineRule="auto"/>
        <w:rPr>
          <w:rFonts w:hint="eastAsia" w:ascii="宋体" w:hAnsi="宋体"/>
          <w:color w:val="000000"/>
          <w:szCs w:val="21"/>
        </w:rPr>
      </w:pPr>
      <w:r>
        <w:rPr>
          <w:rFonts w:hint="eastAsia" w:ascii="宋体" w:hAnsi="宋体"/>
          <w:color w:val="000000"/>
          <w:szCs w:val="21"/>
        </w:rPr>
        <w:t>格式7：法人授权书</w:t>
      </w:r>
    </w:p>
    <w:p w14:paraId="1CD9B295">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B36E591">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0A6267">
      <w:pPr>
        <w:spacing w:line="360" w:lineRule="auto"/>
        <w:ind w:firstLine="480" w:firstLineChars="200"/>
        <w:jc w:val="left"/>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采购活动中相关谈判采购事务。</w:t>
      </w:r>
    </w:p>
    <w:p w14:paraId="6546C22F">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23C8BB10">
      <w:pPr>
        <w:spacing w:line="500" w:lineRule="exact"/>
        <w:ind w:firstLine="480" w:firstLineChars="200"/>
        <w:jc w:val="left"/>
        <w:rPr>
          <w:rFonts w:hint="eastAsia" w:ascii="宋体" w:hAnsi="宋体"/>
          <w:bCs/>
          <w:sz w:val="24"/>
          <w:szCs w:val="24"/>
        </w:rPr>
      </w:pPr>
    </w:p>
    <w:p w14:paraId="113566CF">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42DCFBC">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430A9B51">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47810D53">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v:textbox>
              </v:rect>
            </w:pict>
          </mc:Fallback>
        </mc:AlternateContent>
      </w:r>
    </w:p>
    <w:p w14:paraId="0D94CFFC">
      <w:pPr>
        <w:spacing w:line="500" w:lineRule="exact"/>
        <w:ind w:firstLine="555"/>
        <w:jc w:val="left"/>
        <w:rPr>
          <w:rFonts w:hint="eastAsia" w:ascii="宋体" w:hAnsi="宋体"/>
          <w:bCs/>
          <w:sz w:val="24"/>
          <w:szCs w:val="24"/>
          <w:u w:val="single"/>
        </w:rPr>
      </w:pPr>
    </w:p>
    <w:p w14:paraId="11D0E044">
      <w:pPr>
        <w:spacing w:line="500" w:lineRule="exact"/>
        <w:ind w:firstLine="555"/>
        <w:jc w:val="left"/>
        <w:rPr>
          <w:rFonts w:hint="eastAsia" w:ascii="宋体" w:hAnsi="宋体"/>
          <w:bCs/>
          <w:sz w:val="24"/>
          <w:szCs w:val="24"/>
          <w:u w:val="single"/>
        </w:rPr>
      </w:pPr>
    </w:p>
    <w:p w14:paraId="6218C6FB">
      <w:pPr>
        <w:spacing w:line="500" w:lineRule="exact"/>
        <w:ind w:firstLine="555"/>
        <w:jc w:val="left"/>
        <w:rPr>
          <w:rFonts w:hint="eastAsia" w:ascii="宋体" w:hAnsi="宋体"/>
          <w:bCs/>
          <w:sz w:val="24"/>
          <w:szCs w:val="24"/>
          <w:u w:val="single"/>
        </w:rPr>
      </w:pPr>
    </w:p>
    <w:p w14:paraId="7D7084A9">
      <w:pPr>
        <w:tabs>
          <w:tab w:val="left" w:pos="0"/>
        </w:tabs>
        <w:spacing w:line="276" w:lineRule="auto"/>
        <w:jc w:val="left"/>
        <w:rPr>
          <w:rFonts w:hint="eastAsia" w:ascii="宋体" w:hAnsi="宋体"/>
          <w:sz w:val="24"/>
          <w:szCs w:val="24"/>
        </w:rPr>
      </w:pPr>
    </w:p>
    <w:p w14:paraId="7ED12338">
      <w:pPr>
        <w:rPr>
          <w:rFonts w:hint="eastAsia" w:ascii="宋体" w:hAnsi="宋体"/>
          <w:sz w:val="24"/>
          <w:szCs w:val="24"/>
        </w:rPr>
      </w:pPr>
    </w:p>
    <w:p w14:paraId="1B61800D">
      <w:pPr>
        <w:rPr>
          <w:rFonts w:hint="eastAsia" w:ascii="宋体" w:hAnsi="宋体"/>
          <w:sz w:val="24"/>
          <w:szCs w:val="24"/>
        </w:rPr>
      </w:pPr>
    </w:p>
    <w:p w14:paraId="0E148B88">
      <w:pPr>
        <w:spacing w:line="300" w:lineRule="auto"/>
        <w:rPr>
          <w:rFonts w:hint="eastAsia" w:ascii="宋体" w:hAnsi="宋体"/>
          <w:sz w:val="24"/>
          <w:szCs w:val="24"/>
        </w:rPr>
      </w:pPr>
    </w:p>
    <w:p w14:paraId="111C2425">
      <w:pPr>
        <w:spacing w:line="300" w:lineRule="auto"/>
        <w:rPr>
          <w:rFonts w:hint="eastAsia" w:ascii="宋体" w:hAnsi="宋体"/>
          <w:sz w:val="24"/>
          <w:szCs w:val="24"/>
        </w:rPr>
      </w:pPr>
    </w:p>
    <w:p w14:paraId="4F9AB444">
      <w:pPr>
        <w:spacing w:line="300" w:lineRule="auto"/>
        <w:rPr>
          <w:rFonts w:hint="eastAsia" w:ascii="宋体" w:hAnsi="宋体"/>
          <w:sz w:val="24"/>
          <w:szCs w:val="24"/>
        </w:rPr>
      </w:pPr>
    </w:p>
    <w:p w14:paraId="2732E445">
      <w:pPr>
        <w:spacing w:line="300" w:lineRule="auto"/>
        <w:rPr>
          <w:rFonts w:hint="eastAsia" w:ascii="宋体" w:hAnsi="宋体"/>
          <w:sz w:val="24"/>
          <w:szCs w:val="24"/>
        </w:rPr>
      </w:pPr>
    </w:p>
    <w:p w14:paraId="489FBE9D">
      <w:pPr>
        <w:spacing w:line="300" w:lineRule="auto"/>
        <w:rPr>
          <w:rFonts w:hint="eastAsia" w:ascii="宋体" w:hAnsi="宋体"/>
          <w:sz w:val="24"/>
          <w:szCs w:val="24"/>
        </w:rPr>
      </w:pPr>
    </w:p>
    <w:p w14:paraId="661196BE">
      <w:pPr>
        <w:spacing w:line="300" w:lineRule="auto"/>
        <w:rPr>
          <w:rFonts w:hint="eastAsia" w:ascii="宋体" w:hAnsi="宋体"/>
          <w:sz w:val="24"/>
          <w:szCs w:val="24"/>
        </w:rPr>
      </w:pPr>
    </w:p>
    <w:p w14:paraId="44AFBC4E">
      <w:pPr>
        <w:spacing w:line="300" w:lineRule="auto"/>
        <w:rPr>
          <w:rFonts w:hint="eastAsia" w:ascii="宋体" w:hAnsi="宋体"/>
          <w:sz w:val="24"/>
          <w:szCs w:val="24"/>
        </w:rPr>
      </w:pPr>
    </w:p>
    <w:p w14:paraId="3C310138">
      <w:pPr>
        <w:spacing w:line="300" w:lineRule="auto"/>
        <w:rPr>
          <w:rFonts w:hint="eastAsia" w:ascii="宋体" w:hAnsi="宋体"/>
          <w:sz w:val="24"/>
          <w:szCs w:val="24"/>
        </w:rPr>
      </w:pPr>
    </w:p>
    <w:p w14:paraId="5A93568B">
      <w:pPr>
        <w:spacing w:line="300" w:lineRule="auto"/>
        <w:rPr>
          <w:rFonts w:hint="eastAsia" w:ascii="宋体" w:hAnsi="宋体"/>
          <w:sz w:val="24"/>
          <w:szCs w:val="24"/>
        </w:rPr>
      </w:pPr>
    </w:p>
    <w:p w14:paraId="275233A6">
      <w:pPr>
        <w:spacing w:line="300" w:lineRule="auto"/>
        <w:rPr>
          <w:rFonts w:hint="eastAsia"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23FA1325">
      <w:pPr>
        <w:rPr>
          <w:rFonts w:hint="eastAsia" w:ascii="宋体" w:hAnsi="宋体"/>
          <w:bCs/>
          <w:sz w:val="24"/>
          <w:szCs w:val="24"/>
        </w:rPr>
      </w:pPr>
      <w:r>
        <w:rPr>
          <w:rFonts w:hint="eastAsia" w:ascii="宋体" w:hAnsi="宋体"/>
          <w:bCs/>
          <w:sz w:val="24"/>
          <w:szCs w:val="24"/>
        </w:rPr>
        <w:t>格式8：诚信承诺函</w:t>
      </w:r>
    </w:p>
    <w:p w14:paraId="3DBD8B0C">
      <w:pPr>
        <w:jc w:val="center"/>
        <w:rPr>
          <w:rFonts w:hint="eastAsia" w:ascii="宋体" w:hAnsi="宋体"/>
          <w:b/>
          <w:sz w:val="24"/>
          <w:szCs w:val="24"/>
        </w:rPr>
      </w:pPr>
      <w:r>
        <w:rPr>
          <w:rFonts w:hint="eastAsia" w:ascii="宋体" w:hAnsi="宋体"/>
          <w:b/>
          <w:bCs/>
          <w:sz w:val="24"/>
          <w:szCs w:val="24"/>
        </w:rPr>
        <w:t>诚信情况承诺函</w:t>
      </w:r>
    </w:p>
    <w:p w14:paraId="5FA29719">
      <w:pPr>
        <w:spacing w:line="312" w:lineRule="auto"/>
        <w:rPr>
          <w:rFonts w:hint="eastAsia" w:ascii="宋体" w:hAnsi="宋体"/>
          <w:sz w:val="24"/>
          <w:szCs w:val="24"/>
        </w:rPr>
      </w:pPr>
    </w:p>
    <w:p w14:paraId="13672A14">
      <w:pPr>
        <w:spacing w:line="360" w:lineRule="auto"/>
        <w:rPr>
          <w:rFonts w:hint="eastAsia" w:ascii="宋体" w:hAnsi="宋体"/>
          <w:i/>
          <w:iCs/>
          <w:sz w:val="24"/>
          <w:szCs w:val="24"/>
        </w:rPr>
      </w:pPr>
      <w:r>
        <w:rPr>
          <w:rFonts w:hint="eastAsia" w:ascii="宋体" w:hAnsi="宋体"/>
          <w:sz w:val="24"/>
          <w:szCs w:val="24"/>
        </w:rPr>
        <w:t>致：深圳市儿童医院</w:t>
      </w:r>
    </w:p>
    <w:p w14:paraId="06222A66">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2C1764DF">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6846A04C">
      <w:pPr>
        <w:numPr>
          <w:ilvl w:val="1"/>
          <w:numId w:val="1"/>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58F3A769">
      <w:pPr>
        <w:numPr>
          <w:ilvl w:val="1"/>
          <w:numId w:val="1"/>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7F6EFA82">
      <w:pPr>
        <w:numPr>
          <w:ilvl w:val="1"/>
          <w:numId w:val="1"/>
        </w:numPr>
        <w:spacing w:line="360" w:lineRule="auto"/>
        <w:rPr>
          <w:rFonts w:hint="eastAsia" w:ascii="宋体" w:hAnsi="宋体"/>
          <w:sz w:val="24"/>
          <w:szCs w:val="24"/>
        </w:rPr>
      </w:pPr>
      <w:r>
        <w:rPr>
          <w:rFonts w:hint="eastAsia" w:ascii="宋体" w:hAnsi="宋体"/>
          <w:sz w:val="24"/>
          <w:szCs w:val="24"/>
        </w:rPr>
        <w:t>隐瞒真实情况，提供虚假资料的；</w:t>
      </w:r>
    </w:p>
    <w:p w14:paraId="771E46C3">
      <w:pPr>
        <w:numPr>
          <w:ilvl w:val="1"/>
          <w:numId w:val="1"/>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3D9E8537">
      <w:pPr>
        <w:numPr>
          <w:ilvl w:val="1"/>
          <w:numId w:val="1"/>
        </w:numPr>
        <w:spacing w:line="360" w:lineRule="auto"/>
        <w:rPr>
          <w:rFonts w:hint="eastAsia" w:ascii="宋体" w:hAnsi="宋体"/>
          <w:sz w:val="24"/>
          <w:szCs w:val="24"/>
        </w:rPr>
      </w:pPr>
      <w:r>
        <w:rPr>
          <w:rFonts w:hint="eastAsia" w:ascii="宋体" w:hAnsi="宋体"/>
          <w:sz w:val="24"/>
          <w:szCs w:val="24"/>
        </w:rPr>
        <w:t>与其他采购参加人串通投标的；</w:t>
      </w:r>
    </w:p>
    <w:p w14:paraId="7974D64A">
      <w:pPr>
        <w:numPr>
          <w:ilvl w:val="1"/>
          <w:numId w:val="1"/>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40D726CF">
      <w:pPr>
        <w:numPr>
          <w:ilvl w:val="1"/>
          <w:numId w:val="1"/>
        </w:numPr>
        <w:spacing w:line="360" w:lineRule="auto"/>
        <w:rPr>
          <w:rFonts w:hint="eastAsia" w:ascii="宋体" w:hAnsi="宋体"/>
          <w:sz w:val="24"/>
          <w:szCs w:val="24"/>
        </w:rPr>
      </w:pPr>
      <w:r>
        <w:rPr>
          <w:rFonts w:hint="eastAsia" w:ascii="宋体" w:hAnsi="宋体"/>
          <w:sz w:val="24"/>
          <w:szCs w:val="24"/>
        </w:rPr>
        <w:t>恶意投诉的；</w:t>
      </w:r>
    </w:p>
    <w:p w14:paraId="5C93D57D">
      <w:pPr>
        <w:numPr>
          <w:ilvl w:val="1"/>
          <w:numId w:val="1"/>
        </w:numPr>
        <w:spacing w:line="360" w:lineRule="auto"/>
        <w:rPr>
          <w:rFonts w:hint="eastAsia" w:ascii="宋体" w:hAnsi="宋体"/>
          <w:sz w:val="24"/>
          <w:szCs w:val="24"/>
        </w:rPr>
      </w:pPr>
      <w:r>
        <w:rPr>
          <w:rFonts w:hint="eastAsia" w:ascii="宋体" w:hAnsi="宋体"/>
          <w:sz w:val="24"/>
          <w:szCs w:val="24"/>
        </w:rPr>
        <w:t>向采购项目相关人员行贿或者提供其他不当利益的；</w:t>
      </w:r>
    </w:p>
    <w:p w14:paraId="36F8691A">
      <w:pPr>
        <w:numPr>
          <w:ilvl w:val="1"/>
          <w:numId w:val="1"/>
        </w:numPr>
        <w:spacing w:line="360" w:lineRule="auto"/>
        <w:rPr>
          <w:rFonts w:hint="eastAsia" w:ascii="宋体" w:hAnsi="宋体"/>
          <w:sz w:val="24"/>
          <w:szCs w:val="24"/>
        </w:rPr>
      </w:pPr>
      <w:r>
        <w:rPr>
          <w:rFonts w:hint="eastAsia" w:ascii="宋体" w:hAnsi="宋体"/>
          <w:sz w:val="24"/>
          <w:szCs w:val="24"/>
        </w:rPr>
        <w:t>阻碍、抗拒主管部门监督检查的；</w:t>
      </w:r>
    </w:p>
    <w:p w14:paraId="690918BD">
      <w:pPr>
        <w:numPr>
          <w:ilvl w:val="1"/>
          <w:numId w:val="1"/>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0950D9C9">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4E6C5C3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1EB5520">
      <w:pPr>
        <w:spacing w:line="312" w:lineRule="auto"/>
        <w:ind w:firstLine="525"/>
        <w:rPr>
          <w:rFonts w:hint="eastAsia" w:ascii="宋体" w:hAnsi="宋体"/>
          <w:sz w:val="24"/>
          <w:szCs w:val="24"/>
        </w:rPr>
      </w:pPr>
    </w:p>
    <w:p w14:paraId="7EAAEFD9">
      <w:pPr>
        <w:spacing w:line="312" w:lineRule="auto"/>
        <w:ind w:firstLine="525"/>
        <w:rPr>
          <w:rFonts w:hint="eastAsia" w:ascii="宋体" w:hAnsi="宋体"/>
          <w:sz w:val="24"/>
          <w:szCs w:val="24"/>
        </w:rPr>
      </w:pPr>
    </w:p>
    <w:p w14:paraId="045AD634">
      <w:pPr>
        <w:spacing w:line="312" w:lineRule="auto"/>
        <w:ind w:firstLine="525"/>
        <w:rPr>
          <w:rFonts w:hint="eastAsia" w:ascii="宋体" w:hAnsi="宋体"/>
          <w:sz w:val="24"/>
          <w:szCs w:val="24"/>
        </w:rPr>
      </w:pPr>
    </w:p>
    <w:p w14:paraId="4FBAB0EA">
      <w:pPr>
        <w:spacing w:line="312" w:lineRule="auto"/>
        <w:ind w:firstLine="525"/>
        <w:rPr>
          <w:rFonts w:hint="eastAsia" w:ascii="宋体" w:hAnsi="宋体"/>
          <w:sz w:val="24"/>
          <w:szCs w:val="24"/>
        </w:rPr>
      </w:pPr>
    </w:p>
    <w:p w14:paraId="73DE8D31">
      <w:pPr>
        <w:spacing w:line="312" w:lineRule="auto"/>
        <w:ind w:firstLine="525"/>
        <w:rPr>
          <w:rFonts w:hint="eastAsia" w:ascii="宋体" w:hAnsi="宋体"/>
          <w:sz w:val="24"/>
          <w:szCs w:val="24"/>
        </w:rPr>
      </w:pPr>
    </w:p>
    <w:p w14:paraId="7680688E">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9F34DE1">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F5E748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73A">
    <w:pPr>
      <w:pStyle w:val="11"/>
      <w:jc w:val="center"/>
    </w:pPr>
    <w:r>
      <w:fldChar w:fldCharType="begin"/>
    </w:r>
    <w:r>
      <w:instrText xml:space="preserve"> PAGE   \* MERGEFORMAT </w:instrText>
    </w:r>
    <w:r>
      <w:fldChar w:fldCharType="separate"/>
    </w:r>
    <w:r>
      <w:rPr>
        <w:lang w:val="zh-CN"/>
      </w:rPr>
      <w:t>6</w:t>
    </w:r>
    <w:r>
      <w:rPr>
        <w:lang w:val="zh-CN"/>
      </w:rPr>
      <w:fldChar w:fldCharType="end"/>
    </w:r>
  </w:p>
  <w:p w14:paraId="4F807A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55A5">
    <w:pPr>
      <w:pStyle w:val="11"/>
      <w:framePr w:wrap="around" w:vAnchor="text" w:hAnchor="page" w:x="8278" w:y="-31"/>
      <w:rPr>
        <w:rStyle w:val="19"/>
      </w:rPr>
    </w:pPr>
    <w:r>
      <w:fldChar w:fldCharType="begin"/>
    </w:r>
    <w:r>
      <w:rPr>
        <w:rStyle w:val="19"/>
      </w:rPr>
      <w:instrText xml:space="preserve">PAGE  </w:instrText>
    </w:r>
    <w:r>
      <w:fldChar w:fldCharType="separate"/>
    </w:r>
    <w:r>
      <w:rPr>
        <w:rStyle w:val="19"/>
      </w:rPr>
      <w:t>12</w:t>
    </w:r>
    <w:r>
      <w:fldChar w:fldCharType="end"/>
    </w:r>
  </w:p>
  <w:p w14:paraId="3EB2663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4B2">
    <w:pPr>
      <w:pStyle w:val="11"/>
      <w:framePr w:wrap="around" w:vAnchor="text" w:hAnchor="margin" w:xAlign="center" w:y="1"/>
      <w:rPr>
        <w:rStyle w:val="19"/>
      </w:rPr>
    </w:pPr>
    <w:r>
      <w:fldChar w:fldCharType="begin"/>
    </w:r>
    <w:r>
      <w:rPr>
        <w:rStyle w:val="19"/>
      </w:rPr>
      <w:instrText xml:space="preserve">PAGE  </w:instrText>
    </w:r>
    <w:r>
      <w:fldChar w:fldCharType="end"/>
    </w:r>
  </w:p>
  <w:p w14:paraId="6BF8E10C">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144E3335">
        <w:pPr>
          <w:pStyle w:val="11"/>
          <w:jc w:val="center"/>
        </w:pPr>
        <w:r>
          <w:fldChar w:fldCharType="begin"/>
        </w:r>
        <w:r>
          <w:instrText xml:space="preserve"> PAGE   \* MERGEFORMAT </w:instrText>
        </w:r>
        <w:r>
          <w:fldChar w:fldCharType="separate"/>
        </w:r>
        <w:r>
          <w:rPr>
            <w:lang w:val="zh-CN"/>
          </w:rPr>
          <w:t>13</w:t>
        </w:r>
        <w:r>
          <w:rPr>
            <w:lang w:val="zh-CN"/>
          </w:rPr>
          <w:fldChar w:fldCharType="end"/>
        </w:r>
      </w:p>
    </w:sdtContent>
  </w:sdt>
  <w:p w14:paraId="4AE0BF9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7260">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F01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MmIwYWUxYjJiMTdiNmM0YzBjODhlYmUzYTIyNDMifQ=="/>
  </w:docVars>
  <w:rsids>
    <w:rsidRoot w:val="007A1EF5"/>
    <w:rsid w:val="00005298"/>
    <w:rsid w:val="00005F51"/>
    <w:rsid w:val="00010340"/>
    <w:rsid w:val="00010665"/>
    <w:rsid w:val="00011DA9"/>
    <w:rsid w:val="00013E83"/>
    <w:rsid w:val="00014CF4"/>
    <w:rsid w:val="0001588F"/>
    <w:rsid w:val="00015B11"/>
    <w:rsid w:val="00016D7D"/>
    <w:rsid w:val="00017FC0"/>
    <w:rsid w:val="0002167C"/>
    <w:rsid w:val="0002300C"/>
    <w:rsid w:val="00024078"/>
    <w:rsid w:val="000253E1"/>
    <w:rsid w:val="00031872"/>
    <w:rsid w:val="00031CC4"/>
    <w:rsid w:val="00032D39"/>
    <w:rsid w:val="00036247"/>
    <w:rsid w:val="00036673"/>
    <w:rsid w:val="000402A1"/>
    <w:rsid w:val="0004226A"/>
    <w:rsid w:val="0004373B"/>
    <w:rsid w:val="000442B7"/>
    <w:rsid w:val="00045BCC"/>
    <w:rsid w:val="00047943"/>
    <w:rsid w:val="000500C0"/>
    <w:rsid w:val="00052AA5"/>
    <w:rsid w:val="00052E61"/>
    <w:rsid w:val="00052FE4"/>
    <w:rsid w:val="00054DB7"/>
    <w:rsid w:val="000601BD"/>
    <w:rsid w:val="00070FA0"/>
    <w:rsid w:val="000745B1"/>
    <w:rsid w:val="00075766"/>
    <w:rsid w:val="00075954"/>
    <w:rsid w:val="00080BD5"/>
    <w:rsid w:val="00083404"/>
    <w:rsid w:val="000836AF"/>
    <w:rsid w:val="00083A47"/>
    <w:rsid w:val="00084721"/>
    <w:rsid w:val="0008570C"/>
    <w:rsid w:val="0008669D"/>
    <w:rsid w:val="00090A52"/>
    <w:rsid w:val="0009222F"/>
    <w:rsid w:val="00092B42"/>
    <w:rsid w:val="00092C9B"/>
    <w:rsid w:val="0009552F"/>
    <w:rsid w:val="000A2F9F"/>
    <w:rsid w:val="000A304E"/>
    <w:rsid w:val="000B0846"/>
    <w:rsid w:val="000C41E5"/>
    <w:rsid w:val="000C5A43"/>
    <w:rsid w:val="000C7451"/>
    <w:rsid w:val="000C769E"/>
    <w:rsid w:val="000C78FD"/>
    <w:rsid w:val="000D11AB"/>
    <w:rsid w:val="000D1423"/>
    <w:rsid w:val="000D244E"/>
    <w:rsid w:val="000D6922"/>
    <w:rsid w:val="000D7300"/>
    <w:rsid w:val="000E430F"/>
    <w:rsid w:val="000F32CF"/>
    <w:rsid w:val="000F4A79"/>
    <w:rsid w:val="000F53CA"/>
    <w:rsid w:val="000F5ACA"/>
    <w:rsid w:val="001005F4"/>
    <w:rsid w:val="00102A73"/>
    <w:rsid w:val="00103120"/>
    <w:rsid w:val="00105E39"/>
    <w:rsid w:val="00107EFF"/>
    <w:rsid w:val="001126B0"/>
    <w:rsid w:val="00114BE0"/>
    <w:rsid w:val="00115603"/>
    <w:rsid w:val="00116BF0"/>
    <w:rsid w:val="0011722B"/>
    <w:rsid w:val="00122F80"/>
    <w:rsid w:val="0012533E"/>
    <w:rsid w:val="00132B97"/>
    <w:rsid w:val="00133B20"/>
    <w:rsid w:val="00134856"/>
    <w:rsid w:val="00135B1F"/>
    <w:rsid w:val="0013707B"/>
    <w:rsid w:val="001373A7"/>
    <w:rsid w:val="00137EC9"/>
    <w:rsid w:val="001411D4"/>
    <w:rsid w:val="00152900"/>
    <w:rsid w:val="00153DA7"/>
    <w:rsid w:val="0015400F"/>
    <w:rsid w:val="001647EA"/>
    <w:rsid w:val="00167261"/>
    <w:rsid w:val="00167A10"/>
    <w:rsid w:val="001725FE"/>
    <w:rsid w:val="001756F0"/>
    <w:rsid w:val="00175934"/>
    <w:rsid w:val="00182C85"/>
    <w:rsid w:val="00182CCD"/>
    <w:rsid w:val="001853C9"/>
    <w:rsid w:val="001932B1"/>
    <w:rsid w:val="0019659C"/>
    <w:rsid w:val="001A4B76"/>
    <w:rsid w:val="001A63D1"/>
    <w:rsid w:val="001A7724"/>
    <w:rsid w:val="001B23A1"/>
    <w:rsid w:val="001B25EE"/>
    <w:rsid w:val="001B66EC"/>
    <w:rsid w:val="001B6D87"/>
    <w:rsid w:val="001C1FA2"/>
    <w:rsid w:val="001C3B59"/>
    <w:rsid w:val="001C5215"/>
    <w:rsid w:val="001C566B"/>
    <w:rsid w:val="001C63C2"/>
    <w:rsid w:val="001C658F"/>
    <w:rsid w:val="001C6E95"/>
    <w:rsid w:val="001D0FB9"/>
    <w:rsid w:val="001D1142"/>
    <w:rsid w:val="001D1802"/>
    <w:rsid w:val="001D20D0"/>
    <w:rsid w:val="001D24D8"/>
    <w:rsid w:val="001D2C08"/>
    <w:rsid w:val="001D3BFB"/>
    <w:rsid w:val="001D5A55"/>
    <w:rsid w:val="001E099D"/>
    <w:rsid w:val="001E1C7D"/>
    <w:rsid w:val="001E2E77"/>
    <w:rsid w:val="001E32B1"/>
    <w:rsid w:val="001E53DD"/>
    <w:rsid w:val="001E6086"/>
    <w:rsid w:val="001E6851"/>
    <w:rsid w:val="001F0AED"/>
    <w:rsid w:val="00200DC9"/>
    <w:rsid w:val="00201659"/>
    <w:rsid w:val="00201883"/>
    <w:rsid w:val="002043CC"/>
    <w:rsid w:val="002045CA"/>
    <w:rsid w:val="002055E3"/>
    <w:rsid w:val="00207B5A"/>
    <w:rsid w:val="002159F7"/>
    <w:rsid w:val="00216A40"/>
    <w:rsid w:val="00216B98"/>
    <w:rsid w:val="00216BA8"/>
    <w:rsid w:val="00217CEF"/>
    <w:rsid w:val="00222C70"/>
    <w:rsid w:val="00226507"/>
    <w:rsid w:val="00226CC5"/>
    <w:rsid w:val="00227A10"/>
    <w:rsid w:val="002301AD"/>
    <w:rsid w:val="00232F90"/>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17FC"/>
    <w:rsid w:val="0026330B"/>
    <w:rsid w:val="00264C8B"/>
    <w:rsid w:val="00265EEE"/>
    <w:rsid w:val="00270814"/>
    <w:rsid w:val="00271E22"/>
    <w:rsid w:val="00271EF6"/>
    <w:rsid w:val="002729FA"/>
    <w:rsid w:val="00280A87"/>
    <w:rsid w:val="0028171B"/>
    <w:rsid w:val="0028588B"/>
    <w:rsid w:val="00285ED3"/>
    <w:rsid w:val="002864A0"/>
    <w:rsid w:val="0029076B"/>
    <w:rsid w:val="002924B9"/>
    <w:rsid w:val="0029366D"/>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67D"/>
    <w:rsid w:val="002C7830"/>
    <w:rsid w:val="002D58FF"/>
    <w:rsid w:val="002D6C96"/>
    <w:rsid w:val="002D6F84"/>
    <w:rsid w:val="002E0A2C"/>
    <w:rsid w:val="002E5B5F"/>
    <w:rsid w:val="002E7E3D"/>
    <w:rsid w:val="002F0E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27A22"/>
    <w:rsid w:val="00333D95"/>
    <w:rsid w:val="0033412F"/>
    <w:rsid w:val="00335348"/>
    <w:rsid w:val="00335E96"/>
    <w:rsid w:val="00351A41"/>
    <w:rsid w:val="00352C5E"/>
    <w:rsid w:val="00354756"/>
    <w:rsid w:val="00356898"/>
    <w:rsid w:val="00362692"/>
    <w:rsid w:val="00364969"/>
    <w:rsid w:val="003677B7"/>
    <w:rsid w:val="00367D0A"/>
    <w:rsid w:val="00372C65"/>
    <w:rsid w:val="00373C64"/>
    <w:rsid w:val="00374B13"/>
    <w:rsid w:val="00381037"/>
    <w:rsid w:val="00385AD8"/>
    <w:rsid w:val="00391820"/>
    <w:rsid w:val="003923C5"/>
    <w:rsid w:val="0039384B"/>
    <w:rsid w:val="0039455D"/>
    <w:rsid w:val="00394A6B"/>
    <w:rsid w:val="003A0643"/>
    <w:rsid w:val="003A0833"/>
    <w:rsid w:val="003A1C95"/>
    <w:rsid w:val="003A3355"/>
    <w:rsid w:val="003A3A53"/>
    <w:rsid w:val="003A55B2"/>
    <w:rsid w:val="003B26D7"/>
    <w:rsid w:val="003C4CCE"/>
    <w:rsid w:val="003C7CB9"/>
    <w:rsid w:val="003D0315"/>
    <w:rsid w:val="003D11FB"/>
    <w:rsid w:val="003D146A"/>
    <w:rsid w:val="003D2A0C"/>
    <w:rsid w:val="003E09DA"/>
    <w:rsid w:val="003E1AC0"/>
    <w:rsid w:val="003E2F87"/>
    <w:rsid w:val="003E4D6D"/>
    <w:rsid w:val="003F01CF"/>
    <w:rsid w:val="003F062F"/>
    <w:rsid w:val="003F2E5D"/>
    <w:rsid w:val="003F3596"/>
    <w:rsid w:val="003F49BC"/>
    <w:rsid w:val="003F6226"/>
    <w:rsid w:val="003F7868"/>
    <w:rsid w:val="00402852"/>
    <w:rsid w:val="004073CB"/>
    <w:rsid w:val="00411989"/>
    <w:rsid w:val="004134FE"/>
    <w:rsid w:val="00414004"/>
    <w:rsid w:val="00415226"/>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2462"/>
    <w:rsid w:val="004549A4"/>
    <w:rsid w:val="0045698E"/>
    <w:rsid w:val="00457FAD"/>
    <w:rsid w:val="00465944"/>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1264"/>
    <w:rsid w:val="004D7F31"/>
    <w:rsid w:val="004E107C"/>
    <w:rsid w:val="004E36C4"/>
    <w:rsid w:val="004E4FEA"/>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3298"/>
    <w:rsid w:val="00524087"/>
    <w:rsid w:val="00524C9C"/>
    <w:rsid w:val="005273B9"/>
    <w:rsid w:val="00530F5C"/>
    <w:rsid w:val="00532D9C"/>
    <w:rsid w:val="0053638E"/>
    <w:rsid w:val="00536B44"/>
    <w:rsid w:val="005428B4"/>
    <w:rsid w:val="005432CD"/>
    <w:rsid w:val="005437E4"/>
    <w:rsid w:val="00544B58"/>
    <w:rsid w:val="00544D22"/>
    <w:rsid w:val="005538AF"/>
    <w:rsid w:val="0055409A"/>
    <w:rsid w:val="005540AC"/>
    <w:rsid w:val="00554D5C"/>
    <w:rsid w:val="00555E1E"/>
    <w:rsid w:val="005560EF"/>
    <w:rsid w:val="00556DE2"/>
    <w:rsid w:val="005616EB"/>
    <w:rsid w:val="00563328"/>
    <w:rsid w:val="005633DC"/>
    <w:rsid w:val="00565214"/>
    <w:rsid w:val="005706EF"/>
    <w:rsid w:val="00571C08"/>
    <w:rsid w:val="00572325"/>
    <w:rsid w:val="00572631"/>
    <w:rsid w:val="0057331F"/>
    <w:rsid w:val="005758C6"/>
    <w:rsid w:val="00577927"/>
    <w:rsid w:val="00580C66"/>
    <w:rsid w:val="0058201D"/>
    <w:rsid w:val="00583BB0"/>
    <w:rsid w:val="00583F43"/>
    <w:rsid w:val="00585155"/>
    <w:rsid w:val="0059022F"/>
    <w:rsid w:val="00590E2B"/>
    <w:rsid w:val="00594540"/>
    <w:rsid w:val="00595A23"/>
    <w:rsid w:val="00595CCA"/>
    <w:rsid w:val="00596748"/>
    <w:rsid w:val="005977C4"/>
    <w:rsid w:val="0059793B"/>
    <w:rsid w:val="005A0746"/>
    <w:rsid w:val="005A198C"/>
    <w:rsid w:val="005A27C7"/>
    <w:rsid w:val="005A2CAC"/>
    <w:rsid w:val="005A2CE3"/>
    <w:rsid w:val="005A5433"/>
    <w:rsid w:val="005A5D6D"/>
    <w:rsid w:val="005B19E7"/>
    <w:rsid w:val="005B4CC8"/>
    <w:rsid w:val="005B5700"/>
    <w:rsid w:val="005B65C1"/>
    <w:rsid w:val="005B66E3"/>
    <w:rsid w:val="005C214B"/>
    <w:rsid w:val="005C6100"/>
    <w:rsid w:val="005C6E7D"/>
    <w:rsid w:val="005D1E07"/>
    <w:rsid w:val="005D7C0C"/>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0853"/>
    <w:rsid w:val="0062105F"/>
    <w:rsid w:val="00621ED5"/>
    <w:rsid w:val="00623DF4"/>
    <w:rsid w:val="00625211"/>
    <w:rsid w:val="006318AB"/>
    <w:rsid w:val="00632958"/>
    <w:rsid w:val="006333AD"/>
    <w:rsid w:val="0063490E"/>
    <w:rsid w:val="00641AE3"/>
    <w:rsid w:val="006424B5"/>
    <w:rsid w:val="00642EAB"/>
    <w:rsid w:val="006438DB"/>
    <w:rsid w:val="00650C19"/>
    <w:rsid w:val="006530A7"/>
    <w:rsid w:val="00653CEF"/>
    <w:rsid w:val="00655B2A"/>
    <w:rsid w:val="00655D1C"/>
    <w:rsid w:val="006562B7"/>
    <w:rsid w:val="00662189"/>
    <w:rsid w:val="00670BB6"/>
    <w:rsid w:val="00671FBA"/>
    <w:rsid w:val="00672AF2"/>
    <w:rsid w:val="00674762"/>
    <w:rsid w:val="00675F48"/>
    <w:rsid w:val="006763F0"/>
    <w:rsid w:val="00677A8B"/>
    <w:rsid w:val="00683190"/>
    <w:rsid w:val="00686086"/>
    <w:rsid w:val="006872B7"/>
    <w:rsid w:val="006914C2"/>
    <w:rsid w:val="00695DF7"/>
    <w:rsid w:val="006960B9"/>
    <w:rsid w:val="006A1B6C"/>
    <w:rsid w:val="006A3657"/>
    <w:rsid w:val="006A7125"/>
    <w:rsid w:val="006B13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4211"/>
    <w:rsid w:val="006E535F"/>
    <w:rsid w:val="006E6D75"/>
    <w:rsid w:val="006F486D"/>
    <w:rsid w:val="006F5830"/>
    <w:rsid w:val="006F6CC6"/>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37D17"/>
    <w:rsid w:val="00741F52"/>
    <w:rsid w:val="00743E83"/>
    <w:rsid w:val="00745210"/>
    <w:rsid w:val="00745A30"/>
    <w:rsid w:val="00746579"/>
    <w:rsid w:val="0075278C"/>
    <w:rsid w:val="007538A1"/>
    <w:rsid w:val="007541B4"/>
    <w:rsid w:val="00755783"/>
    <w:rsid w:val="0076227D"/>
    <w:rsid w:val="007628C3"/>
    <w:rsid w:val="00762CF5"/>
    <w:rsid w:val="00765BA2"/>
    <w:rsid w:val="007750CA"/>
    <w:rsid w:val="007767C5"/>
    <w:rsid w:val="00776DFE"/>
    <w:rsid w:val="007778C6"/>
    <w:rsid w:val="0078123F"/>
    <w:rsid w:val="00782591"/>
    <w:rsid w:val="00785B84"/>
    <w:rsid w:val="007872EC"/>
    <w:rsid w:val="00790621"/>
    <w:rsid w:val="007907D0"/>
    <w:rsid w:val="007919DC"/>
    <w:rsid w:val="00791FC5"/>
    <w:rsid w:val="00795E24"/>
    <w:rsid w:val="00796073"/>
    <w:rsid w:val="00796C50"/>
    <w:rsid w:val="007A15F3"/>
    <w:rsid w:val="007A1EF5"/>
    <w:rsid w:val="007A44D1"/>
    <w:rsid w:val="007A5369"/>
    <w:rsid w:val="007B6F7D"/>
    <w:rsid w:val="007C174D"/>
    <w:rsid w:val="007C2FF9"/>
    <w:rsid w:val="007C613A"/>
    <w:rsid w:val="007D0183"/>
    <w:rsid w:val="007D5754"/>
    <w:rsid w:val="007D5A8F"/>
    <w:rsid w:val="007D5EE3"/>
    <w:rsid w:val="007D7AC9"/>
    <w:rsid w:val="007E06DD"/>
    <w:rsid w:val="007E30EE"/>
    <w:rsid w:val="007E3DF1"/>
    <w:rsid w:val="007E4160"/>
    <w:rsid w:val="007F049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1257"/>
    <w:rsid w:val="00834B5F"/>
    <w:rsid w:val="008368B9"/>
    <w:rsid w:val="00843602"/>
    <w:rsid w:val="008447A9"/>
    <w:rsid w:val="00847649"/>
    <w:rsid w:val="00850A4F"/>
    <w:rsid w:val="008510D3"/>
    <w:rsid w:val="008521D7"/>
    <w:rsid w:val="00864F1A"/>
    <w:rsid w:val="00870109"/>
    <w:rsid w:val="008713D8"/>
    <w:rsid w:val="00871657"/>
    <w:rsid w:val="00874B92"/>
    <w:rsid w:val="008809F9"/>
    <w:rsid w:val="0088373B"/>
    <w:rsid w:val="008838AE"/>
    <w:rsid w:val="00884C4D"/>
    <w:rsid w:val="00886A26"/>
    <w:rsid w:val="00891903"/>
    <w:rsid w:val="008A064F"/>
    <w:rsid w:val="008A3DF3"/>
    <w:rsid w:val="008B1693"/>
    <w:rsid w:val="008B29CC"/>
    <w:rsid w:val="008B355A"/>
    <w:rsid w:val="008B3904"/>
    <w:rsid w:val="008B6211"/>
    <w:rsid w:val="008B6DE1"/>
    <w:rsid w:val="008C545E"/>
    <w:rsid w:val="008C71C2"/>
    <w:rsid w:val="008C7511"/>
    <w:rsid w:val="008C76B7"/>
    <w:rsid w:val="008D282A"/>
    <w:rsid w:val="008D3891"/>
    <w:rsid w:val="008D5095"/>
    <w:rsid w:val="008D6C13"/>
    <w:rsid w:val="008E2222"/>
    <w:rsid w:val="008E757D"/>
    <w:rsid w:val="008F107D"/>
    <w:rsid w:val="008F2097"/>
    <w:rsid w:val="008F2267"/>
    <w:rsid w:val="008F42FA"/>
    <w:rsid w:val="008F59E2"/>
    <w:rsid w:val="008F78D4"/>
    <w:rsid w:val="00900F05"/>
    <w:rsid w:val="00901C8E"/>
    <w:rsid w:val="00904143"/>
    <w:rsid w:val="0090488F"/>
    <w:rsid w:val="00905E4F"/>
    <w:rsid w:val="00907638"/>
    <w:rsid w:val="009120A1"/>
    <w:rsid w:val="00913047"/>
    <w:rsid w:val="009138D7"/>
    <w:rsid w:val="00915C0A"/>
    <w:rsid w:val="00917753"/>
    <w:rsid w:val="0092116B"/>
    <w:rsid w:val="009228EF"/>
    <w:rsid w:val="009258D1"/>
    <w:rsid w:val="009302C7"/>
    <w:rsid w:val="009303F3"/>
    <w:rsid w:val="00932550"/>
    <w:rsid w:val="00934549"/>
    <w:rsid w:val="00935B2F"/>
    <w:rsid w:val="00935BA7"/>
    <w:rsid w:val="009401C7"/>
    <w:rsid w:val="009412C1"/>
    <w:rsid w:val="00942334"/>
    <w:rsid w:val="0094408C"/>
    <w:rsid w:val="0094692A"/>
    <w:rsid w:val="00947D2D"/>
    <w:rsid w:val="00951057"/>
    <w:rsid w:val="00951F3E"/>
    <w:rsid w:val="00952550"/>
    <w:rsid w:val="00952949"/>
    <w:rsid w:val="009649C7"/>
    <w:rsid w:val="0096594A"/>
    <w:rsid w:val="00967AD6"/>
    <w:rsid w:val="00970E75"/>
    <w:rsid w:val="009713BB"/>
    <w:rsid w:val="00973E6A"/>
    <w:rsid w:val="00974A31"/>
    <w:rsid w:val="009773B9"/>
    <w:rsid w:val="009811C4"/>
    <w:rsid w:val="00985677"/>
    <w:rsid w:val="0098580E"/>
    <w:rsid w:val="00985C87"/>
    <w:rsid w:val="00986BBE"/>
    <w:rsid w:val="0099143A"/>
    <w:rsid w:val="00996324"/>
    <w:rsid w:val="009A08ED"/>
    <w:rsid w:val="009A1551"/>
    <w:rsid w:val="009A5E46"/>
    <w:rsid w:val="009B17A2"/>
    <w:rsid w:val="009B1A2A"/>
    <w:rsid w:val="009B379D"/>
    <w:rsid w:val="009B5FC5"/>
    <w:rsid w:val="009B76B8"/>
    <w:rsid w:val="009B783F"/>
    <w:rsid w:val="009C2E28"/>
    <w:rsid w:val="009C6116"/>
    <w:rsid w:val="009C67A2"/>
    <w:rsid w:val="009D1239"/>
    <w:rsid w:val="009D7227"/>
    <w:rsid w:val="009D764A"/>
    <w:rsid w:val="009E2E81"/>
    <w:rsid w:val="009E3AE1"/>
    <w:rsid w:val="009E4782"/>
    <w:rsid w:val="009E6836"/>
    <w:rsid w:val="009F00D5"/>
    <w:rsid w:val="009F4F10"/>
    <w:rsid w:val="009F6B53"/>
    <w:rsid w:val="00A01394"/>
    <w:rsid w:val="00A02DFC"/>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80D"/>
    <w:rsid w:val="00A55A3D"/>
    <w:rsid w:val="00A56E66"/>
    <w:rsid w:val="00A60B90"/>
    <w:rsid w:val="00A60F0D"/>
    <w:rsid w:val="00A6462B"/>
    <w:rsid w:val="00A6719E"/>
    <w:rsid w:val="00A70087"/>
    <w:rsid w:val="00A72E27"/>
    <w:rsid w:val="00A72ECE"/>
    <w:rsid w:val="00A770F1"/>
    <w:rsid w:val="00A8519B"/>
    <w:rsid w:val="00A85E21"/>
    <w:rsid w:val="00A85FFF"/>
    <w:rsid w:val="00A9135A"/>
    <w:rsid w:val="00A92096"/>
    <w:rsid w:val="00AA20E6"/>
    <w:rsid w:val="00AA4BFA"/>
    <w:rsid w:val="00AA4D96"/>
    <w:rsid w:val="00AA723C"/>
    <w:rsid w:val="00AB07C3"/>
    <w:rsid w:val="00AB23FF"/>
    <w:rsid w:val="00AB486C"/>
    <w:rsid w:val="00AB4A8E"/>
    <w:rsid w:val="00AB7582"/>
    <w:rsid w:val="00AC0021"/>
    <w:rsid w:val="00AC16ED"/>
    <w:rsid w:val="00AD646C"/>
    <w:rsid w:val="00AE05E2"/>
    <w:rsid w:val="00AE0C6D"/>
    <w:rsid w:val="00AE2569"/>
    <w:rsid w:val="00AE3ADA"/>
    <w:rsid w:val="00AE442C"/>
    <w:rsid w:val="00AE541D"/>
    <w:rsid w:val="00AE58F4"/>
    <w:rsid w:val="00AE6012"/>
    <w:rsid w:val="00AE6B42"/>
    <w:rsid w:val="00AF6D19"/>
    <w:rsid w:val="00B01BDB"/>
    <w:rsid w:val="00B02177"/>
    <w:rsid w:val="00B03245"/>
    <w:rsid w:val="00B0344E"/>
    <w:rsid w:val="00B10BC8"/>
    <w:rsid w:val="00B118B4"/>
    <w:rsid w:val="00B11993"/>
    <w:rsid w:val="00B119E4"/>
    <w:rsid w:val="00B138DE"/>
    <w:rsid w:val="00B1627F"/>
    <w:rsid w:val="00B22767"/>
    <w:rsid w:val="00B26880"/>
    <w:rsid w:val="00B31BD3"/>
    <w:rsid w:val="00B327EC"/>
    <w:rsid w:val="00B33766"/>
    <w:rsid w:val="00B33FB8"/>
    <w:rsid w:val="00B342F3"/>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08B6"/>
    <w:rsid w:val="00B7595B"/>
    <w:rsid w:val="00B761AC"/>
    <w:rsid w:val="00B764E3"/>
    <w:rsid w:val="00B80E94"/>
    <w:rsid w:val="00B82192"/>
    <w:rsid w:val="00B86084"/>
    <w:rsid w:val="00B902D1"/>
    <w:rsid w:val="00B91022"/>
    <w:rsid w:val="00B943AE"/>
    <w:rsid w:val="00B960B8"/>
    <w:rsid w:val="00BA0A29"/>
    <w:rsid w:val="00BA10A4"/>
    <w:rsid w:val="00BA4139"/>
    <w:rsid w:val="00BA49B5"/>
    <w:rsid w:val="00BB052E"/>
    <w:rsid w:val="00BB3E82"/>
    <w:rsid w:val="00BB42D0"/>
    <w:rsid w:val="00BC3407"/>
    <w:rsid w:val="00BC6763"/>
    <w:rsid w:val="00BC7D63"/>
    <w:rsid w:val="00BD37A7"/>
    <w:rsid w:val="00BD3961"/>
    <w:rsid w:val="00BD42ED"/>
    <w:rsid w:val="00BD54D6"/>
    <w:rsid w:val="00BE19F8"/>
    <w:rsid w:val="00BE490E"/>
    <w:rsid w:val="00BE68A7"/>
    <w:rsid w:val="00BE68B9"/>
    <w:rsid w:val="00BE73FB"/>
    <w:rsid w:val="00BF0006"/>
    <w:rsid w:val="00BF176B"/>
    <w:rsid w:val="00C01958"/>
    <w:rsid w:val="00C01C5B"/>
    <w:rsid w:val="00C034E7"/>
    <w:rsid w:val="00C04BA7"/>
    <w:rsid w:val="00C06830"/>
    <w:rsid w:val="00C16A93"/>
    <w:rsid w:val="00C16B06"/>
    <w:rsid w:val="00C17384"/>
    <w:rsid w:val="00C21384"/>
    <w:rsid w:val="00C21553"/>
    <w:rsid w:val="00C22B1F"/>
    <w:rsid w:val="00C304E3"/>
    <w:rsid w:val="00C329FC"/>
    <w:rsid w:val="00C32A12"/>
    <w:rsid w:val="00C357E9"/>
    <w:rsid w:val="00C3660C"/>
    <w:rsid w:val="00C37DB8"/>
    <w:rsid w:val="00C40D87"/>
    <w:rsid w:val="00C411EB"/>
    <w:rsid w:val="00C434F7"/>
    <w:rsid w:val="00C4372C"/>
    <w:rsid w:val="00C449F9"/>
    <w:rsid w:val="00C472ED"/>
    <w:rsid w:val="00C47A25"/>
    <w:rsid w:val="00C47F1A"/>
    <w:rsid w:val="00C60316"/>
    <w:rsid w:val="00C61E4D"/>
    <w:rsid w:val="00C624D8"/>
    <w:rsid w:val="00C67AA3"/>
    <w:rsid w:val="00C739C2"/>
    <w:rsid w:val="00C73D53"/>
    <w:rsid w:val="00C82938"/>
    <w:rsid w:val="00C836AC"/>
    <w:rsid w:val="00C839F8"/>
    <w:rsid w:val="00C84808"/>
    <w:rsid w:val="00C85692"/>
    <w:rsid w:val="00C86B84"/>
    <w:rsid w:val="00C87A83"/>
    <w:rsid w:val="00C93846"/>
    <w:rsid w:val="00C94786"/>
    <w:rsid w:val="00C95D3C"/>
    <w:rsid w:val="00C9679F"/>
    <w:rsid w:val="00CA01B5"/>
    <w:rsid w:val="00CA03D8"/>
    <w:rsid w:val="00CA0A2F"/>
    <w:rsid w:val="00CA3F1D"/>
    <w:rsid w:val="00CA465F"/>
    <w:rsid w:val="00CA59AB"/>
    <w:rsid w:val="00CA60E9"/>
    <w:rsid w:val="00CB0DD5"/>
    <w:rsid w:val="00CB152D"/>
    <w:rsid w:val="00CB5DBE"/>
    <w:rsid w:val="00CC185C"/>
    <w:rsid w:val="00CC5D70"/>
    <w:rsid w:val="00CC6978"/>
    <w:rsid w:val="00CC73E3"/>
    <w:rsid w:val="00CC7776"/>
    <w:rsid w:val="00CD1DF4"/>
    <w:rsid w:val="00CD1F69"/>
    <w:rsid w:val="00CE1837"/>
    <w:rsid w:val="00CE2032"/>
    <w:rsid w:val="00CE22BE"/>
    <w:rsid w:val="00CF213E"/>
    <w:rsid w:val="00CF39A8"/>
    <w:rsid w:val="00CF5A32"/>
    <w:rsid w:val="00D006D0"/>
    <w:rsid w:val="00D01C85"/>
    <w:rsid w:val="00D028A1"/>
    <w:rsid w:val="00D02AEE"/>
    <w:rsid w:val="00D037C0"/>
    <w:rsid w:val="00D104B8"/>
    <w:rsid w:val="00D13422"/>
    <w:rsid w:val="00D156B2"/>
    <w:rsid w:val="00D15AAF"/>
    <w:rsid w:val="00D235E7"/>
    <w:rsid w:val="00D31BCC"/>
    <w:rsid w:val="00D32A5B"/>
    <w:rsid w:val="00D3424F"/>
    <w:rsid w:val="00D377E3"/>
    <w:rsid w:val="00D37A1A"/>
    <w:rsid w:val="00D42F0C"/>
    <w:rsid w:val="00D4474C"/>
    <w:rsid w:val="00D51B4D"/>
    <w:rsid w:val="00D539F6"/>
    <w:rsid w:val="00D55930"/>
    <w:rsid w:val="00D57790"/>
    <w:rsid w:val="00D6043A"/>
    <w:rsid w:val="00D632A9"/>
    <w:rsid w:val="00D64C88"/>
    <w:rsid w:val="00D65188"/>
    <w:rsid w:val="00D72221"/>
    <w:rsid w:val="00D732D7"/>
    <w:rsid w:val="00D744B2"/>
    <w:rsid w:val="00D761F7"/>
    <w:rsid w:val="00D77303"/>
    <w:rsid w:val="00D85128"/>
    <w:rsid w:val="00D936E6"/>
    <w:rsid w:val="00DA106F"/>
    <w:rsid w:val="00DA21C9"/>
    <w:rsid w:val="00DA21D8"/>
    <w:rsid w:val="00DA3E32"/>
    <w:rsid w:val="00DA679F"/>
    <w:rsid w:val="00DA7B9D"/>
    <w:rsid w:val="00DB08D3"/>
    <w:rsid w:val="00DB1909"/>
    <w:rsid w:val="00DB24BD"/>
    <w:rsid w:val="00DB4C0D"/>
    <w:rsid w:val="00DB6427"/>
    <w:rsid w:val="00DB6DCB"/>
    <w:rsid w:val="00DC33F2"/>
    <w:rsid w:val="00DD051D"/>
    <w:rsid w:val="00DD40E4"/>
    <w:rsid w:val="00DE13A8"/>
    <w:rsid w:val="00DE1495"/>
    <w:rsid w:val="00DE18E4"/>
    <w:rsid w:val="00DE2D4F"/>
    <w:rsid w:val="00DE3F21"/>
    <w:rsid w:val="00DE405F"/>
    <w:rsid w:val="00DE7B5C"/>
    <w:rsid w:val="00DF0EE7"/>
    <w:rsid w:val="00DF1E46"/>
    <w:rsid w:val="00DF2335"/>
    <w:rsid w:val="00DF3892"/>
    <w:rsid w:val="00DF5BDE"/>
    <w:rsid w:val="00DF6B70"/>
    <w:rsid w:val="00E06C0D"/>
    <w:rsid w:val="00E06DF0"/>
    <w:rsid w:val="00E112C8"/>
    <w:rsid w:val="00E114D6"/>
    <w:rsid w:val="00E160B6"/>
    <w:rsid w:val="00E17C31"/>
    <w:rsid w:val="00E22AC6"/>
    <w:rsid w:val="00E235F6"/>
    <w:rsid w:val="00E23D93"/>
    <w:rsid w:val="00E3132A"/>
    <w:rsid w:val="00E332F6"/>
    <w:rsid w:val="00E3499B"/>
    <w:rsid w:val="00E37932"/>
    <w:rsid w:val="00E413A5"/>
    <w:rsid w:val="00E42A49"/>
    <w:rsid w:val="00E456CA"/>
    <w:rsid w:val="00E460C2"/>
    <w:rsid w:val="00E46E7D"/>
    <w:rsid w:val="00E5026B"/>
    <w:rsid w:val="00E51231"/>
    <w:rsid w:val="00E53985"/>
    <w:rsid w:val="00E55024"/>
    <w:rsid w:val="00E57310"/>
    <w:rsid w:val="00E61358"/>
    <w:rsid w:val="00E6193B"/>
    <w:rsid w:val="00E61C13"/>
    <w:rsid w:val="00E721D8"/>
    <w:rsid w:val="00E7551A"/>
    <w:rsid w:val="00E758D6"/>
    <w:rsid w:val="00E75B8C"/>
    <w:rsid w:val="00E769AD"/>
    <w:rsid w:val="00E76D16"/>
    <w:rsid w:val="00E81A57"/>
    <w:rsid w:val="00E81A79"/>
    <w:rsid w:val="00E83B72"/>
    <w:rsid w:val="00E84559"/>
    <w:rsid w:val="00E85544"/>
    <w:rsid w:val="00E86F2B"/>
    <w:rsid w:val="00E90730"/>
    <w:rsid w:val="00E91E59"/>
    <w:rsid w:val="00E95EFA"/>
    <w:rsid w:val="00E97D65"/>
    <w:rsid w:val="00EA32C6"/>
    <w:rsid w:val="00EA3399"/>
    <w:rsid w:val="00EA52E8"/>
    <w:rsid w:val="00EB0BB3"/>
    <w:rsid w:val="00EB2E42"/>
    <w:rsid w:val="00EB3612"/>
    <w:rsid w:val="00EB4C9B"/>
    <w:rsid w:val="00EC0761"/>
    <w:rsid w:val="00EC29F8"/>
    <w:rsid w:val="00EC5597"/>
    <w:rsid w:val="00EC5ECE"/>
    <w:rsid w:val="00EC6CA4"/>
    <w:rsid w:val="00EC724C"/>
    <w:rsid w:val="00ED0B16"/>
    <w:rsid w:val="00ED148E"/>
    <w:rsid w:val="00ED192E"/>
    <w:rsid w:val="00EE0B95"/>
    <w:rsid w:val="00EE4F92"/>
    <w:rsid w:val="00EE7D26"/>
    <w:rsid w:val="00EF20E5"/>
    <w:rsid w:val="00EF57CE"/>
    <w:rsid w:val="00EF5CD3"/>
    <w:rsid w:val="00F004C8"/>
    <w:rsid w:val="00F03836"/>
    <w:rsid w:val="00F04B65"/>
    <w:rsid w:val="00F060D1"/>
    <w:rsid w:val="00F06F8B"/>
    <w:rsid w:val="00F12A8E"/>
    <w:rsid w:val="00F15E9D"/>
    <w:rsid w:val="00F21102"/>
    <w:rsid w:val="00F21ACC"/>
    <w:rsid w:val="00F24916"/>
    <w:rsid w:val="00F25A40"/>
    <w:rsid w:val="00F31037"/>
    <w:rsid w:val="00F31748"/>
    <w:rsid w:val="00F338E0"/>
    <w:rsid w:val="00F36866"/>
    <w:rsid w:val="00F36924"/>
    <w:rsid w:val="00F40479"/>
    <w:rsid w:val="00F405AA"/>
    <w:rsid w:val="00F43FC7"/>
    <w:rsid w:val="00F50DD9"/>
    <w:rsid w:val="00F52338"/>
    <w:rsid w:val="00F53F99"/>
    <w:rsid w:val="00F561C6"/>
    <w:rsid w:val="00F5660A"/>
    <w:rsid w:val="00F62636"/>
    <w:rsid w:val="00F6361D"/>
    <w:rsid w:val="00F63A6B"/>
    <w:rsid w:val="00F646F5"/>
    <w:rsid w:val="00F64D36"/>
    <w:rsid w:val="00F66DD0"/>
    <w:rsid w:val="00F70DE0"/>
    <w:rsid w:val="00F716ED"/>
    <w:rsid w:val="00F732A7"/>
    <w:rsid w:val="00F752DB"/>
    <w:rsid w:val="00F7562F"/>
    <w:rsid w:val="00F8027F"/>
    <w:rsid w:val="00F80B5C"/>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15E5"/>
    <w:rsid w:val="00FD2B69"/>
    <w:rsid w:val="00FD3175"/>
    <w:rsid w:val="00FD3DDD"/>
    <w:rsid w:val="00FD427F"/>
    <w:rsid w:val="00FD42EE"/>
    <w:rsid w:val="00FD43C4"/>
    <w:rsid w:val="00FD4425"/>
    <w:rsid w:val="00FE2F5E"/>
    <w:rsid w:val="00FE3408"/>
    <w:rsid w:val="00FE7B0B"/>
    <w:rsid w:val="00FF2B1D"/>
    <w:rsid w:val="00FF4B6B"/>
    <w:rsid w:val="00FF5151"/>
    <w:rsid w:val="00FF5D1A"/>
    <w:rsid w:val="00FF6D10"/>
    <w:rsid w:val="00FF72EA"/>
    <w:rsid w:val="00FF72EB"/>
    <w:rsid w:val="00FF79DB"/>
    <w:rsid w:val="00FF7F5E"/>
    <w:rsid w:val="010178DB"/>
    <w:rsid w:val="01322EFC"/>
    <w:rsid w:val="014053BC"/>
    <w:rsid w:val="01607DF5"/>
    <w:rsid w:val="01767EF3"/>
    <w:rsid w:val="01D30AF5"/>
    <w:rsid w:val="01DC24B9"/>
    <w:rsid w:val="01DE5185"/>
    <w:rsid w:val="0213568A"/>
    <w:rsid w:val="028145C6"/>
    <w:rsid w:val="046E6DDE"/>
    <w:rsid w:val="04B55E07"/>
    <w:rsid w:val="04D7648A"/>
    <w:rsid w:val="04FA14E6"/>
    <w:rsid w:val="0531362C"/>
    <w:rsid w:val="0535213D"/>
    <w:rsid w:val="054D6974"/>
    <w:rsid w:val="057207F6"/>
    <w:rsid w:val="05FC6B91"/>
    <w:rsid w:val="0733135D"/>
    <w:rsid w:val="07732DB2"/>
    <w:rsid w:val="07B8320C"/>
    <w:rsid w:val="07CF0ACE"/>
    <w:rsid w:val="08306067"/>
    <w:rsid w:val="085D7C48"/>
    <w:rsid w:val="09285CF7"/>
    <w:rsid w:val="09687692"/>
    <w:rsid w:val="0A031FF0"/>
    <w:rsid w:val="0A754F9B"/>
    <w:rsid w:val="0A8A5D39"/>
    <w:rsid w:val="0AA13162"/>
    <w:rsid w:val="0AB6258A"/>
    <w:rsid w:val="0B452B9B"/>
    <w:rsid w:val="0B5770DF"/>
    <w:rsid w:val="0C372CCD"/>
    <w:rsid w:val="0C5603A3"/>
    <w:rsid w:val="0C5C2346"/>
    <w:rsid w:val="0C5E5BB8"/>
    <w:rsid w:val="0C94782E"/>
    <w:rsid w:val="0E215C17"/>
    <w:rsid w:val="0FC46FEB"/>
    <w:rsid w:val="0FDB5BF8"/>
    <w:rsid w:val="0FF0756D"/>
    <w:rsid w:val="10BB60F9"/>
    <w:rsid w:val="10CB03AE"/>
    <w:rsid w:val="10F944AF"/>
    <w:rsid w:val="110A33B6"/>
    <w:rsid w:val="11EC5E17"/>
    <w:rsid w:val="121432F4"/>
    <w:rsid w:val="12CE6AE7"/>
    <w:rsid w:val="13545A8B"/>
    <w:rsid w:val="1360023A"/>
    <w:rsid w:val="13840F17"/>
    <w:rsid w:val="13992498"/>
    <w:rsid w:val="13D01302"/>
    <w:rsid w:val="140F5863"/>
    <w:rsid w:val="14F05DE7"/>
    <w:rsid w:val="15D233F0"/>
    <w:rsid w:val="16320B1F"/>
    <w:rsid w:val="163D0515"/>
    <w:rsid w:val="169C6A39"/>
    <w:rsid w:val="16D00C09"/>
    <w:rsid w:val="172939D1"/>
    <w:rsid w:val="17596B0C"/>
    <w:rsid w:val="17AC41D5"/>
    <w:rsid w:val="18A962E7"/>
    <w:rsid w:val="18B20DA1"/>
    <w:rsid w:val="197C450A"/>
    <w:rsid w:val="19931B20"/>
    <w:rsid w:val="1A154751"/>
    <w:rsid w:val="1A580152"/>
    <w:rsid w:val="1A9234A5"/>
    <w:rsid w:val="1B733CDF"/>
    <w:rsid w:val="1BDC6183"/>
    <w:rsid w:val="1C0C72BC"/>
    <w:rsid w:val="1C213878"/>
    <w:rsid w:val="1C6311B2"/>
    <w:rsid w:val="1CBE541D"/>
    <w:rsid w:val="1CDB04F6"/>
    <w:rsid w:val="1D1D0E35"/>
    <w:rsid w:val="1D250BA1"/>
    <w:rsid w:val="1DD93DB9"/>
    <w:rsid w:val="1EFF09E6"/>
    <w:rsid w:val="1F6F5A73"/>
    <w:rsid w:val="1FA13095"/>
    <w:rsid w:val="1FE040BC"/>
    <w:rsid w:val="20152CE5"/>
    <w:rsid w:val="204801C9"/>
    <w:rsid w:val="20F304B0"/>
    <w:rsid w:val="21916F90"/>
    <w:rsid w:val="222B5D75"/>
    <w:rsid w:val="22314524"/>
    <w:rsid w:val="228C71CA"/>
    <w:rsid w:val="22DE11E6"/>
    <w:rsid w:val="249C6AFD"/>
    <w:rsid w:val="25D450BA"/>
    <w:rsid w:val="25D56523"/>
    <w:rsid w:val="26094D1A"/>
    <w:rsid w:val="26E116DC"/>
    <w:rsid w:val="277B4CFD"/>
    <w:rsid w:val="27DF0B6F"/>
    <w:rsid w:val="285B6A8D"/>
    <w:rsid w:val="28752B19"/>
    <w:rsid w:val="2876124D"/>
    <w:rsid w:val="28AA01F1"/>
    <w:rsid w:val="28D331FC"/>
    <w:rsid w:val="2A377783"/>
    <w:rsid w:val="2A6266E9"/>
    <w:rsid w:val="2A6C54A9"/>
    <w:rsid w:val="2B870602"/>
    <w:rsid w:val="2D10523A"/>
    <w:rsid w:val="2D21664A"/>
    <w:rsid w:val="2F34651F"/>
    <w:rsid w:val="2F425E94"/>
    <w:rsid w:val="2FB81F38"/>
    <w:rsid w:val="2FDC6C9E"/>
    <w:rsid w:val="2FFE2912"/>
    <w:rsid w:val="30BC2EBC"/>
    <w:rsid w:val="31356772"/>
    <w:rsid w:val="31FF72AF"/>
    <w:rsid w:val="32151F90"/>
    <w:rsid w:val="32781A64"/>
    <w:rsid w:val="32782FFB"/>
    <w:rsid w:val="32B86F81"/>
    <w:rsid w:val="33CC15C4"/>
    <w:rsid w:val="33FA3136"/>
    <w:rsid w:val="353577A9"/>
    <w:rsid w:val="357B0EFD"/>
    <w:rsid w:val="35CA2DB9"/>
    <w:rsid w:val="35F41D4F"/>
    <w:rsid w:val="361E7E3B"/>
    <w:rsid w:val="3621266D"/>
    <w:rsid w:val="36853990"/>
    <w:rsid w:val="36974B68"/>
    <w:rsid w:val="375C2773"/>
    <w:rsid w:val="3781684D"/>
    <w:rsid w:val="383A3BBF"/>
    <w:rsid w:val="384C47A3"/>
    <w:rsid w:val="39031BEB"/>
    <w:rsid w:val="39072F88"/>
    <w:rsid w:val="394D7D0F"/>
    <w:rsid w:val="399E4DCC"/>
    <w:rsid w:val="39F50C16"/>
    <w:rsid w:val="3B5330E7"/>
    <w:rsid w:val="3BD85452"/>
    <w:rsid w:val="3BF6596E"/>
    <w:rsid w:val="3C125C3B"/>
    <w:rsid w:val="3C602D03"/>
    <w:rsid w:val="3CC86BE5"/>
    <w:rsid w:val="3D132062"/>
    <w:rsid w:val="3D83213E"/>
    <w:rsid w:val="3DDB4F84"/>
    <w:rsid w:val="3FBF6038"/>
    <w:rsid w:val="3FFD6511"/>
    <w:rsid w:val="40A83A07"/>
    <w:rsid w:val="416F41D1"/>
    <w:rsid w:val="41BA0644"/>
    <w:rsid w:val="41F05DAA"/>
    <w:rsid w:val="428A76BF"/>
    <w:rsid w:val="42E762E1"/>
    <w:rsid w:val="4388454E"/>
    <w:rsid w:val="438A277C"/>
    <w:rsid w:val="44F20D8A"/>
    <w:rsid w:val="45C85E8B"/>
    <w:rsid w:val="45F224BA"/>
    <w:rsid w:val="468415D5"/>
    <w:rsid w:val="46FD5BE1"/>
    <w:rsid w:val="478E1DDE"/>
    <w:rsid w:val="47E56E6A"/>
    <w:rsid w:val="481923FF"/>
    <w:rsid w:val="4899347A"/>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9C7C1B"/>
    <w:rsid w:val="50331FAE"/>
    <w:rsid w:val="506247ED"/>
    <w:rsid w:val="5128622E"/>
    <w:rsid w:val="51541FB9"/>
    <w:rsid w:val="51653541"/>
    <w:rsid w:val="51B05033"/>
    <w:rsid w:val="51BA3918"/>
    <w:rsid w:val="528C2691"/>
    <w:rsid w:val="52FB6FDA"/>
    <w:rsid w:val="535459AE"/>
    <w:rsid w:val="53B23A34"/>
    <w:rsid w:val="543F48D0"/>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54D48"/>
    <w:rsid w:val="5BFD4EC8"/>
    <w:rsid w:val="5C55335F"/>
    <w:rsid w:val="5C914C90"/>
    <w:rsid w:val="5CDD77D2"/>
    <w:rsid w:val="5D514298"/>
    <w:rsid w:val="5E847FBB"/>
    <w:rsid w:val="5E954ECC"/>
    <w:rsid w:val="5F2430A4"/>
    <w:rsid w:val="5F702B80"/>
    <w:rsid w:val="5F762EF1"/>
    <w:rsid w:val="5F92759B"/>
    <w:rsid w:val="5FC6029B"/>
    <w:rsid w:val="60003EDC"/>
    <w:rsid w:val="60405D44"/>
    <w:rsid w:val="604959AE"/>
    <w:rsid w:val="612975B6"/>
    <w:rsid w:val="613269C6"/>
    <w:rsid w:val="61371FA3"/>
    <w:rsid w:val="61C15C3A"/>
    <w:rsid w:val="62F62693"/>
    <w:rsid w:val="630D6DD2"/>
    <w:rsid w:val="632640B2"/>
    <w:rsid w:val="639A75F8"/>
    <w:rsid w:val="64893CF5"/>
    <w:rsid w:val="65BB756F"/>
    <w:rsid w:val="66027D44"/>
    <w:rsid w:val="66420C8D"/>
    <w:rsid w:val="67434ACE"/>
    <w:rsid w:val="675160F0"/>
    <w:rsid w:val="6763746E"/>
    <w:rsid w:val="67873AE3"/>
    <w:rsid w:val="679E29E3"/>
    <w:rsid w:val="67C46DBD"/>
    <w:rsid w:val="68043A23"/>
    <w:rsid w:val="68124293"/>
    <w:rsid w:val="68A37534"/>
    <w:rsid w:val="69006315"/>
    <w:rsid w:val="6A7800D0"/>
    <w:rsid w:val="6B740773"/>
    <w:rsid w:val="6BA96793"/>
    <w:rsid w:val="6BE47E9D"/>
    <w:rsid w:val="6BEEB14C"/>
    <w:rsid w:val="6C2D715B"/>
    <w:rsid w:val="6C587158"/>
    <w:rsid w:val="6CCC2F03"/>
    <w:rsid w:val="6D446D4F"/>
    <w:rsid w:val="6D7C1A08"/>
    <w:rsid w:val="6D7E3DB9"/>
    <w:rsid w:val="6EBC525F"/>
    <w:rsid w:val="6EED19D9"/>
    <w:rsid w:val="6EEE2197"/>
    <w:rsid w:val="6EEF7E4F"/>
    <w:rsid w:val="6F2D12A0"/>
    <w:rsid w:val="70F03E4F"/>
    <w:rsid w:val="712D573D"/>
    <w:rsid w:val="723D0FE7"/>
    <w:rsid w:val="72BB566D"/>
    <w:rsid w:val="72FE0135"/>
    <w:rsid w:val="73021E25"/>
    <w:rsid w:val="733B0CC7"/>
    <w:rsid w:val="73BE0193"/>
    <w:rsid w:val="75017925"/>
    <w:rsid w:val="75BF5C57"/>
    <w:rsid w:val="76287E23"/>
    <w:rsid w:val="76437394"/>
    <w:rsid w:val="765411FB"/>
    <w:rsid w:val="768C6E51"/>
    <w:rsid w:val="776530D4"/>
    <w:rsid w:val="79A732D1"/>
    <w:rsid w:val="79AF7659"/>
    <w:rsid w:val="79BA4A36"/>
    <w:rsid w:val="79F6478D"/>
    <w:rsid w:val="7AD6416D"/>
    <w:rsid w:val="7B616DAE"/>
    <w:rsid w:val="7BCD7517"/>
    <w:rsid w:val="7BFA4470"/>
    <w:rsid w:val="7C0039D3"/>
    <w:rsid w:val="7C2260C7"/>
    <w:rsid w:val="7C433515"/>
    <w:rsid w:val="7C6C6D2C"/>
    <w:rsid w:val="7C7163B3"/>
    <w:rsid w:val="7CC70A5D"/>
    <w:rsid w:val="7D45640A"/>
    <w:rsid w:val="7DCC035C"/>
    <w:rsid w:val="7DE6504F"/>
    <w:rsid w:val="7DEC76CD"/>
    <w:rsid w:val="7E6A0D57"/>
    <w:rsid w:val="7EF78C99"/>
    <w:rsid w:val="7F3E3C42"/>
    <w:rsid w:val="7F7516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semiHidden/>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5"/>
    <w:semiHidden/>
    <w:qFormat/>
    <w:uiPriority w:val="0"/>
    <w:pPr>
      <w:jc w:val="left"/>
    </w:pPr>
    <w:rPr>
      <w:szCs w:val="24"/>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link w:val="4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annotation subject"/>
    <w:basedOn w:val="6"/>
    <w:next w:val="6"/>
    <w:link w:val="48"/>
    <w:semiHidden/>
    <w:unhideWhenUsed/>
    <w:qFormat/>
    <w:uiPriority w:val="0"/>
    <w:rPr>
      <w:b/>
      <w:bCs/>
      <w:szCs w:val="20"/>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0"/>
    <w:rPr>
      <w:color w:val="0000FF"/>
      <w:u w:val="single"/>
    </w:rPr>
  </w:style>
  <w:style w:type="character" w:styleId="21">
    <w:name w:val="annotation reference"/>
    <w:semiHidden/>
    <w:qFormat/>
    <w:uiPriority w:val="0"/>
    <w:rPr>
      <w:rFonts w:eastAsia="宋体"/>
      <w:kern w:val="2"/>
      <w:sz w:val="21"/>
      <w:szCs w:val="21"/>
      <w:lang w:val="en-US" w:eastAsia="zh-CN" w:bidi="ar-SA"/>
    </w:rPr>
  </w:style>
  <w:style w:type="paragraph" w:customStyle="1" w:styleId="22">
    <w:name w:val="表格文字"/>
    <w:basedOn w:val="1"/>
    <w:qFormat/>
    <w:uiPriority w:val="99"/>
    <w:pPr>
      <w:spacing w:before="25" w:after="25"/>
    </w:pPr>
    <w:rPr>
      <w:spacing w:val="10"/>
      <w:sz w:val="24"/>
    </w:rPr>
  </w:style>
  <w:style w:type="character" w:customStyle="1" w:styleId="23">
    <w:name w:val="标题 3 字符"/>
    <w:basedOn w:val="17"/>
    <w:link w:val="4"/>
    <w:qFormat/>
    <w:uiPriority w:val="0"/>
    <w:rPr>
      <w:b/>
      <w:kern w:val="2"/>
      <w:sz w:val="24"/>
    </w:rPr>
  </w:style>
  <w:style w:type="character" w:customStyle="1" w:styleId="24">
    <w:name w:val="纯文本 字符"/>
    <w:basedOn w:val="17"/>
    <w:link w:val="8"/>
    <w:qFormat/>
    <w:uiPriority w:val="0"/>
    <w:rPr>
      <w:rFonts w:ascii="宋体" w:hAnsi="Courier New" w:cs="Courier New"/>
      <w:kern w:val="2"/>
      <w:sz w:val="21"/>
      <w:szCs w:val="21"/>
    </w:rPr>
  </w:style>
  <w:style w:type="paragraph" w:customStyle="1" w:styleId="25">
    <w:name w:val="Char"/>
    <w:basedOn w:val="1"/>
    <w:qFormat/>
    <w:uiPriority w:val="0"/>
    <w:rPr>
      <w:rFonts w:ascii="仿宋_GB2312" w:eastAsia="仿宋_GB2312"/>
      <w:b/>
      <w:sz w:val="32"/>
      <w:szCs w:val="32"/>
    </w:rPr>
  </w:style>
  <w:style w:type="paragraph" w:customStyle="1" w:styleId="26">
    <w:name w:val="样式 (西文) 宋体 行距: 1.5 倍行距"/>
    <w:basedOn w:val="1"/>
    <w:qFormat/>
    <w:uiPriority w:val="0"/>
    <w:pPr>
      <w:spacing w:line="360" w:lineRule="auto"/>
    </w:pPr>
    <w:rPr>
      <w:rFonts w:ascii="宋体" w:hAnsi="宋体" w:cs="宋体"/>
    </w:rPr>
  </w:style>
  <w:style w:type="character" w:customStyle="1" w:styleId="27">
    <w:name w:val="页眉 字符"/>
    <w:basedOn w:val="17"/>
    <w:link w:val="12"/>
    <w:qFormat/>
    <w:uiPriority w:val="0"/>
    <w:rPr>
      <w:kern w:val="2"/>
      <w:sz w:val="18"/>
      <w:szCs w:val="18"/>
    </w:rPr>
  </w:style>
  <w:style w:type="character" w:customStyle="1" w:styleId="28">
    <w:name w:val="页脚 字符"/>
    <w:basedOn w:val="17"/>
    <w:link w:val="11"/>
    <w:qFormat/>
    <w:uiPriority w:val="99"/>
    <w:rPr>
      <w:kern w:val="2"/>
      <w:sz w:val="18"/>
      <w:szCs w:val="18"/>
    </w:rPr>
  </w:style>
  <w:style w:type="character" w:customStyle="1" w:styleId="29">
    <w:name w:val="标题 2 字符"/>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basedOn w:val="17"/>
    <w:link w:val="2"/>
    <w:qFormat/>
    <w:uiPriority w:val="0"/>
    <w:rPr>
      <w:b/>
      <w:bCs/>
      <w:kern w:val="44"/>
      <w:sz w:val="44"/>
      <w:szCs w:val="44"/>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7"/>
    <w:qFormat/>
    <w:uiPriority w:val="0"/>
    <w:rPr>
      <w:rFonts w:hint="eastAsia" w:ascii="宋体" w:hAnsi="宋体" w:eastAsia="宋体" w:cs="Times New Roman"/>
      <w:color w:val="000000"/>
      <w:sz w:val="20"/>
      <w:szCs w:val="20"/>
      <w:u w:val="none"/>
    </w:rPr>
  </w:style>
  <w:style w:type="character" w:customStyle="1" w:styleId="42">
    <w:name w:val="font21"/>
    <w:basedOn w:val="17"/>
    <w:qFormat/>
    <w:uiPriority w:val="0"/>
    <w:rPr>
      <w:rFonts w:hint="eastAsia" w:ascii="宋体" w:hAnsi="宋体" w:eastAsia="宋体" w:cs="宋体"/>
      <w:color w:val="000000"/>
      <w:sz w:val="18"/>
      <w:szCs w:val="18"/>
      <w:u w:val="none"/>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4">
    <w:name w:val="批注框文本 字符"/>
    <w:basedOn w:val="17"/>
    <w:link w:val="10"/>
    <w:qFormat/>
    <w:uiPriority w:val="0"/>
    <w:rPr>
      <w:rFonts w:ascii="Times New Roman" w:hAnsi="Times New Roman"/>
      <w:kern w:val="2"/>
      <w:sz w:val="18"/>
      <w:szCs w:val="18"/>
    </w:rPr>
  </w:style>
  <w:style w:type="character" w:customStyle="1" w:styleId="45">
    <w:name w:val="批注文字 字符"/>
    <w:basedOn w:val="17"/>
    <w:link w:val="6"/>
    <w:semiHidden/>
    <w:qFormat/>
    <w:uiPriority w:val="0"/>
    <w:rPr>
      <w:rFonts w:ascii="Times New Roman" w:hAnsi="Times New Roman"/>
      <w:kern w:val="2"/>
      <w:sz w:val="21"/>
      <w:szCs w:val="24"/>
    </w:rPr>
  </w:style>
  <w:style w:type="paragraph" w:styleId="46">
    <w:name w:val="List Paragraph"/>
    <w:basedOn w:val="1"/>
    <w:link w:val="47"/>
    <w:qFormat/>
    <w:uiPriority w:val="34"/>
    <w:pPr>
      <w:ind w:firstLine="420" w:firstLineChars="200"/>
    </w:pPr>
    <w:rPr>
      <w:rFonts w:ascii="Calibri" w:hAnsi="Calibri"/>
      <w:szCs w:val="22"/>
    </w:rPr>
  </w:style>
  <w:style w:type="character" w:customStyle="1" w:styleId="47">
    <w:name w:val="列表段落 字符"/>
    <w:link w:val="46"/>
    <w:qFormat/>
    <w:uiPriority w:val="0"/>
    <w:rPr>
      <w:kern w:val="2"/>
      <w:sz w:val="21"/>
      <w:szCs w:val="22"/>
    </w:rPr>
  </w:style>
  <w:style w:type="character" w:customStyle="1" w:styleId="48">
    <w:name w:val="批注主题 字符"/>
    <w:basedOn w:val="45"/>
    <w:link w:val="14"/>
    <w:semiHidden/>
    <w:qFormat/>
    <w:uiPriority w:val="0"/>
    <w:rPr>
      <w:rFonts w:ascii="Times New Roman" w:hAnsi="Times New Roman"/>
      <w:b/>
      <w:bCs/>
      <w:kern w:val="2"/>
      <w:sz w:val="21"/>
      <w:szCs w:val="24"/>
    </w:rPr>
  </w:style>
  <w:style w:type="character" w:customStyle="1" w:styleId="49">
    <w:name w:val="正文缩进 字符"/>
    <w:link w:val="5"/>
    <w:semiHidden/>
    <w:qFormat/>
    <w:locked/>
    <w:uiPriority w:val="0"/>
    <w:rPr>
      <w:rFonts w:ascii="宋体" w:hAnsi="宋体" w:eastAsia="仿宋"/>
      <w:sz w:val="24"/>
      <w:szCs w:val="24"/>
      <w:lang w:val="zh-CN" w:eastAsia="zh-CN"/>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0段落文字"/>
    <w:basedOn w:val="1"/>
    <w:qFormat/>
    <w:uiPriority w:val="0"/>
    <w:pPr>
      <w:spacing w:line="360" w:lineRule="auto"/>
      <w:ind w:firstLine="200" w:firstLineChars="200"/>
    </w:pPr>
    <w:rPr>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2C91-9759-4730-A1CB-53D51D693E83}">
  <ds:schemaRefs/>
</ds:datastoreItem>
</file>

<file path=docProps/app.xml><?xml version="1.0" encoding="utf-8"?>
<Properties xmlns="http://schemas.openxmlformats.org/officeDocument/2006/extended-properties" xmlns:vt="http://schemas.openxmlformats.org/officeDocument/2006/docPropsVTypes">
  <Company>China</Company>
  <Pages>17</Pages>
  <Words>8774</Words>
  <Characters>9262</Characters>
  <Lines>49</Lines>
  <Paragraphs>13</Paragraphs>
  <TotalTime>1</TotalTime>
  <ScaleCrop>false</ScaleCrop>
  <LinksUpToDate>false</LinksUpToDate>
  <CharactersWithSpaces>10373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2025-09-08T16:38:00Z</dcterms:created>
  <dc:creator>User</dc:creator>
  <cp:lastModifiedBy>芝士</cp:lastModifiedBy>
  <cp:lastPrinted>2020-06-11T08:08:00Z</cp:lastPrinted>
  <dcterms:modified xsi:type="dcterms:W3CDTF">2026-01-07T01:01:12Z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E514F2E518B8458583FC946D6693E55E_13</vt:lpwstr>
  </property>
  <property fmtid="{D5CDD505-2E9C-101B-9397-08002B2CF9AE}" pid="4" name="KSOTemplateDocerSaveRecord">
    <vt:lpwstr>eyJoZGlkIjoiNGY4NmY3Yzc5MmU4MWI3YWIxMDQ1NGZjMDU2NGI4NzkiLCJ1c2VySWQiOiIzNTM4NDc5NTUifQ==</vt:lpwstr>
  </property>
</Properties>
</file>