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FEF0">
      <w:pPr>
        <w:spacing w:line="360" w:lineRule="auto"/>
        <w:ind w:firstLine="560" w:firstLineChars="200"/>
        <w:rPr>
          <w:rFonts w:hint="eastAsia" w:ascii="仿宋" w:hAnsi="仿宋" w:eastAsia="仿宋"/>
          <w:sz w:val="28"/>
          <w:lang w:val="en-US" w:eastAsia="zh-CN"/>
        </w:rPr>
      </w:pPr>
      <w:r>
        <w:rPr>
          <w:rFonts w:hint="eastAsia" w:ascii="仿宋" w:hAnsi="仿宋" w:eastAsia="仿宋"/>
          <w:sz w:val="28"/>
          <w:lang w:val="en-US" w:eastAsia="zh-CN"/>
        </w:rPr>
        <w:t>附件1：</w:t>
      </w:r>
    </w:p>
    <w:p w14:paraId="5F23D57C">
      <w:pPr>
        <w:spacing w:line="360" w:lineRule="auto"/>
        <w:ind w:firstLine="880" w:firstLineChars="2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潜在供应商调查问卷</w:t>
      </w:r>
    </w:p>
    <w:p w14:paraId="35B6829B">
      <w:pPr>
        <w:pStyle w:val="7"/>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一、基本情况</w:t>
      </w:r>
    </w:p>
    <w:tbl>
      <w:tblPr>
        <w:tblStyle w:val="4"/>
        <w:tblW w:w="83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22"/>
        <w:gridCol w:w="1756"/>
        <w:gridCol w:w="1463"/>
        <w:gridCol w:w="2440"/>
      </w:tblGrid>
      <w:tr w14:paraId="1A6E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56308965">
            <w:pPr>
              <w:spacing w:line="360" w:lineRule="auto"/>
              <w:jc w:val="center"/>
              <w:rPr>
                <w:rFonts w:hint="eastAsia" w:ascii="仿宋" w:hAnsi="仿宋" w:eastAsia="仿宋" w:cs="仿宋"/>
                <w:sz w:val="22"/>
                <w:szCs w:val="22"/>
                <w14:shadow w14:blurRad="50800" w14:dist="38100" w14:dir="2700000" w14:sx="100000" w14:sy="100000" w14:kx="0" w14:ky="0" w14:algn="tl">
                  <w14:srgbClr w14:val="000000">
                    <w14:alpha w14:val="60000"/>
                  </w14:srgbClr>
                </w14:shadow>
              </w:rPr>
            </w:pPr>
            <w:r>
              <w:rPr>
                <w:rFonts w:hint="eastAsia" w:ascii="仿宋" w:hAnsi="仿宋" w:eastAsia="仿宋"/>
                <w:sz w:val="21"/>
                <w:szCs w:val="21"/>
                <w:lang w:val="en-US" w:eastAsia="zh-CN"/>
              </w:rPr>
              <w:t>公司名称</w:t>
            </w:r>
          </w:p>
        </w:tc>
        <w:tc>
          <w:tcPr>
            <w:tcW w:w="5659" w:type="dxa"/>
            <w:gridSpan w:val="3"/>
            <w:noWrap w:val="0"/>
            <w:vAlign w:val="center"/>
          </w:tcPr>
          <w:p w14:paraId="0FEE31C2">
            <w:pPr>
              <w:ind w:left="420" w:hanging="360" w:hangingChars="150"/>
              <w:jc w:val="center"/>
              <w:rPr>
                <w:rFonts w:hint="eastAsia" w:ascii="仿宋" w:hAnsi="仿宋" w:eastAsia="仿宋" w:cs="仿宋"/>
                <w:sz w:val="24"/>
                <w:szCs w:val="24"/>
                <w14:shadow w14:blurRad="50800" w14:dist="38100" w14:dir="2700000" w14:sx="100000" w14:sy="100000" w14:kx="0" w14:ky="0" w14:algn="tl">
                  <w14:srgbClr w14:val="000000">
                    <w14:alpha w14:val="60000"/>
                  </w14:srgbClr>
                </w14:shadow>
              </w:rPr>
            </w:pPr>
          </w:p>
        </w:tc>
      </w:tr>
      <w:tr w14:paraId="7F87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5FD14ACC">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成立时间</w:t>
            </w:r>
          </w:p>
        </w:tc>
        <w:tc>
          <w:tcPr>
            <w:tcW w:w="5659" w:type="dxa"/>
            <w:gridSpan w:val="3"/>
            <w:noWrap w:val="0"/>
            <w:vAlign w:val="center"/>
          </w:tcPr>
          <w:p w14:paraId="5A80C924">
            <w:pPr>
              <w:spacing w:line="360" w:lineRule="auto"/>
              <w:jc w:val="center"/>
              <w:rPr>
                <w:rFonts w:hint="eastAsia" w:ascii="仿宋" w:hAnsi="仿宋" w:eastAsia="仿宋"/>
                <w:sz w:val="21"/>
                <w:szCs w:val="21"/>
                <w:lang w:val="en-US" w:eastAsia="zh-CN"/>
              </w:rPr>
            </w:pPr>
          </w:p>
        </w:tc>
      </w:tr>
      <w:tr w14:paraId="3426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4E582820">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联系人</w:t>
            </w:r>
          </w:p>
        </w:tc>
        <w:tc>
          <w:tcPr>
            <w:tcW w:w="1756" w:type="dxa"/>
            <w:noWrap w:val="0"/>
            <w:vAlign w:val="center"/>
          </w:tcPr>
          <w:p w14:paraId="4FE62E72">
            <w:pPr>
              <w:spacing w:line="360" w:lineRule="auto"/>
              <w:jc w:val="center"/>
              <w:rPr>
                <w:rFonts w:hint="eastAsia" w:ascii="仿宋" w:hAnsi="仿宋" w:eastAsia="仿宋"/>
                <w:sz w:val="21"/>
                <w:szCs w:val="21"/>
                <w:lang w:val="en-US" w:eastAsia="zh-CN"/>
              </w:rPr>
            </w:pPr>
          </w:p>
        </w:tc>
        <w:tc>
          <w:tcPr>
            <w:tcW w:w="1463" w:type="dxa"/>
            <w:noWrap w:val="0"/>
            <w:vAlign w:val="center"/>
          </w:tcPr>
          <w:p w14:paraId="2CF2D039">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手机</w:t>
            </w:r>
          </w:p>
        </w:tc>
        <w:tc>
          <w:tcPr>
            <w:tcW w:w="2440" w:type="dxa"/>
            <w:noWrap w:val="0"/>
            <w:vAlign w:val="center"/>
          </w:tcPr>
          <w:p w14:paraId="397FF149">
            <w:pPr>
              <w:spacing w:line="360" w:lineRule="auto"/>
              <w:jc w:val="center"/>
              <w:rPr>
                <w:rFonts w:hint="eastAsia" w:ascii="仿宋" w:hAnsi="仿宋" w:eastAsia="仿宋"/>
                <w:sz w:val="21"/>
                <w:szCs w:val="21"/>
                <w:lang w:val="en-US" w:eastAsia="zh-CN"/>
              </w:rPr>
            </w:pPr>
          </w:p>
        </w:tc>
      </w:tr>
      <w:tr w14:paraId="0AAF2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5025F9FC">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电话</w:t>
            </w:r>
          </w:p>
        </w:tc>
        <w:tc>
          <w:tcPr>
            <w:tcW w:w="1756" w:type="dxa"/>
            <w:noWrap w:val="0"/>
            <w:vAlign w:val="center"/>
          </w:tcPr>
          <w:p w14:paraId="594793BC">
            <w:pPr>
              <w:spacing w:line="360" w:lineRule="auto"/>
              <w:jc w:val="center"/>
              <w:rPr>
                <w:rFonts w:hint="eastAsia" w:ascii="仿宋" w:hAnsi="仿宋" w:eastAsia="仿宋"/>
                <w:sz w:val="21"/>
                <w:szCs w:val="21"/>
                <w:lang w:val="en-US" w:eastAsia="zh-CN"/>
              </w:rPr>
            </w:pPr>
          </w:p>
        </w:tc>
        <w:tc>
          <w:tcPr>
            <w:tcW w:w="1463" w:type="dxa"/>
            <w:noWrap w:val="0"/>
            <w:vAlign w:val="center"/>
          </w:tcPr>
          <w:p w14:paraId="09198641">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邮箱</w:t>
            </w:r>
          </w:p>
        </w:tc>
        <w:tc>
          <w:tcPr>
            <w:tcW w:w="2440" w:type="dxa"/>
            <w:noWrap w:val="0"/>
            <w:vAlign w:val="center"/>
          </w:tcPr>
          <w:p w14:paraId="7A2D7DCF">
            <w:pPr>
              <w:spacing w:line="360" w:lineRule="auto"/>
              <w:jc w:val="center"/>
              <w:rPr>
                <w:rFonts w:hint="eastAsia" w:ascii="仿宋" w:hAnsi="仿宋" w:eastAsia="仿宋"/>
                <w:sz w:val="21"/>
                <w:szCs w:val="21"/>
                <w:lang w:val="en-US" w:eastAsia="zh-CN"/>
              </w:rPr>
            </w:pPr>
          </w:p>
        </w:tc>
      </w:tr>
      <w:tr w14:paraId="6A013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053F9D2E">
            <w:pPr>
              <w:spacing w:line="360" w:lineRule="auto"/>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本项目报价（万元）</w:t>
            </w:r>
          </w:p>
        </w:tc>
        <w:tc>
          <w:tcPr>
            <w:tcW w:w="5659" w:type="dxa"/>
            <w:gridSpan w:val="3"/>
            <w:noWrap w:val="0"/>
            <w:vAlign w:val="center"/>
          </w:tcPr>
          <w:p w14:paraId="3C2F5778">
            <w:pPr>
              <w:spacing w:line="360" w:lineRule="auto"/>
              <w:jc w:val="center"/>
              <w:rPr>
                <w:rFonts w:hint="eastAsia" w:ascii="仿宋" w:hAnsi="仿宋" w:eastAsia="仿宋"/>
                <w:sz w:val="21"/>
                <w:szCs w:val="21"/>
                <w:lang w:val="en-US" w:eastAsia="zh-CN"/>
              </w:rPr>
            </w:pPr>
          </w:p>
        </w:tc>
      </w:tr>
      <w:tr w14:paraId="7D90EE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56" w:hRule="atLeast"/>
        </w:trPr>
        <w:tc>
          <w:tcPr>
            <w:tcW w:w="2722" w:type="dxa"/>
            <w:tcBorders>
              <w:top w:val="single" w:color="000000" w:sz="4" w:space="0"/>
              <w:left w:val="single" w:color="000000" w:sz="4" w:space="0"/>
              <w:bottom w:val="single" w:color="000000" w:sz="4" w:space="0"/>
              <w:right w:val="single" w:color="000000" w:sz="4" w:space="0"/>
            </w:tcBorders>
            <w:vAlign w:val="center"/>
          </w:tcPr>
          <w:p w14:paraId="2815FBB6">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投标人资质要求</w:t>
            </w:r>
          </w:p>
        </w:tc>
        <w:tc>
          <w:tcPr>
            <w:tcW w:w="5659" w:type="dxa"/>
            <w:gridSpan w:val="3"/>
            <w:tcBorders>
              <w:top w:val="single" w:color="000000" w:sz="4" w:space="0"/>
              <w:left w:val="single" w:color="000000" w:sz="4" w:space="0"/>
              <w:bottom w:val="single" w:color="000000" w:sz="4" w:space="0"/>
              <w:right w:val="single" w:color="000000" w:sz="4" w:space="0"/>
            </w:tcBorders>
            <w:vAlign w:val="center"/>
          </w:tcPr>
          <w:p w14:paraId="4BC2B32B">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营业执照副本复印件,加盖投标人公章;提供在国家企业信用信息公示系统中自行打印的所有信息（http://www.gsxt.gov.cn/index.html）；（包括基础信息，企业自行公示信息，行政许可信息，行政处罚信息，纳入经营异常名录信息，纳入严重违法失信企业名单（黑名单）信息）加盖投标人公章）；</w:t>
            </w:r>
          </w:p>
          <w:p w14:paraId="4B040861">
            <w:pPr>
              <w:numPr>
                <w:ilvl w:val="0"/>
                <w:numId w:val="0"/>
              </w:numPr>
              <w:spacing w:line="360" w:lineRule="auto"/>
              <w:ind w:leftChars="0"/>
              <w:jc w:val="left"/>
              <w:rPr>
                <w:rFonts w:hint="eastAsia" w:ascii="仿宋" w:hAnsi="仿宋" w:eastAsia="仿宋"/>
                <w:sz w:val="21"/>
                <w:szCs w:val="21"/>
                <w:lang w:val="en-US" w:eastAsia="zh-CN"/>
              </w:rPr>
            </w:pPr>
          </w:p>
        </w:tc>
      </w:tr>
    </w:tbl>
    <w:p w14:paraId="25E6C46E"/>
    <w:p w14:paraId="5C7AF20E"/>
    <w:p w14:paraId="5D3D3208"/>
    <w:p w14:paraId="04892FF5"/>
    <w:p w14:paraId="69882A45"/>
    <w:p w14:paraId="610F19F5"/>
    <w:p w14:paraId="10C31793">
      <w:pPr>
        <w:pStyle w:val="3"/>
      </w:pPr>
    </w:p>
    <w:p w14:paraId="125236BB"/>
    <w:p w14:paraId="1D8F64F1">
      <w:pPr>
        <w:pStyle w:val="7"/>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二、公司已获得的行业资质、资信证书及荣誉</w:t>
      </w:r>
    </w:p>
    <w:p w14:paraId="453CA17E">
      <w:pPr>
        <w:pStyle w:val="7"/>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（一）请提供企业营业执照扫描件</w:t>
      </w:r>
    </w:p>
    <w:p w14:paraId="07FA600A">
      <w:pPr>
        <w:pStyle w:val="7"/>
        <w:rPr>
          <w:rFonts w:hint="eastAsia" w:ascii="方正楷体_GB2312" w:hAnsi="方正楷体_GB2312" w:eastAsia="方正楷体_GB2312" w:cs="方正楷体_GB2312"/>
          <w:sz w:val="28"/>
          <w:szCs w:val="28"/>
          <w:lang w:val="en-US" w:eastAsia="zh-CN"/>
        </w:rPr>
      </w:pPr>
    </w:p>
    <w:p w14:paraId="7774B91C">
      <w:pPr>
        <w:pStyle w:val="7"/>
        <w:rPr>
          <w:rFonts w:hint="eastAsia" w:ascii="方正楷体_GB2312" w:hAnsi="方正楷体_GB2312" w:eastAsia="方正楷体_GB2312" w:cs="方正楷体_GB2312"/>
          <w:sz w:val="28"/>
          <w:szCs w:val="28"/>
          <w:lang w:val="en-US" w:eastAsia="zh-CN"/>
        </w:rPr>
      </w:pPr>
    </w:p>
    <w:p w14:paraId="15CC63F6">
      <w:pPr>
        <w:pStyle w:val="7"/>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（二）请提供贵司已获得的行业资质、资信、认证证书列表</w:t>
      </w:r>
    </w:p>
    <w:tbl>
      <w:tblPr>
        <w:tblStyle w:val="5"/>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684"/>
        <w:gridCol w:w="1686"/>
        <w:gridCol w:w="1581"/>
      </w:tblGrid>
      <w:tr w14:paraId="1982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447766A9">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证书名称</w:t>
            </w:r>
          </w:p>
        </w:tc>
        <w:tc>
          <w:tcPr>
            <w:tcW w:w="2684" w:type="dxa"/>
          </w:tcPr>
          <w:p w14:paraId="26A1360D">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颁发机构</w:t>
            </w:r>
          </w:p>
        </w:tc>
        <w:tc>
          <w:tcPr>
            <w:tcW w:w="1686" w:type="dxa"/>
          </w:tcPr>
          <w:p w14:paraId="4EB9129F">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获得时间</w:t>
            </w:r>
          </w:p>
        </w:tc>
        <w:tc>
          <w:tcPr>
            <w:tcW w:w="1581" w:type="dxa"/>
          </w:tcPr>
          <w:p w14:paraId="4C016588">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有效期限</w:t>
            </w:r>
          </w:p>
        </w:tc>
      </w:tr>
      <w:tr w14:paraId="58CD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1780CA48">
            <w:pPr>
              <w:spacing w:line="360" w:lineRule="auto"/>
              <w:jc w:val="center"/>
              <w:rPr>
                <w:rFonts w:hint="eastAsia" w:ascii="仿宋" w:hAnsi="仿宋" w:eastAsia="仿宋"/>
                <w:sz w:val="21"/>
                <w:szCs w:val="21"/>
                <w:vertAlign w:val="baseline"/>
                <w:lang w:val="en-US" w:eastAsia="zh-CN"/>
              </w:rPr>
            </w:pPr>
          </w:p>
        </w:tc>
        <w:tc>
          <w:tcPr>
            <w:tcW w:w="2684" w:type="dxa"/>
          </w:tcPr>
          <w:p w14:paraId="055C2A49">
            <w:pPr>
              <w:spacing w:line="360" w:lineRule="auto"/>
              <w:jc w:val="center"/>
              <w:rPr>
                <w:rFonts w:hint="eastAsia" w:ascii="仿宋" w:hAnsi="仿宋" w:eastAsia="仿宋"/>
                <w:sz w:val="21"/>
                <w:szCs w:val="21"/>
                <w:vertAlign w:val="baseline"/>
                <w:lang w:val="en-US" w:eastAsia="zh-CN"/>
              </w:rPr>
            </w:pPr>
          </w:p>
        </w:tc>
        <w:tc>
          <w:tcPr>
            <w:tcW w:w="1686" w:type="dxa"/>
          </w:tcPr>
          <w:p w14:paraId="477A6D05">
            <w:pPr>
              <w:spacing w:line="360" w:lineRule="auto"/>
              <w:jc w:val="center"/>
              <w:rPr>
                <w:rFonts w:hint="eastAsia" w:ascii="仿宋" w:hAnsi="仿宋" w:eastAsia="仿宋"/>
                <w:sz w:val="21"/>
                <w:szCs w:val="21"/>
                <w:vertAlign w:val="baseline"/>
                <w:lang w:val="en-US" w:eastAsia="zh-CN"/>
              </w:rPr>
            </w:pPr>
          </w:p>
        </w:tc>
        <w:tc>
          <w:tcPr>
            <w:tcW w:w="1581" w:type="dxa"/>
          </w:tcPr>
          <w:p w14:paraId="47BBD251">
            <w:pPr>
              <w:spacing w:line="360" w:lineRule="auto"/>
              <w:jc w:val="center"/>
              <w:rPr>
                <w:rFonts w:hint="eastAsia" w:ascii="仿宋" w:hAnsi="仿宋" w:eastAsia="仿宋"/>
                <w:sz w:val="21"/>
                <w:szCs w:val="21"/>
                <w:vertAlign w:val="baseline"/>
                <w:lang w:val="en-US" w:eastAsia="zh-CN"/>
              </w:rPr>
            </w:pPr>
          </w:p>
        </w:tc>
      </w:tr>
      <w:tr w14:paraId="7F7A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6DF01C6E">
            <w:pPr>
              <w:spacing w:line="360" w:lineRule="auto"/>
              <w:jc w:val="center"/>
              <w:rPr>
                <w:rFonts w:hint="eastAsia" w:ascii="仿宋" w:hAnsi="仿宋" w:eastAsia="仿宋"/>
                <w:sz w:val="21"/>
                <w:szCs w:val="21"/>
                <w:vertAlign w:val="baseline"/>
                <w:lang w:val="en-US" w:eastAsia="zh-CN"/>
              </w:rPr>
            </w:pPr>
          </w:p>
        </w:tc>
        <w:tc>
          <w:tcPr>
            <w:tcW w:w="2684" w:type="dxa"/>
          </w:tcPr>
          <w:p w14:paraId="487B96DF">
            <w:pPr>
              <w:spacing w:line="360" w:lineRule="auto"/>
              <w:jc w:val="center"/>
              <w:rPr>
                <w:rFonts w:hint="eastAsia" w:ascii="仿宋" w:hAnsi="仿宋" w:eastAsia="仿宋"/>
                <w:sz w:val="21"/>
                <w:szCs w:val="21"/>
                <w:vertAlign w:val="baseline"/>
                <w:lang w:val="en-US" w:eastAsia="zh-CN"/>
              </w:rPr>
            </w:pPr>
          </w:p>
        </w:tc>
        <w:tc>
          <w:tcPr>
            <w:tcW w:w="1686" w:type="dxa"/>
          </w:tcPr>
          <w:p w14:paraId="008BC92F">
            <w:pPr>
              <w:spacing w:line="360" w:lineRule="auto"/>
              <w:jc w:val="center"/>
              <w:rPr>
                <w:rFonts w:hint="eastAsia" w:ascii="仿宋" w:hAnsi="仿宋" w:eastAsia="仿宋"/>
                <w:sz w:val="21"/>
                <w:szCs w:val="21"/>
                <w:vertAlign w:val="baseline"/>
                <w:lang w:val="en-US" w:eastAsia="zh-CN"/>
              </w:rPr>
            </w:pPr>
          </w:p>
        </w:tc>
        <w:tc>
          <w:tcPr>
            <w:tcW w:w="1581" w:type="dxa"/>
          </w:tcPr>
          <w:p w14:paraId="03C7C88D">
            <w:pPr>
              <w:spacing w:line="360" w:lineRule="auto"/>
              <w:jc w:val="center"/>
              <w:rPr>
                <w:rFonts w:hint="eastAsia" w:ascii="仿宋" w:hAnsi="仿宋" w:eastAsia="仿宋"/>
                <w:sz w:val="21"/>
                <w:szCs w:val="21"/>
                <w:vertAlign w:val="baseline"/>
                <w:lang w:val="en-US" w:eastAsia="zh-CN"/>
              </w:rPr>
            </w:pPr>
          </w:p>
        </w:tc>
      </w:tr>
      <w:tr w14:paraId="124B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00BF25D0">
            <w:pPr>
              <w:spacing w:line="360" w:lineRule="auto"/>
              <w:jc w:val="center"/>
              <w:rPr>
                <w:rFonts w:hint="eastAsia" w:ascii="仿宋" w:hAnsi="仿宋" w:eastAsia="仿宋"/>
                <w:sz w:val="21"/>
                <w:szCs w:val="21"/>
                <w:vertAlign w:val="baseline"/>
                <w:lang w:val="en-US" w:eastAsia="zh-CN"/>
              </w:rPr>
            </w:pPr>
          </w:p>
        </w:tc>
        <w:tc>
          <w:tcPr>
            <w:tcW w:w="2684" w:type="dxa"/>
          </w:tcPr>
          <w:p w14:paraId="1A307C8B">
            <w:pPr>
              <w:spacing w:line="360" w:lineRule="auto"/>
              <w:jc w:val="center"/>
              <w:rPr>
                <w:rFonts w:hint="eastAsia" w:ascii="仿宋" w:hAnsi="仿宋" w:eastAsia="仿宋"/>
                <w:sz w:val="21"/>
                <w:szCs w:val="21"/>
                <w:vertAlign w:val="baseline"/>
                <w:lang w:val="en-US" w:eastAsia="zh-CN"/>
              </w:rPr>
            </w:pPr>
          </w:p>
        </w:tc>
        <w:tc>
          <w:tcPr>
            <w:tcW w:w="1686" w:type="dxa"/>
          </w:tcPr>
          <w:p w14:paraId="735F0BFD">
            <w:pPr>
              <w:spacing w:line="360" w:lineRule="auto"/>
              <w:jc w:val="center"/>
              <w:rPr>
                <w:rFonts w:hint="eastAsia" w:ascii="仿宋" w:hAnsi="仿宋" w:eastAsia="仿宋"/>
                <w:sz w:val="21"/>
                <w:szCs w:val="21"/>
                <w:vertAlign w:val="baseline"/>
                <w:lang w:val="en-US" w:eastAsia="zh-CN"/>
              </w:rPr>
            </w:pPr>
          </w:p>
        </w:tc>
        <w:tc>
          <w:tcPr>
            <w:tcW w:w="1581" w:type="dxa"/>
          </w:tcPr>
          <w:p w14:paraId="6AAA3DF0">
            <w:pPr>
              <w:spacing w:line="360" w:lineRule="auto"/>
              <w:jc w:val="center"/>
              <w:rPr>
                <w:rFonts w:hint="eastAsia" w:ascii="仿宋" w:hAnsi="仿宋" w:eastAsia="仿宋"/>
                <w:sz w:val="21"/>
                <w:szCs w:val="21"/>
                <w:vertAlign w:val="baseline"/>
                <w:lang w:val="en-US" w:eastAsia="zh-CN"/>
              </w:rPr>
            </w:pPr>
          </w:p>
        </w:tc>
      </w:tr>
      <w:tr w14:paraId="5016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27BF3A2B">
            <w:pPr>
              <w:spacing w:line="360" w:lineRule="auto"/>
              <w:jc w:val="center"/>
              <w:rPr>
                <w:rFonts w:hint="eastAsia" w:ascii="仿宋" w:hAnsi="仿宋" w:eastAsia="仿宋"/>
                <w:sz w:val="21"/>
                <w:szCs w:val="21"/>
                <w:vertAlign w:val="baseline"/>
                <w:lang w:val="en-US" w:eastAsia="zh-CN"/>
              </w:rPr>
            </w:pPr>
          </w:p>
        </w:tc>
        <w:tc>
          <w:tcPr>
            <w:tcW w:w="2684" w:type="dxa"/>
          </w:tcPr>
          <w:p w14:paraId="4677096C">
            <w:pPr>
              <w:spacing w:line="360" w:lineRule="auto"/>
              <w:jc w:val="center"/>
              <w:rPr>
                <w:rFonts w:hint="eastAsia" w:ascii="仿宋" w:hAnsi="仿宋" w:eastAsia="仿宋"/>
                <w:sz w:val="21"/>
                <w:szCs w:val="21"/>
                <w:vertAlign w:val="baseline"/>
                <w:lang w:val="en-US" w:eastAsia="zh-CN"/>
              </w:rPr>
            </w:pPr>
          </w:p>
        </w:tc>
        <w:tc>
          <w:tcPr>
            <w:tcW w:w="1686" w:type="dxa"/>
          </w:tcPr>
          <w:p w14:paraId="7F0E7F44">
            <w:pPr>
              <w:spacing w:line="360" w:lineRule="auto"/>
              <w:jc w:val="center"/>
              <w:rPr>
                <w:rFonts w:hint="eastAsia" w:ascii="仿宋" w:hAnsi="仿宋" w:eastAsia="仿宋"/>
                <w:sz w:val="21"/>
                <w:szCs w:val="21"/>
                <w:vertAlign w:val="baseline"/>
                <w:lang w:val="en-US" w:eastAsia="zh-CN"/>
              </w:rPr>
            </w:pPr>
          </w:p>
        </w:tc>
        <w:tc>
          <w:tcPr>
            <w:tcW w:w="1581" w:type="dxa"/>
          </w:tcPr>
          <w:p w14:paraId="0084E7B4">
            <w:pPr>
              <w:spacing w:line="360" w:lineRule="auto"/>
              <w:jc w:val="center"/>
              <w:rPr>
                <w:rFonts w:hint="eastAsia" w:ascii="仿宋" w:hAnsi="仿宋" w:eastAsia="仿宋"/>
                <w:sz w:val="21"/>
                <w:szCs w:val="21"/>
                <w:vertAlign w:val="baseline"/>
                <w:lang w:val="en-US" w:eastAsia="zh-CN"/>
              </w:rPr>
            </w:pPr>
          </w:p>
        </w:tc>
      </w:tr>
      <w:tr w14:paraId="38D7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5D2626D8">
            <w:pPr>
              <w:spacing w:line="360" w:lineRule="auto"/>
              <w:jc w:val="center"/>
              <w:rPr>
                <w:rFonts w:hint="eastAsia" w:ascii="仿宋" w:hAnsi="仿宋" w:eastAsia="仿宋"/>
                <w:sz w:val="21"/>
                <w:szCs w:val="21"/>
                <w:vertAlign w:val="baseline"/>
                <w:lang w:val="en-US" w:eastAsia="zh-CN"/>
              </w:rPr>
            </w:pPr>
          </w:p>
        </w:tc>
        <w:tc>
          <w:tcPr>
            <w:tcW w:w="2684" w:type="dxa"/>
          </w:tcPr>
          <w:p w14:paraId="05F6E90E">
            <w:pPr>
              <w:spacing w:line="360" w:lineRule="auto"/>
              <w:jc w:val="center"/>
              <w:rPr>
                <w:rFonts w:hint="eastAsia" w:ascii="仿宋" w:hAnsi="仿宋" w:eastAsia="仿宋"/>
                <w:sz w:val="21"/>
                <w:szCs w:val="21"/>
                <w:vertAlign w:val="baseline"/>
                <w:lang w:val="en-US" w:eastAsia="zh-CN"/>
              </w:rPr>
            </w:pPr>
          </w:p>
        </w:tc>
        <w:tc>
          <w:tcPr>
            <w:tcW w:w="1686" w:type="dxa"/>
          </w:tcPr>
          <w:p w14:paraId="3CEDA4CE">
            <w:pPr>
              <w:spacing w:line="360" w:lineRule="auto"/>
              <w:jc w:val="center"/>
              <w:rPr>
                <w:rFonts w:hint="eastAsia" w:ascii="仿宋" w:hAnsi="仿宋" w:eastAsia="仿宋"/>
                <w:sz w:val="21"/>
                <w:szCs w:val="21"/>
                <w:vertAlign w:val="baseline"/>
                <w:lang w:val="en-US" w:eastAsia="zh-CN"/>
              </w:rPr>
            </w:pPr>
          </w:p>
        </w:tc>
        <w:tc>
          <w:tcPr>
            <w:tcW w:w="1581" w:type="dxa"/>
          </w:tcPr>
          <w:p w14:paraId="749F89F5">
            <w:pPr>
              <w:spacing w:line="360" w:lineRule="auto"/>
              <w:jc w:val="center"/>
              <w:rPr>
                <w:rFonts w:hint="eastAsia" w:ascii="仿宋" w:hAnsi="仿宋" w:eastAsia="仿宋"/>
                <w:sz w:val="21"/>
                <w:szCs w:val="21"/>
                <w:vertAlign w:val="baseline"/>
                <w:lang w:val="en-US" w:eastAsia="zh-CN"/>
              </w:rPr>
            </w:pPr>
          </w:p>
        </w:tc>
      </w:tr>
    </w:tbl>
    <w:p w14:paraId="783438A8">
      <w:pPr>
        <w:pStyle w:val="7"/>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60D54664">
      <w:pPr>
        <w:pStyle w:val="7"/>
        <w:rPr>
          <w:rFonts w:hint="eastAsia" w:ascii="仿宋" w:hAnsi="仿宋" w:eastAsia="仿宋"/>
          <w:sz w:val="21"/>
          <w:szCs w:val="21"/>
          <w:lang w:val="en-US" w:eastAsia="zh-CN"/>
        </w:rPr>
      </w:pPr>
    </w:p>
    <w:p w14:paraId="333068B7">
      <w:pPr>
        <w:pStyle w:val="7"/>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（三）请提供企业行业资质、资信、认证证书扫描件：</w:t>
      </w:r>
    </w:p>
    <w:p w14:paraId="22BF4C9B"/>
    <w:p w14:paraId="63449C0F"/>
    <w:p w14:paraId="53093C02"/>
    <w:p w14:paraId="212709B3"/>
    <w:p w14:paraId="61F0316B">
      <w:pPr>
        <w:pStyle w:val="7"/>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三、根据本项目规模，请提供贵司拟投入的服务团队规划：</w:t>
      </w:r>
    </w:p>
    <w:tbl>
      <w:tblPr>
        <w:tblStyle w:val="5"/>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42"/>
        <w:gridCol w:w="1073"/>
        <w:gridCol w:w="1107"/>
        <w:gridCol w:w="1266"/>
        <w:gridCol w:w="1307"/>
        <w:gridCol w:w="1764"/>
      </w:tblGrid>
      <w:tr w14:paraId="7698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6" w:type="dxa"/>
            <w:vMerge w:val="restart"/>
            <w:vAlign w:val="center"/>
          </w:tcPr>
          <w:p w14:paraId="5173E195">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序号</w:t>
            </w:r>
          </w:p>
        </w:tc>
        <w:tc>
          <w:tcPr>
            <w:tcW w:w="1442" w:type="dxa"/>
            <w:vMerge w:val="restart"/>
            <w:vAlign w:val="center"/>
          </w:tcPr>
          <w:p w14:paraId="75CADB01">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岗位</w:t>
            </w:r>
          </w:p>
        </w:tc>
        <w:tc>
          <w:tcPr>
            <w:tcW w:w="1073" w:type="dxa"/>
            <w:vMerge w:val="restart"/>
            <w:vAlign w:val="center"/>
          </w:tcPr>
          <w:p w14:paraId="6952E2E3">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人数（人）</w:t>
            </w:r>
          </w:p>
        </w:tc>
        <w:tc>
          <w:tcPr>
            <w:tcW w:w="5444" w:type="dxa"/>
            <w:gridSpan w:val="4"/>
            <w:vAlign w:val="center"/>
          </w:tcPr>
          <w:p w14:paraId="381EDE9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人员须具备的条件</w:t>
            </w:r>
          </w:p>
        </w:tc>
      </w:tr>
      <w:tr w14:paraId="1DE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726" w:type="dxa"/>
            <w:vMerge w:val="continue"/>
            <w:vAlign w:val="center"/>
          </w:tcPr>
          <w:p w14:paraId="01DABCF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1442" w:type="dxa"/>
            <w:vMerge w:val="continue"/>
            <w:vAlign w:val="center"/>
          </w:tcPr>
          <w:p w14:paraId="674928C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1073" w:type="dxa"/>
            <w:vMerge w:val="continue"/>
            <w:vAlign w:val="center"/>
          </w:tcPr>
          <w:p w14:paraId="463D8127">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1107" w:type="dxa"/>
            <w:vAlign w:val="center"/>
          </w:tcPr>
          <w:p w14:paraId="1B7F55F1">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学历</w:t>
            </w:r>
          </w:p>
        </w:tc>
        <w:tc>
          <w:tcPr>
            <w:tcW w:w="1266" w:type="dxa"/>
            <w:vAlign w:val="center"/>
          </w:tcPr>
          <w:p w14:paraId="601B7EF5">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专业</w:t>
            </w:r>
          </w:p>
        </w:tc>
        <w:tc>
          <w:tcPr>
            <w:tcW w:w="1307" w:type="dxa"/>
            <w:vAlign w:val="center"/>
          </w:tcPr>
          <w:p w14:paraId="7487C2A6">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电工证书</w:t>
            </w:r>
          </w:p>
        </w:tc>
        <w:tc>
          <w:tcPr>
            <w:tcW w:w="1764" w:type="dxa"/>
            <w:vAlign w:val="center"/>
          </w:tcPr>
          <w:p w14:paraId="4BB5E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同类项目经验</w:t>
            </w:r>
          </w:p>
        </w:tc>
      </w:tr>
      <w:tr w14:paraId="19C8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831884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1</w:t>
            </w:r>
          </w:p>
        </w:tc>
        <w:tc>
          <w:tcPr>
            <w:tcW w:w="1442" w:type="dxa"/>
            <w:vAlign w:val="center"/>
          </w:tcPr>
          <w:p w14:paraId="3E6F8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项目负责人</w:t>
            </w:r>
          </w:p>
        </w:tc>
        <w:tc>
          <w:tcPr>
            <w:tcW w:w="1073" w:type="dxa"/>
            <w:vAlign w:val="center"/>
          </w:tcPr>
          <w:p w14:paraId="1EAD582E">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107" w:type="dxa"/>
            <w:vAlign w:val="center"/>
          </w:tcPr>
          <w:p w14:paraId="7CD7E091">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266" w:type="dxa"/>
            <w:vAlign w:val="center"/>
          </w:tcPr>
          <w:p w14:paraId="7A6AB81A">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307" w:type="dxa"/>
            <w:vAlign w:val="center"/>
          </w:tcPr>
          <w:p w14:paraId="647A8B3A">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vAlign w:val="center"/>
          </w:tcPr>
          <w:p w14:paraId="23BB512E">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（请注意：须提供以项目主管或项目经理身份负责管理过的医疗设备维保项目经验）</w:t>
            </w:r>
          </w:p>
        </w:tc>
      </w:tr>
      <w:tr w14:paraId="52B2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490546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2</w:t>
            </w:r>
          </w:p>
        </w:tc>
        <w:tc>
          <w:tcPr>
            <w:tcW w:w="1442" w:type="dxa"/>
            <w:vAlign w:val="center"/>
          </w:tcPr>
          <w:p w14:paraId="39B38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技术工程师</w:t>
            </w:r>
          </w:p>
        </w:tc>
        <w:tc>
          <w:tcPr>
            <w:tcW w:w="1073" w:type="dxa"/>
            <w:vAlign w:val="center"/>
          </w:tcPr>
          <w:p w14:paraId="25604AA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107" w:type="dxa"/>
            <w:vAlign w:val="center"/>
          </w:tcPr>
          <w:p w14:paraId="4BD67CE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266" w:type="dxa"/>
            <w:vAlign w:val="center"/>
          </w:tcPr>
          <w:p w14:paraId="2E972AFB">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307" w:type="dxa"/>
            <w:vAlign w:val="center"/>
          </w:tcPr>
          <w:p w14:paraId="4AAC9DB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vAlign w:val="center"/>
          </w:tcPr>
          <w:p w14:paraId="52730EED">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（请提供拟投入该岗位人员所能达到的最低同类工作经验年限）</w:t>
            </w:r>
          </w:p>
        </w:tc>
      </w:tr>
      <w:tr w14:paraId="729E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97EE3E2">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442" w:type="dxa"/>
            <w:vAlign w:val="center"/>
          </w:tcPr>
          <w:p w14:paraId="08A8DB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技术工程师</w:t>
            </w:r>
          </w:p>
        </w:tc>
        <w:tc>
          <w:tcPr>
            <w:tcW w:w="1073" w:type="dxa"/>
            <w:vAlign w:val="center"/>
          </w:tcPr>
          <w:p w14:paraId="204E04A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107" w:type="dxa"/>
            <w:vAlign w:val="center"/>
          </w:tcPr>
          <w:p w14:paraId="749E46BA">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266" w:type="dxa"/>
            <w:vAlign w:val="center"/>
          </w:tcPr>
          <w:p w14:paraId="35B9B68E">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307" w:type="dxa"/>
            <w:vAlign w:val="center"/>
          </w:tcPr>
          <w:p w14:paraId="50846B0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shd w:val="clear" w:color="auto" w:fill="auto"/>
            <w:vAlign w:val="center"/>
          </w:tcPr>
          <w:p w14:paraId="08B8661D">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sz w:val="22"/>
                <w:szCs w:val="22"/>
                <w:u w:val="none"/>
                <w:vertAlign w:val="baseline"/>
                <w:lang w:val="en-US" w:eastAsia="zh-CN"/>
              </w:rPr>
            </w:pPr>
          </w:p>
        </w:tc>
      </w:tr>
    </w:tbl>
    <w:p w14:paraId="40893DB0">
      <w:pPr>
        <w:pStyle w:val="7"/>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4DE7666E">
      <w:pPr>
        <w:pStyle w:val="7"/>
        <w:rPr>
          <w:rFonts w:hint="eastAsia" w:ascii="仿宋" w:hAnsi="仿宋" w:eastAsia="仿宋"/>
          <w:sz w:val="21"/>
          <w:szCs w:val="21"/>
          <w:lang w:val="en-US" w:eastAsia="zh-CN"/>
        </w:rPr>
      </w:pPr>
    </w:p>
    <w:p w14:paraId="752CFBB8">
      <w:pPr>
        <w:pStyle w:val="7"/>
        <w:rPr>
          <w:rFonts w:hint="default" w:ascii="仿宋" w:hAnsi="仿宋" w:eastAsia="仿宋"/>
          <w:sz w:val="21"/>
          <w:szCs w:val="21"/>
          <w:lang w:val="en-US" w:eastAsia="zh-CN"/>
        </w:rPr>
      </w:pPr>
    </w:p>
    <w:p w14:paraId="260217D7">
      <w:pPr>
        <w:pStyle w:val="7"/>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四、公司同类项目业绩情况</w:t>
      </w:r>
    </w:p>
    <w:p w14:paraId="52190C60">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（一）请提供贵司自2022年6月至今所完成的运维服务项目：</w:t>
      </w:r>
    </w:p>
    <w:tbl>
      <w:tblPr>
        <w:tblStyle w:val="5"/>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92"/>
        <w:gridCol w:w="2453"/>
        <w:gridCol w:w="1658"/>
        <w:gridCol w:w="1101"/>
      </w:tblGrid>
      <w:tr w14:paraId="2D68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14:paraId="1F484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项目名称</w:t>
            </w:r>
          </w:p>
        </w:tc>
        <w:tc>
          <w:tcPr>
            <w:tcW w:w="1792" w:type="dxa"/>
            <w:vAlign w:val="center"/>
          </w:tcPr>
          <w:p w14:paraId="5B219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业主单位名称</w:t>
            </w:r>
          </w:p>
        </w:tc>
        <w:tc>
          <w:tcPr>
            <w:tcW w:w="2453" w:type="dxa"/>
            <w:vAlign w:val="center"/>
          </w:tcPr>
          <w:p w14:paraId="53DED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服务内容</w:t>
            </w:r>
          </w:p>
        </w:tc>
        <w:tc>
          <w:tcPr>
            <w:tcW w:w="1658" w:type="dxa"/>
            <w:vAlign w:val="center"/>
          </w:tcPr>
          <w:p w14:paraId="6E749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合同签订时间（或中标时间）</w:t>
            </w:r>
          </w:p>
        </w:tc>
        <w:tc>
          <w:tcPr>
            <w:tcW w:w="1101" w:type="dxa"/>
            <w:vAlign w:val="center"/>
          </w:tcPr>
          <w:p w14:paraId="1C0AF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用户满意度评价</w:t>
            </w:r>
          </w:p>
        </w:tc>
      </w:tr>
      <w:tr w14:paraId="5245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7" w:type="dxa"/>
            <w:vAlign w:val="center"/>
          </w:tcPr>
          <w:p w14:paraId="1026C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14:paraId="3DBAF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14:paraId="1F3DF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14:paraId="24EC8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14:paraId="17640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14:paraId="3F67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14:paraId="4CF9E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14:paraId="234AC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14:paraId="38729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14:paraId="0F3C5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14:paraId="7BDDE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14:paraId="2D2D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14:paraId="55872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14:paraId="701BD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14:paraId="533C0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14:paraId="69B24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14:paraId="0E0DC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14:paraId="6F9E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14:paraId="7A78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14:paraId="6FD12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14:paraId="74CB7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14:paraId="37C50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14:paraId="73F07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bl>
    <w:p w14:paraId="760F2EE9">
      <w:pPr>
        <w:pStyle w:val="7"/>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7B5139A4">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（二）请提供以上业绩合同复印件或中标通知书扫描件：</w:t>
      </w:r>
    </w:p>
    <w:p w14:paraId="6846A2D8">
      <w:pPr>
        <w:rPr>
          <w:rFonts w:hint="eastAsia" w:ascii="方正楷体_GB2312" w:hAnsi="方正楷体_GB2312" w:eastAsia="方正楷体_GB2312" w:cs="方正楷体_GB2312"/>
          <w:sz w:val="28"/>
          <w:szCs w:val="28"/>
          <w:lang w:val="en-US" w:eastAsia="zh-CN"/>
        </w:rPr>
      </w:pPr>
    </w:p>
    <w:p w14:paraId="6C08855D">
      <w:pPr>
        <w:jc w:val="left"/>
        <w:rPr>
          <w:rFonts w:hint="eastAsia" w:ascii="宋体" w:hAnsi="宋体" w:cs="宋体"/>
          <w:b/>
          <w:bCs/>
          <w:color w:val="3F3F3F"/>
          <w:kern w:val="0"/>
          <w:szCs w:val="21"/>
        </w:rPr>
      </w:pPr>
    </w:p>
    <w:p w14:paraId="64949296">
      <w:pPr>
        <w:pStyle w:val="7"/>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五、请根据实际情况填写贵公司对本项目论证参数的响应情况</w:t>
      </w:r>
    </w:p>
    <w:p w14:paraId="778FD414">
      <w:pPr>
        <w:ind w:left="0" w:leftChars="0" w:firstLine="0" w:firstLineChars="0"/>
        <w:jc w:val="center"/>
        <w:rPr>
          <w:rFonts w:hint="eastAsia" w:ascii="仿宋" w:hAnsi="仿宋" w:eastAsia="仿宋" w:cs="仿宋"/>
          <w:b/>
          <w:bCs/>
          <w:color w:val="3F3F3F"/>
          <w:kern w:val="0"/>
          <w:szCs w:val="21"/>
        </w:rPr>
      </w:pPr>
      <w:r>
        <w:rPr>
          <w:rFonts w:hint="eastAsia" w:ascii="仿宋" w:hAnsi="仿宋" w:eastAsia="仿宋" w:cs="仿宋"/>
          <w:b/>
          <w:bCs/>
          <w:color w:val="3F3F3F"/>
          <w:kern w:val="0"/>
          <w:sz w:val="36"/>
          <w:szCs w:val="36"/>
          <w:lang w:val="en-US" w:eastAsia="zh-CN"/>
        </w:rPr>
        <w:t>论证</w:t>
      </w:r>
      <w:r>
        <w:rPr>
          <w:rFonts w:hint="eastAsia" w:ascii="仿宋" w:hAnsi="仿宋" w:eastAsia="仿宋" w:cs="仿宋"/>
          <w:b/>
          <w:bCs/>
          <w:color w:val="3F3F3F"/>
          <w:kern w:val="0"/>
          <w:sz w:val="36"/>
          <w:szCs w:val="36"/>
        </w:rPr>
        <w:t>参数列表</w:t>
      </w:r>
    </w:p>
    <w:tbl>
      <w:tblPr>
        <w:tblStyle w:val="4"/>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568"/>
        <w:gridCol w:w="813"/>
        <w:gridCol w:w="4025"/>
        <w:gridCol w:w="1699"/>
      </w:tblGrid>
      <w:tr w14:paraId="08C3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1290" w:type="dxa"/>
            <w:tcBorders>
              <w:top w:val="single" w:color="auto" w:sz="4" w:space="0"/>
              <w:left w:val="single" w:color="auto" w:sz="4" w:space="0"/>
              <w:right w:val="single" w:color="auto" w:sz="4" w:space="0"/>
            </w:tcBorders>
            <w:vAlign w:val="center"/>
          </w:tcPr>
          <w:p w14:paraId="6B5B6EFA">
            <w:pPr>
              <w:widowControl/>
              <w:jc w:val="center"/>
              <w:rPr>
                <w:rFonts w:hint="eastAsia" w:ascii="仿宋" w:hAnsi="仿宋" w:eastAsia="仿宋" w:cs="仿宋"/>
                <w:kern w:val="0"/>
                <w:sz w:val="24"/>
                <w:szCs w:val="24"/>
                <w:lang w:eastAsia="zh-CN"/>
              </w:rPr>
            </w:pPr>
            <w:r>
              <w:rPr>
                <w:rFonts w:hint="eastAsia" w:ascii="仿宋" w:hAnsi="仿宋" w:eastAsia="仿宋" w:cs="仿宋"/>
                <w:b/>
                <w:bCs/>
                <w:color w:val="3F3F3F"/>
                <w:kern w:val="0"/>
                <w:sz w:val="22"/>
              </w:rPr>
              <w:t>序号</w:t>
            </w:r>
          </w:p>
        </w:tc>
        <w:tc>
          <w:tcPr>
            <w:tcW w:w="5406" w:type="dxa"/>
            <w:gridSpan w:val="3"/>
            <w:tcBorders>
              <w:top w:val="single" w:color="auto" w:sz="4" w:space="0"/>
              <w:left w:val="single" w:color="auto" w:sz="4" w:space="0"/>
              <w:bottom w:val="single" w:color="auto" w:sz="4" w:space="0"/>
              <w:right w:val="single" w:color="auto" w:sz="4" w:space="0"/>
            </w:tcBorders>
            <w:vAlign w:val="center"/>
          </w:tcPr>
          <w:p w14:paraId="6767B1B9">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rPr>
              <w:t>需求</w:t>
            </w:r>
          </w:p>
        </w:tc>
        <w:tc>
          <w:tcPr>
            <w:tcW w:w="1699" w:type="dxa"/>
            <w:tcBorders>
              <w:top w:val="single" w:color="auto" w:sz="4" w:space="0"/>
              <w:left w:val="single" w:color="auto" w:sz="4" w:space="0"/>
              <w:bottom w:val="single" w:color="auto" w:sz="4" w:space="0"/>
              <w:right w:val="single" w:color="auto" w:sz="4" w:space="0"/>
            </w:tcBorders>
            <w:vAlign w:val="center"/>
          </w:tcPr>
          <w:p w14:paraId="61AA8C74">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lang w:eastAsia="zh-CN"/>
              </w:rPr>
              <w:t>是否</w:t>
            </w:r>
            <w:r>
              <w:rPr>
                <w:rFonts w:hint="eastAsia" w:ascii="仿宋" w:hAnsi="仿宋" w:eastAsia="仿宋" w:cs="仿宋"/>
                <w:b/>
                <w:bCs/>
                <w:color w:val="3F3F3F"/>
                <w:kern w:val="0"/>
                <w:sz w:val="22"/>
                <w:lang w:val="en-US" w:eastAsia="zh-CN"/>
              </w:rPr>
              <w:t>能完全响应</w:t>
            </w:r>
            <w:r>
              <w:rPr>
                <w:rFonts w:hint="eastAsia" w:ascii="仿宋" w:hAnsi="仿宋" w:eastAsia="仿宋" w:cs="仿宋"/>
                <w:b/>
                <w:bCs/>
                <w:color w:val="3F3F3F"/>
                <w:kern w:val="0"/>
                <w:sz w:val="22"/>
                <w:lang w:eastAsia="zh-CN"/>
              </w:rPr>
              <w:t>（若</w:t>
            </w:r>
            <w:r>
              <w:rPr>
                <w:rFonts w:hint="eastAsia" w:ascii="仿宋" w:hAnsi="仿宋" w:eastAsia="仿宋" w:cs="仿宋"/>
                <w:b/>
                <w:bCs/>
                <w:color w:val="3F3F3F"/>
                <w:kern w:val="0"/>
                <w:sz w:val="22"/>
                <w:lang w:val="en-US" w:eastAsia="zh-CN"/>
              </w:rPr>
              <w:t>有修改意见</w:t>
            </w:r>
            <w:r>
              <w:rPr>
                <w:rFonts w:hint="eastAsia" w:ascii="仿宋" w:hAnsi="仿宋" w:eastAsia="仿宋" w:cs="仿宋"/>
                <w:b/>
                <w:bCs/>
                <w:color w:val="3F3F3F"/>
                <w:kern w:val="0"/>
                <w:sz w:val="22"/>
                <w:lang w:eastAsia="zh-CN"/>
              </w:rPr>
              <w:t>，请在</w:t>
            </w:r>
            <w:r>
              <w:rPr>
                <w:rFonts w:hint="eastAsia" w:ascii="仿宋" w:hAnsi="仿宋" w:eastAsia="仿宋" w:cs="仿宋"/>
                <w:b/>
                <w:bCs/>
                <w:color w:val="3F3F3F"/>
                <w:kern w:val="0"/>
                <w:sz w:val="22"/>
                <w:lang w:val="en-US" w:eastAsia="zh-CN"/>
              </w:rPr>
              <w:t>此列</w:t>
            </w:r>
            <w:r>
              <w:rPr>
                <w:rFonts w:hint="eastAsia" w:ascii="仿宋" w:hAnsi="仿宋" w:eastAsia="仿宋" w:cs="仿宋"/>
                <w:b/>
                <w:bCs/>
                <w:color w:val="3F3F3F"/>
                <w:kern w:val="0"/>
                <w:sz w:val="22"/>
                <w:lang w:eastAsia="zh-CN"/>
              </w:rPr>
              <w:t>填写）</w:t>
            </w:r>
          </w:p>
        </w:tc>
      </w:tr>
      <w:tr w14:paraId="5587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4409DEF">
            <w:pPr>
              <w:spacing w:after="78"/>
              <w:rPr>
                <w:rFonts w:hint="eastAsia" w:ascii="仿宋" w:hAnsi="仿宋" w:eastAsia="仿宋" w:cs="仿宋"/>
                <w:color w:val="000000" w:themeColor="text1"/>
                <w:kern w:val="0"/>
                <w:sz w:val="22"/>
                <w:szCs w:val="22"/>
                <w:lang w:val="en-US" w:eastAsia="zh-CN" w:bidi="ar-SA"/>
                <w14:textFill>
                  <w14:solidFill>
                    <w14:schemeClr w14:val="tx1"/>
                  </w14:solidFill>
                </w14:textFill>
              </w:rPr>
            </w:pPr>
            <w:bookmarkStart w:id="0" w:name="_GoBack"/>
            <w:bookmarkEnd w:id="0"/>
            <w:r>
              <w:rPr>
                <w:rFonts w:hint="eastAsia" w:ascii="仿宋" w:hAnsi="仿宋" w:eastAsia="仿宋" w:cs="仿宋"/>
                <w:color w:val="000000" w:themeColor="text1"/>
                <w:kern w:val="0"/>
                <w:sz w:val="22"/>
                <w:szCs w:val="22"/>
                <w14:textFill>
                  <w14:solidFill>
                    <w14:schemeClr w14:val="tx1"/>
                  </w14:solidFill>
                </w14:textFill>
              </w:rPr>
              <w:t>服务内容</w:t>
            </w:r>
          </w:p>
        </w:tc>
        <w:tc>
          <w:tcPr>
            <w:tcW w:w="5406" w:type="dxa"/>
            <w:gridSpan w:val="3"/>
            <w:tcBorders>
              <w:top w:val="single" w:color="auto" w:sz="4" w:space="0"/>
              <w:left w:val="single" w:color="auto" w:sz="4" w:space="0"/>
              <w:bottom w:val="single" w:color="auto" w:sz="4" w:space="0"/>
              <w:right w:val="single" w:color="auto" w:sz="4" w:space="0"/>
            </w:tcBorders>
            <w:shd w:val="clear" w:color="auto" w:fill="FEE595" w:themeFill="accent3" w:themeFillTint="66"/>
            <w:vAlign w:val="center"/>
          </w:tcPr>
          <w:p w14:paraId="44A3418C">
            <w:pPr>
              <w:numPr>
                <w:ilvl w:val="255"/>
                <w:numId w:val="0"/>
              </w:numPr>
              <w:spacing w:after="78"/>
              <w:ind w:left="0" w:leftChars="0" w:firstLine="0" w:firstLineChars="0"/>
              <w:jc w:val="center"/>
              <w:rPr>
                <w:rFonts w:hint="default"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val="en-US" w:eastAsia="zh-CN" w:bidi="ar-SA"/>
                <w14:textFill>
                  <w14:solidFill>
                    <w14:schemeClr w14:val="tx1"/>
                  </w14:solidFill>
                </w14:textFill>
              </w:rPr>
              <w:t>待填入</w:t>
            </w:r>
          </w:p>
        </w:tc>
        <w:tc>
          <w:tcPr>
            <w:tcW w:w="1699" w:type="dxa"/>
            <w:tcBorders>
              <w:top w:val="single" w:color="auto" w:sz="4" w:space="0"/>
              <w:left w:val="single" w:color="auto" w:sz="4" w:space="0"/>
              <w:bottom w:val="single" w:color="auto" w:sz="4" w:space="0"/>
              <w:right w:val="single" w:color="auto" w:sz="4" w:space="0"/>
            </w:tcBorders>
            <w:vAlign w:val="center"/>
          </w:tcPr>
          <w:p w14:paraId="09C1F0B2">
            <w:pPr>
              <w:ind w:firstLine="440" w:firstLineChars="200"/>
              <w:rPr>
                <w:rFonts w:hint="eastAsia" w:ascii="仿宋" w:hAnsi="仿宋" w:eastAsia="仿宋" w:cs="仿宋"/>
                <w:color w:val="auto"/>
                <w:sz w:val="22"/>
                <w:szCs w:val="22"/>
                <w:lang w:val="en-US" w:eastAsia="zh-CN"/>
              </w:rPr>
            </w:pPr>
          </w:p>
        </w:tc>
      </w:tr>
      <w:tr w14:paraId="755C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B002238">
            <w:pPr>
              <w:spacing w:after="78"/>
              <w:rPr>
                <w:rFonts w:hint="default" w:ascii="仿宋" w:hAnsi="仿宋" w:eastAsia="仿宋" w:cs="仿宋"/>
                <w:color w:val="000000" w:themeColor="text1"/>
                <w:kern w:val="0"/>
                <w:sz w:val="22"/>
                <w:szCs w:val="22"/>
                <w:lang w:val="en-US" w:eastAsia="zh-CN"/>
                <w14:textFill>
                  <w14:solidFill>
                    <w14:schemeClr w14:val="tx1"/>
                  </w14:solidFill>
                </w14:textFill>
              </w:rPr>
            </w:pPr>
            <w:r>
              <w:rPr>
                <w:rFonts w:hint="eastAsia" w:ascii="仿宋" w:hAnsi="仿宋" w:eastAsia="仿宋" w:cs="仿宋"/>
                <w:color w:val="000000" w:themeColor="text1"/>
                <w:kern w:val="0"/>
                <w:sz w:val="22"/>
                <w:szCs w:val="22"/>
                <w:lang w:val="en-US" w:eastAsia="zh-CN"/>
                <w14:textFill>
                  <w14:solidFill>
                    <w14:schemeClr w14:val="tx1"/>
                  </w14:solidFill>
                </w14:textFill>
              </w:rPr>
              <w:t>商务参数</w:t>
            </w:r>
          </w:p>
        </w:tc>
        <w:tc>
          <w:tcPr>
            <w:tcW w:w="5406" w:type="dxa"/>
            <w:gridSpan w:val="3"/>
            <w:tcBorders>
              <w:top w:val="single" w:color="auto" w:sz="4" w:space="0"/>
              <w:left w:val="single" w:color="auto" w:sz="4" w:space="0"/>
              <w:bottom w:val="single" w:color="auto" w:sz="4" w:space="0"/>
              <w:right w:val="single" w:color="auto" w:sz="4" w:space="0"/>
            </w:tcBorders>
            <w:shd w:val="clear" w:color="auto" w:fill="FEE595" w:themeFill="accent3" w:themeFillTint="66"/>
            <w:vAlign w:val="center"/>
          </w:tcPr>
          <w:p w14:paraId="56D70B8D">
            <w:pPr>
              <w:numPr>
                <w:ilvl w:val="255"/>
                <w:numId w:val="0"/>
              </w:numPr>
              <w:spacing w:after="78"/>
              <w:ind w:left="0" w:leftChars="0" w:firstLine="0" w:firstLineChars="0"/>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val="en-US" w:eastAsia="zh-CN" w:bidi="ar-SA"/>
                <w14:textFill>
                  <w14:solidFill>
                    <w14:schemeClr w14:val="tx1"/>
                  </w14:solidFill>
                </w14:textFill>
              </w:rPr>
              <w:t>待填入</w:t>
            </w:r>
          </w:p>
        </w:tc>
        <w:tc>
          <w:tcPr>
            <w:tcW w:w="1699" w:type="dxa"/>
            <w:tcBorders>
              <w:top w:val="single" w:color="auto" w:sz="4" w:space="0"/>
              <w:left w:val="single" w:color="auto" w:sz="4" w:space="0"/>
              <w:bottom w:val="single" w:color="auto" w:sz="4" w:space="0"/>
              <w:right w:val="single" w:color="auto" w:sz="4" w:space="0"/>
            </w:tcBorders>
            <w:vAlign w:val="center"/>
          </w:tcPr>
          <w:p w14:paraId="742176C5">
            <w:pPr>
              <w:ind w:firstLine="440" w:firstLineChars="200"/>
              <w:rPr>
                <w:rFonts w:hint="eastAsia" w:ascii="仿宋" w:hAnsi="仿宋" w:eastAsia="仿宋" w:cs="仿宋"/>
                <w:color w:val="auto"/>
                <w:sz w:val="22"/>
                <w:szCs w:val="22"/>
                <w:lang w:val="en-US" w:eastAsia="zh-CN"/>
              </w:rPr>
            </w:pPr>
          </w:p>
        </w:tc>
      </w:tr>
      <w:tr w14:paraId="3146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1" w:hRule="atLeast"/>
          <w:jc w:val="center"/>
        </w:trPr>
        <w:tc>
          <w:tcPr>
            <w:tcW w:w="1290" w:type="dxa"/>
            <w:vMerge w:val="restart"/>
            <w:tcBorders>
              <w:top w:val="single" w:color="auto" w:sz="4" w:space="0"/>
              <w:left w:val="single" w:color="auto" w:sz="4" w:space="0"/>
              <w:right w:val="single" w:color="auto" w:sz="4" w:space="0"/>
            </w:tcBorders>
            <w:shd w:val="clear" w:color="auto" w:fill="auto"/>
            <w:vAlign w:val="center"/>
          </w:tcPr>
          <w:p w14:paraId="20154DAE">
            <w:pPr>
              <w:spacing w:after="78"/>
              <w:rPr>
                <w:rFonts w:hint="eastAsia" w:ascii="仿宋" w:hAnsi="仿宋" w:eastAsia="仿宋" w:cs="仿宋"/>
                <w:color w:val="000000" w:themeColor="text1"/>
                <w:kern w:val="0"/>
                <w:sz w:val="22"/>
                <w:szCs w:val="22"/>
                <w:lang w:val="en-US" w:eastAsia="zh-CN"/>
                <w14:textFill>
                  <w14:solidFill>
                    <w14:schemeClr w14:val="tx1"/>
                  </w14:solidFill>
                </w14:textFill>
              </w:rPr>
            </w:pPr>
            <w:r>
              <w:rPr>
                <w:rFonts w:hint="eastAsia" w:ascii="仿宋" w:hAnsi="仿宋" w:eastAsia="仿宋" w:cs="仿宋"/>
                <w:color w:val="000000" w:themeColor="text1"/>
                <w:kern w:val="0"/>
                <w:sz w:val="22"/>
                <w:szCs w:val="22"/>
                <w:lang w:val="en-US" w:eastAsia="zh-CN"/>
                <w14:textFill>
                  <w14:solidFill>
                    <w14:schemeClr w14:val="tx1"/>
                  </w14:solidFill>
                </w14:textFill>
              </w:rPr>
              <w:t>技术参数</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D1A057A">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1</w:t>
            </w:r>
          </w:p>
        </w:tc>
        <w:tc>
          <w:tcPr>
            <w:tcW w:w="813" w:type="dxa"/>
            <w:tcBorders>
              <w:top w:val="single" w:color="auto" w:sz="4" w:space="0"/>
              <w:left w:val="single" w:color="auto" w:sz="4" w:space="0"/>
              <w:right w:val="single" w:color="auto" w:sz="4" w:space="0"/>
            </w:tcBorders>
            <w:shd w:val="clear" w:color="auto" w:fill="auto"/>
            <w:vAlign w:val="center"/>
          </w:tcPr>
          <w:p w14:paraId="3803DC85">
            <w:pPr>
              <w:spacing w:line="0" w:lineRule="atLeas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bCs/>
                <w:sz w:val="24"/>
              </w:rPr>
              <w:t>应急电源安全管理平台硬件部署及使用</w:t>
            </w:r>
          </w:p>
        </w:tc>
        <w:tc>
          <w:tcPr>
            <w:tcW w:w="4025" w:type="dxa"/>
            <w:tcBorders>
              <w:top w:val="single" w:color="auto" w:sz="4" w:space="0"/>
              <w:left w:val="single" w:color="auto" w:sz="4" w:space="0"/>
              <w:right w:val="single" w:color="auto" w:sz="4" w:space="0"/>
            </w:tcBorders>
            <w:shd w:val="clear" w:color="auto" w:fill="auto"/>
            <w:vAlign w:val="center"/>
          </w:tcPr>
          <w:p w14:paraId="159D9BBB">
            <w:pPr>
              <w:spacing w:line="0" w:lineRule="atLeast"/>
              <w:rPr>
                <w:rFonts w:ascii="仿宋" w:hAnsi="仿宋" w:eastAsia="仿宋" w:cs="宋体"/>
                <w:sz w:val="24"/>
              </w:rPr>
            </w:pPr>
            <w:r>
              <w:rPr>
                <w:rFonts w:hint="eastAsia" w:ascii="仿宋" w:hAnsi="仿宋" w:eastAsia="仿宋" w:cs="宋体"/>
                <w:sz w:val="24"/>
              </w:rPr>
              <w:t>一、实际需求：</w:t>
            </w:r>
          </w:p>
          <w:p w14:paraId="7913D0D7">
            <w:pPr>
              <w:spacing w:line="0" w:lineRule="atLeast"/>
              <w:rPr>
                <w:rFonts w:ascii="仿宋" w:hAnsi="仿宋" w:eastAsia="仿宋" w:cs="宋体"/>
                <w:sz w:val="24"/>
              </w:rPr>
            </w:pPr>
            <w:r>
              <w:rPr>
                <w:rFonts w:hint="eastAsia" w:ascii="仿宋" w:hAnsi="仿宋" w:eastAsia="仿宋" w:cs="宋体"/>
                <w:sz w:val="24"/>
              </w:rPr>
              <w:t>1.1乙方需要对全院UPS/EPS电源和电池组（具体数量及参数见附件：医院应急电源台账（后勤科）,负责搭建应急电源安全管理平台，基于数据进行运维，</w:t>
            </w:r>
            <w:r>
              <w:rPr>
                <w:rFonts w:hint="eastAsia" w:ascii="仿宋" w:hAnsi="仿宋" w:eastAsia="仿宋" w:cs="宋体"/>
                <w:b/>
                <w:bCs/>
                <w:sz w:val="24"/>
              </w:rPr>
              <w:t>该项工作应在合同签订后一个季度内完成</w:t>
            </w:r>
            <w:r>
              <w:rPr>
                <w:rFonts w:hint="eastAsia" w:ascii="仿宋" w:hAnsi="仿宋" w:eastAsia="仿宋" w:cs="宋体"/>
                <w:sz w:val="24"/>
              </w:rPr>
              <w:t>。即对应急性能和健康状态进行实时监测，补足应急电源管理的短板，实时掌控整个应急电源系统的健康状态，保障核心负载的供电/稳压功能。</w:t>
            </w:r>
          </w:p>
          <w:p w14:paraId="1ACBCAD0">
            <w:pPr>
              <w:spacing w:line="0" w:lineRule="atLeast"/>
              <w:rPr>
                <w:rFonts w:ascii="仿宋" w:hAnsi="仿宋" w:eastAsia="仿宋" w:cs="宋体"/>
                <w:sz w:val="24"/>
              </w:rPr>
            </w:pPr>
            <w:r>
              <w:rPr>
                <w:rFonts w:hint="eastAsia" w:ascii="仿宋" w:hAnsi="仿宋" w:eastAsia="仿宋" w:cs="宋体"/>
                <w:sz w:val="24"/>
              </w:rPr>
              <w:t>1.2 运维乙方服务期间对医院增加或减少10%个点位（每台UPS/EPS+电池为一个点位）以内时，医院不增加和减少服务费用。</w:t>
            </w:r>
          </w:p>
          <w:p w14:paraId="206D6E78">
            <w:pPr>
              <w:spacing w:line="0" w:lineRule="atLeast"/>
              <w:rPr>
                <w:rFonts w:ascii="仿宋" w:hAnsi="仿宋" w:eastAsia="仿宋" w:cs="宋体"/>
                <w:sz w:val="24"/>
              </w:rPr>
            </w:pPr>
            <w:r>
              <w:rPr>
                <w:rFonts w:hint="eastAsia" w:ascii="仿宋" w:hAnsi="仿宋" w:eastAsia="仿宋" w:cs="宋体"/>
                <w:sz w:val="24"/>
              </w:rPr>
              <w:t>1.3运维供应商投标需列出每个点位需要的服务费用，当医院增加超过10%个点位部分（不含第10%个点位）时，医院需要支付给运维供应商超出部分点位的服务费用。当医院减少超过10个点位部分（不含第10个点位）时，医院需要扣除运维供应商超出部分点位的服务费用。（增加/扣除的总费用=超出的点位数量*点位的服务单价）。</w:t>
            </w:r>
          </w:p>
          <w:p w14:paraId="544BB543">
            <w:pPr>
              <w:spacing w:line="0" w:lineRule="atLeast"/>
              <w:rPr>
                <w:rFonts w:ascii="仿宋" w:hAnsi="仿宋" w:eastAsia="仿宋" w:cs="宋体"/>
                <w:sz w:val="24"/>
              </w:rPr>
            </w:pPr>
            <w:r>
              <w:rPr>
                <w:rFonts w:hint="eastAsia" w:ascii="仿宋" w:hAnsi="仿宋" w:eastAsia="仿宋" w:cs="宋体"/>
                <w:sz w:val="24"/>
              </w:rPr>
              <w:t>1.4乙方应确保服务合同期内UPS/EPS电源核心安全维护平台监测硬件及信息传输回路平稳、正常运行、对使用过程中发现的故障及时处理，且招标人无需支付任何费用。</w:t>
            </w:r>
          </w:p>
          <w:p w14:paraId="0AF4394D">
            <w:pPr>
              <w:spacing w:line="0" w:lineRule="atLeast"/>
              <w:rPr>
                <w:rFonts w:ascii="仿宋" w:hAnsi="仿宋" w:eastAsia="仿宋" w:cs="宋体"/>
                <w:sz w:val="24"/>
              </w:rPr>
            </w:pPr>
            <w:r>
              <w:rPr>
                <w:rFonts w:hint="eastAsia" w:ascii="仿宋" w:hAnsi="仿宋" w:eastAsia="仿宋" w:cs="宋体"/>
                <w:sz w:val="24"/>
              </w:rPr>
              <w:t>二、传输单元技术规格</w:t>
            </w:r>
          </w:p>
          <w:p w14:paraId="24BE1022">
            <w:pPr>
              <w:spacing w:line="0" w:lineRule="atLeast"/>
              <w:rPr>
                <w:rFonts w:ascii="仿宋" w:hAnsi="仿宋" w:eastAsia="仿宋" w:cs="宋体"/>
                <w:sz w:val="24"/>
              </w:rPr>
            </w:pPr>
            <w:r>
              <w:rPr>
                <w:rFonts w:hint="eastAsia" w:ascii="仿宋" w:hAnsi="仿宋" w:eastAsia="仿宋" w:cs="宋体"/>
                <w:sz w:val="24"/>
              </w:rPr>
              <w:t>2.1 传输单元的接口方式需满足：RS485 (A+, B-) ,RS232；工作温湿度满足：</w:t>
            </w:r>
            <w:r>
              <w:rPr>
                <w:rFonts w:hint="eastAsia" w:ascii="仿宋" w:hAnsi="仿宋" w:eastAsia="仿宋" w:cs="宋体"/>
                <w:sz w:val="24"/>
                <w:lang w:val="en-US" w:eastAsia="zh-CN"/>
              </w:rPr>
              <w:t>0</w:t>
            </w:r>
            <w:r>
              <w:rPr>
                <w:rFonts w:hint="eastAsia" w:ascii="仿宋" w:hAnsi="仿宋" w:eastAsia="仿宋" w:cs="宋体"/>
                <w:sz w:val="24"/>
              </w:rPr>
              <w:t>～85℃，10～85%，存储温湿度满足：- 40～105℃， 5～95RH （无凝露）；工作电压：5～18V。接口满足不同品牌，不同型号的UPS和电池的接入。</w:t>
            </w:r>
          </w:p>
          <w:p w14:paraId="22A2CE10">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2.2 传输单元模块应具备任何故障甚至停机状态下的监控功能，监控设备需兼备不断电的功能，当监控设备的电源缺失情况下，其自身续航时间需能够保持2小时，且通信不中断；投标时应提供相关证明材料。</w:t>
            </w:r>
          </w:p>
          <w:p w14:paraId="4295B0AC">
            <w:pPr>
              <w:spacing w:line="0" w:lineRule="atLeast"/>
              <w:rPr>
                <w:rFonts w:ascii="仿宋" w:hAnsi="仿宋" w:eastAsia="仿宋" w:cs="宋体"/>
                <w:sz w:val="24"/>
              </w:rPr>
            </w:pPr>
            <w:r>
              <w:rPr>
                <w:rFonts w:hint="eastAsia" w:ascii="仿宋" w:hAnsi="仿宋" w:eastAsia="仿宋" w:cs="宋体"/>
                <w:sz w:val="24"/>
              </w:rPr>
              <w:t>2.3 传输单元模块功耗应低于0.5W，避免出现内部过热，降低监控模块寿命。</w:t>
            </w:r>
          </w:p>
          <w:p w14:paraId="269F0780">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2.4 传输单元模块带条形码或者二维码，可通过扫码方式实现配置和组网，安装需要简便，人机交互好。</w:t>
            </w:r>
          </w:p>
          <w:p w14:paraId="6330BA60">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2.5 传输单元模块支持WIFI/GPRS/4G/TCP等不同的联网方式，适应不同的应用场景，不同的设备在不同地区可以通过不同的网络连接方式连接到同一个APP/WEB平台，实现集中监控。</w:t>
            </w:r>
          </w:p>
          <w:p w14:paraId="18DE8199">
            <w:pPr>
              <w:spacing w:line="0" w:lineRule="atLeast"/>
              <w:rPr>
                <w:rFonts w:ascii="仿宋" w:hAnsi="仿宋" w:eastAsia="仿宋" w:cs="宋体"/>
                <w:sz w:val="24"/>
              </w:rPr>
            </w:pPr>
            <w:r>
              <w:rPr>
                <w:rFonts w:hint="eastAsia" w:ascii="仿宋" w:hAnsi="仿宋" w:eastAsia="仿宋" w:cs="宋体"/>
                <w:sz w:val="24"/>
              </w:rPr>
              <w:t>2.6传输单元模块支持断电，断网后重连的能力，需自带看门狗保证连接稳定性。</w:t>
            </w:r>
          </w:p>
          <w:p w14:paraId="6BFD9079">
            <w:pPr>
              <w:spacing w:line="0" w:lineRule="atLeast"/>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2.7每组电池箱体内需额外配备自动脉冲式热气溶胶灭火装置，做到电池安全管理的灭早、灭小、灭萌芽的原则。投标时应提供相关证明材料。</w:t>
            </w:r>
          </w:p>
        </w:tc>
        <w:tc>
          <w:tcPr>
            <w:tcW w:w="1699" w:type="dxa"/>
            <w:tcBorders>
              <w:top w:val="single" w:color="auto" w:sz="4" w:space="0"/>
              <w:left w:val="single" w:color="auto" w:sz="4" w:space="0"/>
              <w:right w:val="single" w:color="auto" w:sz="4" w:space="0"/>
            </w:tcBorders>
            <w:vAlign w:val="center"/>
          </w:tcPr>
          <w:p w14:paraId="0B4DAF28">
            <w:pPr>
              <w:ind w:firstLine="440" w:firstLineChars="200"/>
              <w:rPr>
                <w:rFonts w:hint="eastAsia" w:ascii="仿宋" w:hAnsi="仿宋" w:eastAsia="仿宋" w:cs="仿宋"/>
                <w:color w:val="auto"/>
                <w:sz w:val="22"/>
                <w:szCs w:val="22"/>
                <w:lang w:val="en-US" w:eastAsia="zh-CN"/>
              </w:rPr>
            </w:pPr>
          </w:p>
        </w:tc>
      </w:tr>
      <w:tr w14:paraId="3A39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90" w:type="dxa"/>
            <w:vMerge w:val="continue"/>
            <w:tcBorders>
              <w:left w:val="single" w:color="auto" w:sz="4" w:space="0"/>
              <w:right w:val="single" w:color="auto" w:sz="4" w:space="0"/>
            </w:tcBorders>
            <w:shd w:val="clear" w:color="auto" w:fill="auto"/>
            <w:vAlign w:val="center"/>
          </w:tcPr>
          <w:p w14:paraId="61F2DBAF">
            <w:pPr>
              <w:spacing w:after="78"/>
              <w:ind w:left="0" w:leftChars="0" w:firstLine="0" w:firstLineChars="0"/>
            </w:pP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F4DB6D8">
            <w:pPr>
              <w:spacing w:line="420" w:lineRule="exact"/>
              <w:jc w:val="center"/>
            </w:pPr>
            <w:r>
              <w:rPr>
                <w:rFonts w:hint="eastAsia" w:ascii="仿宋" w:hAnsi="仿宋" w:eastAsia="仿宋" w:cs="宋体"/>
                <w:sz w:val="24"/>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6CF4CF7">
            <w:pPr>
              <w:spacing w:line="420" w:lineRule="exact"/>
              <w:jc w:val="center"/>
            </w:pPr>
            <w:r>
              <w:rPr>
                <w:rFonts w:hint="eastAsia" w:ascii="仿宋" w:hAnsi="仿宋" w:eastAsia="仿宋" w:cs="宋体"/>
                <w:sz w:val="24"/>
              </w:rPr>
              <w:t>应急电源安全管理平台软件平台部署及使用</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0C6F4A6E">
            <w:pPr>
              <w:numPr>
                <w:ilvl w:val="0"/>
                <w:numId w:val="2"/>
              </w:numPr>
              <w:spacing w:line="0" w:lineRule="atLeast"/>
              <w:textAlignment w:val="center"/>
              <w:rPr>
                <w:rFonts w:ascii="仿宋" w:hAnsi="仿宋" w:eastAsia="仿宋" w:cs="宋体"/>
                <w:sz w:val="24"/>
              </w:rPr>
            </w:pPr>
            <w:r>
              <w:rPr>
                <w:rFonts w:hint="eastAsia" w:ascii="仿宋" w:hAnsi="仿宋" w:eastAsia="仿宋" w:cs="宋体"/>
                <w:sz w:val="24"/>
              </w:rPr>
              <w:t>应急电源安全管理平台应由感知层、网络层、平台层和应用层构成，感知层采集设备数据后通过网络层实时上传到平台层，平台层对数据进行实时处理分析并传输到应用层。</w:t>
            </w:r>
          </w:p>
          <w:p w14:paraId="0368F16D">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2、平台可通过兼容APPLE和ANDROID不同的手机平台手机APP或电脑PC端Web实时查看管理设备，可满足不同终端进行查看的需要。投标时应提供手机安装后APPLE APP截图和ANDROID APP截图，电脑PC端首页截图，项目验收时将进行测试，如果不具备将无法通过验收。投标时应提供相关证明材料。</w:t>
            </w:r>
          </w:p>
          <w:p w14:paraId="7C94DF0C">
            <w:pPr>
              <w:spacing w:line="0" w:lineRule="atLeast"/>
              <w:textAlignment w:val="center"/>
              <w:rPr>
                <w:rFonts w:ascii="仿宋" w:hAnsi="仿宋" w:eastAsia="仿宋" w:cs="宋体"/>
                <w:sz w:val="24"/>
              </w:rPr>
            </w:pPr>
            <w:r>
              <w:rPr>
                <w:rFonts w:hint="eastAsia" w:ascii="仿宋" w:hAnsi="仿宋" w:eastAsia="仿宋" w:cs="宋体"/>
                <w:sz w:val="24"/>
              </w:rPr>
              <w:t>3、传输单元模块负责采集设备信息的传输单元应带条形码或者二维码，通过扫码方式实现配置和组网，安装需要简便，人机交互好。</w:t>
            </w:r>
          </w:p>
          <w:p w14:paraId="2B973E1D">
            <w:pPr>
              <w:spacing w:line="0" w:lineRule="atLeast"/>
              <w:textAlignment w:val="center"/>
              <w:rPr>
                <w:rFonts w:ascii="仿宋" w:hAnsi="仿宋" w:eastAsia="仿宋" w:cs="宋体"/>
                <w:sz w:val="24"/>
              </w:rPr>
            </w:pPr>
            <w:r>
              <w:rPr>
                <w:rFonts w:hint="eastAsia" w:ascii="仿宋" w:hAnsi="仿宋" w:eastAsia="仿宋" w:cs="宋体"/>
                <w:sz w:val="24"/>
              </w:rPr>
              <w:t>4、传输单元模块传输单元配置时通过手机APP自动定位站点位置，也可手动输入位置。</w:t>
            </w:r>
          </w:p>
          <w:p w14:paraId="4D364489">
            <w:pPr>
              <w:spacing w:line="0" w:lineRule="atLeast"/>
              <w:rPr>
                <w:rFonts w:ascii="仿宋" w:hAnsi="仿宋" w:eastAsia="仿宋" w:cs="宋体"/>
                <w:sz w:val="24"/>
              </w:rPr>
            </w:pPr>
            <w:r>
              <w:rPr>
                <w:rFonts w:hint="eastAsia" w:ascii="仿宋" w:hAnsi="仿宋" w:eastAsia="仿宋" w:cs="宋体"/>
                <w:sz w:val="24"/>
              </w:rPr>
              <w:t>5、传输单元模块支持WIFI/GPRS/TCP/4G等不同的联网方式，适应不同的应用场景，不同的设备在不同地点可以通过不同组网方式连接到平台层，实现集中监控。投标时应提供相关证明材料。</w:t>
            </w:r>
          </w:p>
          <w:p w14:paraId="11677F0A">
            <w:pPr>
              <w:spacing w:line="0" w:lineRule="atLeast"/>
              <w:textAlignment w:val="center"/>
              <w:rPr>
                <w:rFonts w:ascii="仿宋" w:hAnsi="仿宋" w:eastAsia="仿宋" w:cs="宋体"/>
                <w:sz w:val="24"/>
              </w:rPr>
            </w:pPr>
            <w:r>
              <w:rPr>
                <w:rFonts w:hint="eastAsia" w:ascii="仿宋" w:hAnsi="仿宋" w:eastAsia="仿宋" w:cs="宋体"/>
                <w:sz w:val="24"/>
              </w:rPr>
              <w:t>6、平台应按照SaaS型部署（本地不需要购买服务器），具有高稳定性、安全可靠，能够支持在线实时扩容，积木式添加设备，应用灵活、便捷、稳定。</w:t>
            </w:r>
          </w:p>
          <w:p w14:paraId="315F727D">
            <w:pPr>
              <w:spacing w:line="0" w:lineRule="atLeast"/>
              <w:textAlignment w:val="center"/>
              <w:rPr>
                <w:rFonts w:ascii="仿宋" w:hAnsi="仿宋" w:eastAsia="仿宋" w:cs="宋体"/>
                <w:sz w:val="24"/>
              </w:rPr>
            </w:pPr>
            <w:r>
              <w:rPr>
                <w:rFonts w:hint="eastAsia" w:ascii="仿宋" w:hAnsi="仿宋" w:eastAsia="仿宋" w:cs="宋体"/>
                <w:sz w:val="24"/>
              </w:rPr>
              <w:t>7、平台应有信息处理分析及存储，能够自动存储三年以上的设备信息，信息包含记录发生的时间，设备型号以及具体的事件信息。</w:t>
            </w:r>
          </w:p>
          <w:p w14:paraId="776576FF">
            <w:pPr>
              <w:spacing w:line="0" w:lineRule="atLeast"/>
              <w:textAlignment w:val="center"/>
              <w:rPr>
                <w:rFonts w:ascii="仿宋" w:hAnsi="仿宋" w:eastAsia="仿宋" w:cs="宋体"/>
                <w:sz w:val="24"/>
              </w:rPr>
            </w:pPr>
            <w:r>
              <w:rPr>
                <w:rFonts w:hint="eastAsia" w:ascii="仿宋" w:hAnsi="仿宋" w:eastAsia="仿宋" w:cs="宋体"/>
                <w:sz w:val="24"/>
              </w:rPr>
              <w:t>8、平台应具有设备管理功能，能够对接入每个设备都有独立的ID进行分类管理；</w:t>
            </w:r>
          </w:p>
          <w:p w14:paraId="3D0B213E">
            <w:pPr>
              <w:spacing w:line="0" w:lineRule="atLeast"/>
              <w:textAlignment w:val="center"/>
              <w:rPr>
                <w:rFonts w:ascii="仿宋" w:hAnsi="仿宋" w:eastAsia="仿宋" w:cs="宋体"/>
                <w:sz w:val="24"/>
              </w:rPr>
            </w:pPr>
            <w:r>
              <w:rPr>
                <w:rFonts w:hint="eastAsia" w:ascii="仿宋" w:hAnsi="仿宋" w:eastAsia="仿宋" w:cs="宋体"/>
                <w:sz w:val="24"/>
              </w:rPr>
              <w:t>9、平台应具有设备管理功能，应支持设备按照站点分组，不同的站点具有不同的设备品类和产品型号及相关信息，可划分所属单位人员进行管理，当需要远程指导时可就近操作。</w:t>
            </w:r>
          </w:p>
          <w:p w14:paraId="50341179">
            <w:pPr>
              <w:spacing w:line="0" w:lineRule="atLeast"/>
              <w:textAlignment w:val="center"/>
              <w:rPr>
                <w:rFonts w:ascii="仿宋" w:hAnsi="仿宋" w:eastAsia="仿宋" w:cs="宋体"/>
                <w:sz w:val="24"/>
              </w:rPr>
            </w:pPr>
            <w:r>
              <w:rPr>
                <w:rFonts w:hint="eastAsia" w:ascii="仿宋" w:hAnsi="仿宋" w:eastAsia="仿宋" w:cs="宋体"/>
                <w:sz w:val="24"/>
              </w:rPr>
              <w:t>10、平台应具有设备信息查看功能，可通过手机APP和PC端实时查看设备信息详情。</w:t>
            </w:r>
          </w:p>
          <w:p w14:paraId="45DDD05E">
            <w:pPr>
              <w:spacing w:line="0" w:lineRule="atLeast"/>
              <w:textAlignment w:val="center"/>
              <w:rPr>
                <w:rFonts w:ascii="仿宋" w:hAnsi="仿宋" w:eastAsia="仿宋" w:cs="宋体"/>
                <w:sz w:val="24"/>
              </w:rPr>
            </w:pPr>
            <w:r>
              <w:rPr>
                <w:rFonts w:hint="eastAsia" w:ascii="仿宋" w:hAnsi="仿宋" w:eastAsia="仿宋" w:cs="宋体"/>
                <w:sz w:val="24"/>
              </w:rPr>
              <w:t>11、平台应具有设备告警管理功能，具有完善的事件及告警机制，支持实时告警功能。</w:t>
            </w:r>
          </w:p>
          <w:p w14:paraId="62993BCF">
            <w:pPr>
              <w:spacing w:line="0" w:lineRule="atLeast"/>
              <w:textAlignment w:val="center"/>
              <w:rPr>
                <w:rFonts w:ascii="仿宋" w:hAnsi="仿宋" w:eastAsia="仿宋" w:cs="宋体"/>
                <w:sz w:val="24"/>
              </w:rPr>
            </w:pPr>
            <w:r>
              <w:rPr>
                <w:rFonts w:hint="eastAsia" w:ascii="仿宋" w:hAnsi="仿宋" w:eastAsia="仿宋" w:cs="宋体"/>
                <w:sz w:val="24"/>
              </w:rPr>
              <w:t>12、平台应具有设备告警管理功能，能够自定义设备告警阈值。</w:t>
            </w:r>
          </w:p>
          <w:p w14:paraId="1ADA3EC7">
            <w:pPr>
              <w:spacing w:line="0" w:lineRule="atLeast"/>
              <w:textAlignment w:val="center"/>
              <w:rPr>
                <w:rFonts w:ascii="仿宋" w:hAnsi="仿宋" w:eastAsia="仿宋" w:cs="宋体"/>
                <w:sz w:val="24"/>
              </w:rPr>
            </w:pPr>
            <w:r>
              <w:rPr>
                <w:rFonts w:hint="eastAsia" w:ascii="仿宋" w:hAnsi="仿宋" w:eastAsia="仿宋" w:cs="宋体"/>
                <w:sz w:val="24"/>
              </w:rPr>
              <w:t>13、平台应具有设备告警管理功能，可通过手机APP设置短信、电话、APP弹窗和邮件等告警方式供用户选择。投标时应提供相关证明材料。</w:t>
            </w:r>
          </w:p>
          <w:p w14:paraId="476484EA">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14、平台应具有一键维护功能，紧急情况下可一键拨打服务商电话，不需单独再找联系方式。投标时应提供相关证明材料。</w:t>
            </w:r>
          </w:p>
          <w:p w14:paraId="00F7D2B1">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15、平台应具有设备分享功能，第一次添加设备的用户被认定为超级管理员，能够分享设备的相关数据和告警信息给最多10个授权人；也可删除被分享人，被分享者不具备分享权限。投标时应提供相关证明材料。</w:t>
            </w:r>
          </w:p>
          <w:p w14:paraId="62DD2923">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16、平台应具有UPS巡检记录电子化功能，运维人员在UPS巡检后可通过手机APP进行巡检记录描述，上传现场设备状态照片和巡检服务单照片到平台上，可追溯设备的历史运维记录；投标时应提供相关证明材料。</w:t>
            </w:r>
          </w:p>
          <w:p w14:paraId="349A887C">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17、平台应具有现场扫设备二维码获取设备详情和巡检记录授权管理模块，授权不同的工程师或管理人员对该设备进行巡检记录和设备信息查看的权限；</w:t>
            </w:r>
          </w:p>
          <w:p w14:paraId="02937D4E">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18、平台应具有用3D实景相机建模的设备实景显示功能；投标时应提供相关证明材料。</w:t>
            </w:r>
          </w:p>
          <w:p w14:paraId="2B423B40">
            <w:pPr>
              <w:spacing w:line="0" w:lineRule="atLeast"/>
              <w:rPr>
                <w:rFonts w:ascii="仿宋" w:hAnsi="仿宋" w:eastAsia="仿宋" w:cs="宋体"/>
                <w:sz w:val="24"/>
              </w:rPr>
            </w:pPr>
            <w:r>
              <w:rPr>
                <w:rFonts w:hint="eastAsia" w:ascii="仿宋" w:hAnsi="仿宋" w:eastAsia="仿宋" w:cs="宋体"/>
                <w:sz w:val="24"/>
              </w:rPr>
              <w:t>19、平台应具有废旧电池回收功能模块，能够查看回收电池节数、回收电池数量、回收时间、回收合同信息，可新增回收记录以及查看回收记录明细；投标时应提供相关证明材料。</w:t>
            </w:r>
          </w:p>
          <w:p w14:paraId="0E5DB4D2">
            <w:pPr>
              <w:spacing w:line="0" w:lineRule="atLeast"/>
              <w:rPr>
                <w:rFonts w:ascii="仿宋" w:hAnsi="仿宋" w:eastAsia="仿宋" w:cs="宋体"/>
                <w:sz w:val="24"/>
              </w:rPr>
            </w:pPr>
            <w:r>
              <w:rPr>
                <w:rFonts w:hint="eastAsia" w:ascii="仿宋" w:hAnsi="仿宋" w:eastAsia="仿宋" w:cs="宋体"/>
                <w:sz w:val="24"/>
              </w:rPr>
              <w:t>20、平台应具有人员管理模块，可以设置人员所在部门、职位以及操作权限（操作权限为全院管理权限或者部门内管理权限）。</w:t>
            </w:r>
          </w:p>
          <w:p w14:paraId="7331F03B">
            <w:pPr>
              <w:spacing w:line="0" w:lineRule="atLeast"/>
              <w:rPr>
                <w:rFonts w:ascii="仿宋" w:hAnsi="仿宋" w:eastAsia="仿宋" w:cs="宋体"/>
                <w:sz w:val="24"/>
              </w:rPr>
            </w:pPr>
            <w:r>
              <w:rPr>
                <w:rFonts w:hint="eastAsia" w:ascii="仿宋" w:hAnsi="仿宋" w:eastAsia="仿宋" w:cs="宋体"/>
                <w:sz w:val="24"/>
              </w:rPr>
              <w:t>21、平台应具有备件管理模块，可以管理自有备件及第三方备件；</w:t>
            </w:r>
          </w:p>
          <w:p w14:paraId="3FBBA1EC">
            <w:pPr>
              <w:spacing w:line="0" w:lineRule="atLeast"/>
              <w:rPr>
                <w:rFonts w:ascii="仿宋" w:hAnsi="仿宋" w:eastAsia="仿宋" w:cs="宋体"/>
                <w:sz w:val="24"/>
              </w:rPr>
            </w:pPr>
            <w:r>
              <w:rPr>
                <w:rFonts w:hint="eastAsia" w:ascii="仿宋" w:hAnsi="仿宋" w:eastAsia="仿宋" w:cs="宋体"/>
                <w:sz w:val="24"/>
              </w:rPr>
              <w:t>22、平台应具有周报管理模块，可以设置周报接收人的邮箱和查看历史周报列表；</w:t>
            </w:r>
          </w:p>
          <w:p w14:paraId="67FD36BC">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23、平台应具有保险服务模块，能够查看保单详情、保单有效期和赔付记录等；投标时应提供相关证明材料。</w:t>
            </w:r>
          </w:p>
          <w:p w14:paraId="6BE388F3">
            <w:pPr>
              <w:spacing w:line="0" w:lineRule="atLeast"/>
              <w:rPr>
                <w:rFonts w:ascii="仿宋" w:hAnsi="仿宋" w:eastAsia="仿宋" w:cs="宋体"/>
                <w:sz w:val="24"/>
              </w:rPr>
            </w:pPr>
            <w:r>
              <w:rPr>
                <w:rFonts w:hint="eastAsia" w:ascii="仿宋" w:hAnsi="仿宋" w:eastAsia="仿宋" w:cs="宋体"/>
                <w:sz w:val="24"/>
              </w:rPr>
              <w:t>24、平台应具有文档管理功能模块，能够保存服务期间产生的所有文档，比如规章制度、维修预案、巡检点检表、维修单、风险追踪过程表、整改通知单；</w:t>
            </w:r>
          </w:p>
          <w:p w14:paraId="3DCB6F32">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25、平台应具有查看UPS/EPS前后输入输出的配电空开（输入空开、静态旁路空开、手动维修旁路空开和输出空开）功能，并提供操作说明指示，可在维护过程中能够快速维护。</w:t>
            </w:r>
          </w:p>
          <w:p w14:paraId="4FD6D62D">
            <w:pPr>
              <w:spacing w:line="0" w:lineRule="atLeast"/>
              <w:rPr>
                <w:rFonts w:ascii="仿宋" w:hAnsi="仿宋" w:eastAsia="仿宋" w:cs="宋体"/>
                <w:sz w:val="24"/>
              </w:rPr>
            </w:pPr>
            <w:r>
              <w:rPr>
                <w:rFonts w:hint="eastAsia" w:ascii="仿宋" w:hAnsi="仿宋" w:eastAsia="仿宋" w:cs="宋体"/>
                <w:sz w:val="24"/>
              </w:rPr>
              <w:t>26、平台应能够将UPS/EPS功能模块和电池功能模块相互关联，以便构成完整的UPS/EPS系统。</w:t>
            </w:r>
          </w:p>
          <w:p w14:paraId="12F5E07C">
            <w:pPr>
              <w:spacing w:line="0" w:lineRule="atLeast"/>
              <w:rPr>
                <w:rFonts w:ascii="仿宋" w:hAnsi="仿宋" w:eastAsia="仿宋" w:cs="宋体"/>
                <w:sz w:val="24"/>
              </w:rPr>
            </w:pPr>
            <w:r>
              <w:rPr>
                <w:rFonts w:hint="eastAsia" w:ascii="仿宋" w:hAnsi="仿宋" w:eastAsia="仿宋" w:cs="宋体"/>
                <w:sz w:val="24"/>
              </w:rPr>
              <w:t>27、平台应具备记录全院所有应急电源待办事项记录功能，能够查看事项的状态、优先级、处理日期等。</w:t>
            </w:r>
          </w:p>
          <w:p w14:paraId="2E372D58">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28、平台应具有记录与查看整改记录功能，整改记录应包括网点、使用科室、风险设备、风险等级、整改说明、相关整改文件、整改图片、整改进度节点、整改时间等信息，并可导出统计报表。</w:t>
            </w:r>
          </w:p>
          <w:p w14:paraId="516BD283">
            <w:pPr>
              <w:spacing w:line="0" w:lineRule="atLeast"/>
              <w:rPr>
                <w:rFonts w:ascii="仿宋" w:hAnsi="仿宋" w:eastAsia="仿宋" w:cs="宋体"/>
                <w:sz w:val="24"/>
              </w:rPr>
            </w:pPr>
            <w:r>
              <w:rPr>
                <w:rFonts w:hint="eastAsia" w:ascii="仿宋" w:hAnsi="仿宋" w:eastAsia="仿宋" w:cs="宋体"/>
                <w:sz w:val="24"/>
              </w:rPr>
              <w:t>29、平台应具有记录与查看全院所有应急电源事件处置记录功能，事件记录应包括网点名称、位置、事件、事件处置结果、开始处理时间、处理结束时间、处理单位、处理人、处理照片等信息，并可导出统计报表。投标时应提供相关证明材料。</w:t>
            </w:r>
          </w:p>
          <w:p w14:paraId="1C4B1918">
            <w:pPr>
              <w:spacing w:line="0" w:lineRule="atLeast"/>
              <w:rPr>
                <w:rFonts w:ascii="仿宋" w:hAnsi="仿宋" w:eastAsia="仿宋" w:cs="宋体"/>
                <w:sz w:val="24"/>
              </w:rPr>
            </w:pPr>
            <w:r>
              <w:rPr>
                <w:rFonts w:hint="eastAsia" w:ascii="仿宋" w:hAnsi="仿宋" w:eastAsia="仿宋" w:cs="宋体"/>
                <w:sz w:val="24"/>
              </w:rPr>
              <w:t>30、平台应具有故障上报与查看设备故障记录功能，通过APP可以上报全院所有应急电源故障信息，并查看跟踪该故障信息处理流程记录。</w:t>
            </w:r>
          </w:p>
          <w:p w14:paraId="187D09AC">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31、平台应具有设备操作记录功能，在记录设备巡检记录时应可记录对设备的操作信息；操作记录应包括开机/关机/断电测试/打开电池开关/断开电池开关/手动转旁路/更换电池/更换主机/清理灰尘、操作补充描述、操作原因、现场图片、操作人、操作单位、操作时间等信息。</w:t>
            </w:r>
          </w:p>
          <w:p w14:paraId="12F6B563">
            <w:pPr>
              <w:spacing w:line="0" w:lineRule="atLeast"/>
              <w:rPr>
                <w:rFonts w:ascii="仿宋" w:hAnsi="仿宋" w:eastAsia="仿宋" w:cs="宋体"/>
                <w:sz w:val="24"/>
              </w:rPr>
            </w:pPr>
            <w:r>
              <w:rPr>
                <w:rFonts w:hint="eastAsia" w:ascii="仿宋" w:hAnsi="仿宋" w:eastAsia="仿宋" w:cs="宋体"/>
                <w:sz w:val="24"/>
              </w:rPr>
              <w:t>32、平台应具备风险实时监测及确认功能，应在系统某一独立页面实时展现风险事件作为值守监测，风险事件应包含设备科室、位置、事件、发生时间、确认状态；并可人工点击确认风险事件。确保风险事件及确认情况实时可监管。</w:t>
            </w:r>
          </w:p>
          <w:p w14:paraId="70885301">
            <w:pPr>
              <w:spacing w:line="0" w:lineRule="atLeast"/>
              <w:rPr>
                <w:rFonts w:ascii="仿宋" w:hAnsi="仿宋" w:eastAsia="仿宋" w:cs="宋体"/>
                <w:sz w:val="24"/>
              </w:rPr>
            </w:pPr>
            <w:r>
              <w:rPr>
                <w:rFonts w:hint="eastAsia" w:ascii="仿宋" w:hAnsi="仿宋" w:eastAsia="仿宋" w:cs="宋体"/>
                <w:sz w:val="24"/>
              </w:rPr>
              <w:t>33、平台应具备API接口，能够对接医院后勤管理平台或BIM平台。</w:t>
            </w:r>
          </w:p>
          <w:p w14:paraId="252367A4">
            <w:pPr>
              <w:spacing w:line="0" w:lineRule="atLeast"/>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34、乙方应确保服务合同期内应急电源安全管理平台软件系统平稳、正常运行、对使用过程中发现的平台故障及时处理，且甲方无需支付任何费用。</w:t>
            </w:r>
          </w:p>
        </w:tc>
        <w:tc>
          <w:tcPr>
            <w:tcW w:w="1699" w:type="dxa"/>
            <w:tcBorders>
              <w:left w:val="single" w:color="auto" w:sz="4" w:space="0"/>
              <w:right w:val="single" w:color="auto" w:sz="4" w:space="0"/>
            </w:tcBorders>
            <w:vAlign w:val="center"/>
          </w:tcPr>
          <w:p w14:paraId="2205DD75">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r>
      <w:tr w14:paraId="528E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90" w:type="dxa"/>
            <w:vMerge w:val="continue"/>
            <w:tcBorders>
              <w:left w:val="single" w:color="auto" w:sz="4" w:space="0"/>
              <w:right w:val="single" w:color="auto" w:sz="4" w:space="0"/>
            </w:tcBorders>
            <w:shd w:val="clear" w:color="auto" w:fill="auto"/>
            <w:vAlign w:val="center"/>
          </w:tcPr>
          <w:p w14:paraId="7211086C">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2E17DE26">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3</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B197FF7">
            <w:pPr>
              <w:spacing w:line="0" w:lineRule="atLeas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AI大模型深度分析风险诊断服务</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top"/>
          </w:tcPr>
          <w:p w14:paraId="4FB2DE8D">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1、平台可进行对单节电池温度趋势及热失控风险实时分析诊断，提供异常预警及诊断报告。投标时应提供功能截图证明材料。</w:t>
            </w:r>
          </w:p>
          <w:p w14:paraId="45DE29DC">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2、平台可进行对单节电池内阻趋势及寿命实时分析诊断，并提供异常预警及诊断报告。</w:t>
            </w:r>
          </w:p>
          <w:p w14:paraId="33ECAD26">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3、平台可进行对单节电池电压趋势及过充风险实时分析诊断，并提供异常预警及诊断报告。投标时应提供功能截图证明材料。</w:t>
            </w:r>
          </w:p>
          <w:p w14:paraId="0F010D27">
            <w:pPr>
              <w:rPr>
                <w:rFonts w:ascii="仿宋" w:hAnsi="仿宋" w:eastAsia="仿宋" w:cs="宋体"/>
                <w:sz w:val="24"/>
              </w:rPr>
            </w:pPr>
            <w:r>
              <w:rPr>
                <w:rFonts w:hint="eastAsia" w:ascii="仿宋" w:hAnsi="仿宋" w:eastAsia="仿宋" w:cs="宋体"/>
                <w:sz w:val="24"/>
              </w:rPr>
              <w:t>4、平台可进行对电池组内阻离散度一致性趋势及落后电池实时分析诊断，并提供异常预警及诊断报告。投标时应提供功能截图证明材料。</w:t>
            </w:r>
          </w:p>
          <w:p w14:paraId="38ED7C93">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5、平台可进行对电池内部微短路潜在风险实时分析诊断，并提供异常预警及诊断报告。</w:t>
            </w:r>
          </w:p>
          <w:p w14:paraId="1AAC8AF2">
            <w:pPr>
              <w:rPr>
                <w:rFonts w:ascii="仿宋" w:hAnsi="仿宋" w:eastAsia="仿宋" w:cs="宋体"/>
                <w:sz w:val="24"/>
              </w:rPr>
            </w:pPr>
            <w:r>
              <w:rPr>
                <w:rFonts w:hint="eastAsia" w:ascii="仿宋" w:hAnsi="仿宋" w:eastAsia="仿宋" w:cs="宋体"/>
                <w:sz w:val="24"/>
              </w:rPr>
              <w:t>6、平台可进行对电池容量衰减趋势实时分析诊断，并提供异常预警及诊断报告。</w:t>
            </w:r>
          </w:p>
          <w:p w14:paraId="41486A6F">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7、平台可进行对UPS负载率趋势实时分析诊断，并提供异常预警及诊断报告。投标时应提供功能截图证明材料。</w:t>
            </w:r>
          </w:p>
          <w:p w14:paraId="7DBB0BB7">
            <w:pPr>
              <w:rPr>
                <w:rFonts w:ascii="仿宋" w:hAnsi="仿宋" w:eastAsia="仿宋" w:cs="宋体"/>
                <w:sz w:val="24"/>
              </w:rPr>
            </w:pPr>
            <w:r>
              <w:rPr>
                <w:rFonts w:hint="eastAsia" w:ascii="仿宋" w:hAnsi="仿宋" w:eastAsia="仿宋" w:cs="宋体"/>
                <w:sz w:val="24"/>
              </w:rPr>
              <w:t>8、平台可进行对UPS三相负载率极差趋势及宕机风险分析诊断，并提供异常预警及诊断报告。</w:t>
            </w:r>
          </w:p>
          <w:p w14:paraId="614758AE">
            <w:pPr>
              <w:rPr>
                <w:rFonts w:ascii="仿宋" w:hAnsi="仿宋" w:eastAsia="仿宋" w:cs="宋体"/>
                <w:sz w:val="24"/>
              </w:rPr>
            </w:pPr>
            <w:r>
              <w:rPr>
                <w:rFonts w:hint="eastAsia" w:ascii="仿宋" w:hAnsi="仿宋" w:eastAsia="仿宋" w:cs="宋体"/>
                <w:sz w:val="24"/>
              </w:rPr>
              <w:t>9、平台可进行对UPS输入电压趋势及市电质量分析诊断，并提供异常预警及诊断报告。投标时应提供功能截图证明材料。</w:t>
            </w:r>
          </w:p>
          <w:p w14:paraId="2CE69511">
            <w:pPr>
              <w:rPr>
                <w:rFonts w:ascii="仿宋" w:hAnsi="仿宋" w:eastAsia="仿宋" w:cs="宋体"/>
                <w:sz w:val="24"/>
              </w:rPr>
            </w:pPr>
            <w:r>
              <w:rPr>
                <w:rFonts w:hint="eastAsia" w:ascii="仿宋" w:hAnsi="仿宋" w:eastAsia="仿宋" w:cs="宋体"/>
                <w:sz w:val="24"/>
              </w:rPr>
              <w:t>10、平台可进行对UPS输出电压静态稳定度趋势及潜在故障分析诊断，并提供异常预警及诊断报告。</w:t>
            </w:r>
          </w:p>
          <w:p w14:paraId="3A5A5AE3">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11、平台应具有蓄电池微短路AI检测预警功能，一旦发现异常，系统会立即提示用户，确保安全问题早发现、早处理，全方位守护电池的耐久与设备的安全。投标时应提供功能截图证明材料。</w:t>
            </w:r>
          </w:p>
          <w:p w14:paraId="00C9B399">
            <w:pP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12、平台应具有经济效益AI分析功能模块，通过设备运行状态进行实时的、量化的经济效益评估，为管理决策提供直观、可靠的数据支撑。投标时应提供功能截图证明材料。</w:t>
            </w:r>
          </w:p>
        </w:tc>
        <w:tc>
          <w:tcPr>
            <w:tcW w:w="1699" w:type="dxa"/>
            <w:tcBorders>
              <w:left w:val="single" w:color="auto" w:sz="4" w:space="0"/>
              <w:right w:val="single" w:color="auto" w:sz="4" w:space="0"/>
            </w:tcBorders>
            <w:vAlign w:val="center"/>
          </w:tcPr>
          <w:p w14:paraId="5BDC4EDF">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r>
      <w:tr w14:paraId="3FD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90" w:type="dxa"/>
            <w:vMerge w:val="continue"/>
            <w:tcBorders>
              <w:left w:val="single" w:color="auto" w:sz="4" w:space="0"/>
              <w:right w:val="single" w:color="auto" w:sz="4" w:space="0"/>
            </w:tcBorders>
            <w:shd w:val="clear" w:color="auto" w:fill="auto"/>
            <w:vAlign w:val="center"/>
          </w:tcPr>
          <w:p w14:paraId="705151A8">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7956B59">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52E012E">
            <w:pPr>
              <w:spacing w:line="0" w:lineRule="atLeast"/>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全生命周期运行维护</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56BA55A2">
            <w:pPr>
              <w:spacing w:line="0" w:lineRule="atLeast"/>
              <w:textAlignment w:val="center"/>
              <w:rPr>
                <w:rFonts w:ascii="仿宋" w:hAnsi="仿宋" w:eastAsia="仿宋" w:cs="宋体"/>
                <w:sz w:val="24"/>
              </w:rPr>
            </w:pPr>
            <w:r>
              <w:rPr>
                <w:rFonts w:hint="eastAsia" w:ascii="仿宋" w:hAnsi="仿宋" w:eastAsia="仿宋" w:cs="宋体"/>
                <w:sz w:val="24"/>
              </w:rPr>
              <w:t>1、设立专门的运营中心，对医院UPS/EPS电源系统实现全时段，全覆盖，全生命周期，无遗漏，无盲点的物理手段监控和无线网络提醒，以满足医院7*24*365连续性供电保障的需要。</w:t>
            </w:r>
          </w:p>
          <w:p w14:paraId="06F51979">
            <w:pPr>
              <w:spacing w:line="0" w:lineRule="atLeast"/>
              <w:rPr>
                <w:rFonts w:ascii="仿宋" w:hAnsi="仿宋" w:eastAsia="仿宋" w:cs="宋体"/>
                <w:sz w:val="24"/>
              </w:rPr>
            </w:pPr>
            <w:r>
              <w:rPr>
                <w:rFonts w:hint="eastAsia" w:ascii="仿宋" w:hAnsi="仿宋" w:eastAsia="仿宋" w:cs="宋体"/>
                <w:sz w:val="24"/>
              </w:rPr>
              <w:t>2、每年不少于四次服务商现场维保、检测服务，并出具维保巡查检测报告。</w:t>
            </w:r>
          </w:p>
          <w:p w14:paraId="4B53781A">
            <w:pPr>
              <w:spacing w:line="0" w:lineRule="atLeast"/>
              <w:rPr>
                <w:rFonts w:ascii="仿宋" w:hAnsi="仿宋" w:eastAsia="仿宋" w:cs="宋体"/>
                <w:sz w:val="24"/>
              </w:rPr>
            </w:pPr>
            <w:r>
              <w:rPr>
                <w:rFonts w:hint="eastAsia" w:ascii="仿宋" w:hAnsi="仿宋" w:eastAsia="仿宋" w:cs="宋体"/>
                <w:sz w:val="24"/>
              </w:rPr>
              <w:t>4、在紧急情况下接到甲方通知后的2小时内到达现场，8小时内恢复设备运行，因需要送厂检修的，乙方应提供响应设备代替、确保系统正常运行。</w:t>
            </w:r>
          </w:p>
          <w:p w14:paraId="62450C4B">
            <w:pPr>
              <w:spacing w:line="0" w:lineRule="atLeast"/>
              <w:rPr>
                <w:rFonts w:ascii="仿宋" w:hAnsi="仿宋" w:eastAsia="仿宋" w:cs="宋体"/>
                <w:sz w:val="24"/>
              </w:rPr>
            </w:pPr>
            <w:r>
              <w:rPr>
                <w:rFonts w:hint="eastAsia" w:ascii="仿宋" w:hAnsi="仿宋" w:eastAsia="仿宋" w:cs="宋体"/>
                <w:sz w:val="24"/>
              </w:rPr>
              <w:t>5、服务期限内，投标方必须与设备及备件生产厂家签订维保机型配件供应和技术服务合同，确保在本合同约定的时限内解决配件故障机器更换等问题。</w:t>
            </w:r>
          </w:p>
          <w:p w14:paraId="75026191">
            <w:pPr>
              <w:spacing w:line="0" w:lineRule="atLeast"/>
              <w:textAlignment w:val="cente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6、分科室、分院区提供52份专属定制化周报、12份专属定制化月报、4份专属定制化季报、1份专属定制化年报，为医院各科室各分院应急电源系统的运行情况进行综合分析，整理，提出应急电源运维的合理化建议；投标时应提供相关证明材料</w:t>
            </w:r>
          </w:p>
          <w:p w14:paraId="4C317617">
            <w:pPr>
              <w:spacing w:line="0" w:lineRule="atLeast"/>
              <w:textAlignment w:val="center"/>
              <w:rPr>
                <w:rFonts w:ascii="仿宋" w:hAnsi="仿宋" w:eastAsia="仿宋" w:cs="宋体"/>
                <w:sz w:val="24"/>
              </w:rPr>
            </w:pPr>
            <w:r>
              <w:rPr>
                <w:rFonts w:hint="eastAsia" w:ascii="仿宋" w:hAnsi="仿宋" w:eastAsia="仿宋" w:cs="宋体"/>
                <w:sz w:val="24"/>
              </w:rPr>
              <w:t>7、服务期间，服务商应建立应急电源安全风险及整改追踪表以及每周更新，负责对应急电源风险整改全闭环，保障应急电源的安全生产；</w:t>
            </w:r>
          </w:p>
          <w:p w14:paraId="3422C00B">
            <w:pPr>
              <w:spacing w:line="0" w:lineRule="atLeast"/>
              <w:textAlignment w:val="center"/>
              <w:rPr>
                <w:rFonts w:ascii="仿宋" w:hAnsi="仿宋" w:eastAsia="仿宋" w:cs="宋体"/>
                <w:sz w:val="24"/>
              </w:rPr>
            </w:pPr>
            <w:r>
              <w:rPr>
                <w:rFonts w:hint="eastAsia" w:ascii="仿宋" w:hAnsi="仿宋" w:eastAsia="仿宋" w:cs="宋体"/>
                <w:sz w:val="24"/>
              </w:rPr>
              <w:t>8、为医院建立应急电源系统基本知识库。通过建立应急电源的运维管理的基本知识库，提升医院管理人员，对应急电源系统安全管理理论与技术操作能力；</w:t>
            </w:r>
          </w:p>
          <w:p w14:paraId="10318951">
            <w:pPr>
              <w:spacing w:line="0" w:lineRule="atLeast"/>
              <w:textAlignment w:val="center"/>
              <w:rPr>
                <w:rFonts w:ascii="仿宋" w:hAnsi="仿宋" w:eastAsia="仿宋" w:cs="宋体"/>
                <w:sz w:val="24"/>
              </w:rPr>
            </w:pPr>
            <w:r>
              <w:rPr>
                <w:rFonts w:hint="eastAsia" w:ascii="仿宋" w:hAnsi="仿宋" w:eastAsia="仿宋" w:cs="宋体"/>
                <w:sz w:val="24"/>
              </w:rPr>
              <w:t>9、为医院建立应急电源系统应急预案SLA体系。通过建立应急电源的运维管理的基本知识库和应急预案，了解和掌握应急电源设备应急处置规程，确保应急预案能够发挥作用。</w:t>
            </w:r>
          </w:p>
          <w:p w14:paraId="17770BCD">
            <w:pPr>
              <w:pStyle w:val="8"/>
              <w:spacing w:line="0" w:lineRule="atLeast"/>
              <w:ind w:firstLine="0" w:firstLineChars="0"/>
              <w:jc w:val="left"/>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kern w:val="0"/>
                <w:sz w:val="24"/>
              </w:rPr>
              <w:t>10、对平台监测到的医院应急电源风险事件运营中心人工24小时实时预警医院相关负责人，并远程提供专业指导或现场处置。</w:t>
            </w:r>
          </w:p>
        </w:tc>
        <w:tc>
          <w:tcPr>
            <w:tcW w:w="1699" w:type="dxa"/>
            <w:tcBorders>
              <w:left w:val="single" w:color="auto" w:sz="4" w:space="0"/>
              <w:right w:val="single" w:color="auto" w:sz="4" w:space="0"/>
            </w:tcBorders>
            <w:vAlign w:val="center"/>
          </w:tcPr>
          <w:p w14:paraId="3622ECDF">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r>
      <w:tr w14:paraId="25CD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90" w:type="dxa"/>
            <w:vMerge w:val="continue"/>
            <w:tcBorders>
              <w:left w:val="single" w:color="auto" w:sz="4" w:space="0"/>
              <w:right w:val="single" w:color="auto" w:sz="4" w:space="0"/>
            </w:tcBorders>
            <w:shd w:val="clear" w:color="auto" w:fill="auto"/>
            <w:vAlign w:val="center"/>
          </w:tcPr>
          <w:p w14:paraId="7202CCE1">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33385F2">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A5D7B08">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应急电源安全咨询管理、文化制度、沟通矩阵、预案建设、数据建设</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3FD534BC">
            <w:pPr>
              <w:textAlignment w:val="center"/>
              <w:rPr>
                <w:rFonts w:ascii="仿宋" w:hAnsi="仿宋" w:eastAsia="仿宋" w:cs="宋体"/>
                <w:sz w:val="24"/>
              </w:rPr>
            </w:pPr>
            <w:r>
              <w:rPr>
                <w:rFonts w:hint="eastAsia" w:ascii="仿宋" w:hAnsi="仿宋" w:eastAsia="仿宋" w:cs="宋体"/>
                <w:sz w:val="24"/>
              </w:rPr>
              <w:t>1、协助医院制定相关管理文件等；包括但不限于《医院应急电源安全管理制度》、《医院意外停电应急预案》等</w:t>
            </w:r>
          </w:p>
          <w:p w14:paraId="7713EB36">
            <w:pPr>
              <w:textAlignment w:val="center"/>
              <w:rPr>
                <w:rFonts w:ascii="仿宋" w:hAnsi="仿宋" w:eastAsia="仿宋" w:cs="宋体"/>
                <w:sz w:val="24"/>
              </w:rPr>
            </w:pPr>
            <w:r>
              <w:rPr>
                <w:rFonts w:hint="eastAsia" w:ascii="仿宋" w:hAnsi="仿宋" w:eastAsia="仿宋" w:cs="宋体"/>
                <w:sz w:val="24"/>
              </w:rPr>
              <w:t>2、协助医院建立应急电源安全管理小组并对其进行培训</w:t>
            </w:r>
          </w:p>
          <w:p w14:paraId="0AD40EC3">
            <w:pPr>
              <w:textAlignment w:val="center"/>
              <w:rPr>
                <w:rFonts w:ascii="仿宋" w:hAnsi="仿宋" w:eastAsia="仿宋" w:cs="宋体"/>
                <w:sz w:val="24"/>
              </w:rPr>
            </w:pPr>
            <w:r>
              <w:rPr>
                <w:rFonts w:hint="eastAsia" w:ascii="仿宋" w:hAnsi="仿宋" w:eastAsia="仿宋" w:cs="宋体"/>
                <w:sz w:val="24"/>
              </w:rPr>
              <w:t>3、应急电源使用科室培训 *2次/年</w:t>
            </w:r>
          </w:p>
          <w:p w14:paraId="46A3E4A1">
            <w:pPr>
              <w:spacing w:line="0" w:lineRule="atLeast"/>
              <w:textAlignment w:val="center"/>
              <w:rPr>
                <w:rFonts w:ascii="仿宋" w:hAnsi="仿宋" w:eastAsia="仿宋" w:cs="宋体"/>
                <w:sz w:val="24"/>
              </w:rPr>
            </w:pPr>
            <w:r>
              <w:rPr>
                <w:rFonts w:hint="eastAsia" w:ascii="仿宋" w:hAnsi="仿宋" w:eastAsia="仿宋" w:cs="宋体"/>
                <w:sz w:val="24"/>
              </w:rPr>
              <w:t>4、安全生产管理科室培训 *2次/年</w:t>
            </w:r>
          </w:p>
          <w:p w14:paraId="0FD90834">
            <w:pP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5、协助医院每年组织一次专业应急演练。</w:t>
            </w:r>
          </w:p>
        </w:tc>
        <w:tc>
          <w:tcPr>
            <w:tcW w:w="1699" w:type="dxa"/>
            <w:tcBorders>
              <w:left w:val="single" w:color="auto" w:sz="4" w:space="0"/>
              <w:right w:val="single" w:color="auto" w:sz="4" w:space="0"/>
            </w:tcBorders>
            <w:vAlign w:val="center"/>
          </w:tcPr>
          <w:p w14:paraId="479ADEFB">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r>
      <w:tr w14:paraId="7C99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90" w:type="dxa"/>
            <w:vMerge w:val="continue"/>
            <w:tcBorders>
              <w:left w:val="single" w:color="auto" w:sz="4" w:space="0"/>
              <w:bottom w:val="single" w:color="auto" w:sz="4" w:space="0"/>
              <w:right w:val="single" w:color="auto" w:sz="4" w:space="0"/>
            </w:tcBorders>
            <w:shd w:val="clear" w:color="auto" w:fill="auto"/>
            <w:vAlign w:val="center"/>
          </w:tcPr>
          <w:p w14:paraId="00FCEA63">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484BFA3">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6</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CA0FA7A">
            <w:pPr>
              <w:spacing w:line="420" w:lineRule="exact"/>
              <w:jc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宋体"/>
                <w:sz w:val="24"/>
              </w:rPr>
              <w:t>安全保险保障服务</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1BD4B300">
            <w:pPr>
              <w:spacing w:line="0" w:lineRule="atLeast"/>
              <w:textAlignment w:val="center"/>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服务期内提供因UPS电源设备造成的安全事故损失责任险保单，保险保障，保障相关人员的人身安全；保额不低于1000万元。投标人提供保险承诺函及保险保单样本。</w:t>
            </w:r>
          </w:p>
        </w:tc>
        <w:tc>
          <w:tcPr>
            <w:tcW w:w="1699" w:type="dxa"/>
            <w:tcBorders>
              <w:left w:val="single" w:color="auto" w:sz="4" w:space="0"/>
              <w:bottom w:val="single" w:color="auto" w:sz="4" w:space="0"/>
              <w:right w:val="single" w:color="auto" w:sz="4" w:space="0"/>
            </w:tcBorders>
            <w:vAlign w:val="center"/>
          </w:tcPr>
          <w:p w14:paraId="6728AFF6">
            <w:pPr>
              <w:spacing w:after="78"/>
              <w:ind w:left="0" w:leftChars="0" w:firstLine="0" w:firstLineChars="0"/>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r>
    </w:tbl>
    <w:p w14:paraId="79B5FB80">
      <w:pPr>
        <w:rPr>
          <w:rFonts w:hint="default" w:ascii="方正楷体_GB2312" w:hAnsi="方正楷体_GB2312" w:eastAsia="方正楷体_GB2312" w:cs="方正楷体_GB2312"/>
          <w:sz w:val="16"/>
          <w:szCs w:val="16"/>
          <w:lang w:val="en-US" w:eastAsia="zh-CN"/>
        </w:rPr>
      </w:pPr>
    </w:p>
    <w:p w14:paraId="1EA1DCF9">
      <w:pPr>
        <w:rPr>
          <w:rFonts w:hint="default" w:ascii="方正楷体_GB2312" w:hAnsi="方正楷体_GB2312" w:eastAsia="方正楷体_GB2312" w:cs="方正楷体_GB2312"/>
          <w:sz w:val="28"/>
          <w:szCs w:val="28"/>
          <w:lang w:val="en-US" w:eastAsia="zh-CN"/>
        </w:rPr>
      </w:pPr>
    </w:p>
    <w:p w14:paraId="5E51A9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43316"/>
    <w:multiLevelType w:val="singleLevel"/>
    <w:tmpl w:val="8CE43316"/>
    <w:lvl w:ilvl="0" w:tentative="0">
      <w:start w:val="1"/>
      <w:numFmt w:val="decimal"/>
      <w:lvlText w:val="(%1)"/>
      <w:lvlJc w:val="left"/>
      <w:pPr>
        <w:ind w:left="425" w:hanging="425"/>
      </w:pPr>
      <w:rPr>
        <w:rFonts w:hint="default"/>
      </w:rPr>
    </w:lvl>
  </w:abstractNum>
  <w:abstractNum w:abstractNumId="1">
    <w:nsid w:val="2D744E1F"/>
    <w:multiLevelType w:val="singleLevel"/>
    <w:tmpl w:val="2D744E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A38B0"/>
    <w:rsid w:val="0C313B32"/>
    <w:rsid w:val="11E579A3"/>
    <w:rsid w:val="2E947342"/>
    <w:rsid w:val="5EDC2437"/>
    <w:rsid w:val="6C523F43"/>
    <w:rsid w:val="6CE717E2"/>
    <w:rsid w:val="79CA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left="720" w:hanging="720" w:hangingChars="300"/>
    </w:pPr>
    <w:rPr>
      <w:sz w:val="24"/>
    </w:rPr>
  </w:style>
  <w:style w:type="paragraph" w:styleId="3">
    <w:name w:val="Plain Text"/>
    <w:basedOn w:val="1"/>
    <w:qFormat/>
    <w:uiPriority w:val="0"/>
    <w:rPr>
      <w:rFonts w:ascii="宋体" w:hAnsi="Courier New" w:eastAsia="宋体"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纯文本1"/>
    <w:basedOn w:val="1"/>
    <w:qFormat/>
    <w:uiPriority w:val="0"/>
    <w:rPr>
      <w:rFonts w:ascii="宋体" w:hAnsi="Courier New" w:eastAsia="宋体" w:cs="Courier New"/>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5211</Words>
  <Characters>5502</Characters>
  <Lines>0</Lines>
  <Paragraphs>0</Paragraphs>
  <TotalTime>4</TotalTime>
  <ScaleCrop>false</ScaleCrop>
  <LinksUpToDate>false</LinksUpToDate>
  <CharactersWithSpaces>5518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2025-12-24T07:03:00Z</dcterms:created>
  <dc:creator>Archer</dc:creator>
  <cp:lastModifiedBy>茜茜 ✨</cp:lastModifiedBy>
  <dcterms:modified xsi:type="dcterms:W3CDTF">2026-01-06T08:26:06Z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8F5E62B2E55447D2B30F209F28A79204_11</vt:lpwstr>
  </property>
  <property fmtid="{D5CDD505-2E9C-101B-9397-08002B2CF9AE}" pid="4" name="KSOTemplateDocerSaveRecord">
    <vt:lpwstr>eyJoZGlkIjoiMGNjYmY0NDQ3OWE4YmY2NzJlYTA4MDM0NjNhNzdkMzYiLCJ1c2VySWQiOiI1Mzc0MjMyMDUifQ==</vt:lpwstr>
  </property>
</Properties>
</file>