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85952">
      <w:pPr>
        <w:jc w:val="center"/>
        <w:rPr>
          <w:rFonts w:hint="eastAsia" w:ascii="仿宋" w:hAnsi="仿宋" w:eastAsia="仿宋"/>
          <w:b/>
          <w:sz w:val="32"/>
          <w:szCs w:val="32"/>
        </w:rPr>
      </w:pPr>
      <w:r>
        <w:rPr>
          <w:rFonts w:hint="eastAsia" w:ascii="仿宋" w:hAnsi="仿宋" w:eastAsia="仿宋"/>
          <w:b/>
          <w:sz w:val="32"/>
          <w:szCs w:val="32"/>
        </w:rPr>
        <w:t>评审因素和评审标准</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55C36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086F62FE">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评分项及评分规则</w:t>
            </w:r>
          </w:p>
        </w:tc>
        <w:tc>
          <w:tcPr>
            <w:tcW w:w="1187" w:type="dxa"/>
            <w:vAlign w:val="center"/>
          </w:tcPr>
          <w:p w14:paraId="17AEE68B">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36C5E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2DA57F0A">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5E8DC5BA">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10</w:t>
            </w:r>
          </w:p>
        </w:tc>
      </w:tr>
      <w:tr w14:paraId="477F6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66875115">
            <w:pPr>
              <w:widowControl/>
              <w:spacing w:line="360" w:lineRule="exact"/>
              <w:jc w:val="left"/>
              <w:rPr>
                <w:rFonts w:hint="eastAsia" w:cs="仿宋" w:asciiTheme="minorEastAsia" w:hAnsiTheme="minorEastAsia" w:eastAsiaTheme="minorEastAsia"/>
                <w:szCs w:val="21"/>
              </w:rPr>
            </w:pPr>
            <w:r>
              <w:rPr>
                <w:rFonts w:hint="eastAsia" w:cs="仿宋" w:asciiTheme="minorEastAsia" w:hAnsiTheme="minorEastAsia" w:eastAsiaTheme="minorEastAsia"/>
                <w:szCs w:val="21"/>
              </w:rPr>
              <w:t>价格分采用低价优先法计算，即满足招标文件要求且投标价格最低的投标报价为评标基准价，其价格分为满分。其他投标人的价格分统一按照下列公式计算：</w:t>
            </w:r>
          </w:p>
          <w:p w14:paraId="2BA602B1">
            <w:pPr>
              <w:widowControl/>
              <w:spacing w:line="360" w:lineRule="exact"/>
              <w:jc w:val="left"/>
              <w:rPr>
                <w:rFonts w:hint="eastAsia" w:cs="仿宋" w:asciiTheme="minorEastAsia" w:hAnsiTheme="minorEastAsia" w:eastAsiaTheme="minorEastAsia"/>
                <w:szCs w:val="21"/>
              </w:rPr>
            </w:pPr>
            <w:r>
              <w:rPr>
                <w:rFonts w:hint="eastAsia" w:cs="仿宋" w:asciiTheme="minorEastAsia" w:hAnsiTheme="minorEastAsia" w:eastAsiaTheme="minorEastAsia"/>
                <w:szCs w:val="21"/>
              </w:rPr>
              <w:t>投标报价得分=(评标基准价／投标报价)×权重</w:t>
            </w:r>
          </w:p>
          <w:p w14:paraId="0B92FA2B">
            <w:pPr>
              <w:adjustRightInd w:val="0"/>
              <w:snapToGrid w:val="0"/>
              <w:spacing w:line="360" w:lineRule="exact"/>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备注：</w:t>
            </w:r>
          </w:p>
          <w:p w14:paraId="0AC5A2CA">
            <w:pPr>
              <w:adjustRightInd w:val="0"/>
              <w:snapToGrid w:val="0"/>
              <w:spacing w:line="360" w:lineRule="exact"/>
              <w:rPr>
                <w:rFonts w:hint="eastAsia" w:asciiTheme="minorEastAsia" w:hAnsiTheme="minorEastAsia" w:eastAsiaTheme="minorEastAsia"/>
                <w:bCs/>
                <w:snapToGrid w:val="0"/>
                <w:kern w:val="0"/>
                <w:szCs w:val="21"/>
              </w:rPr>
            </w:pPr>
            <w:r>
              <w:rPr>
                <w:rFonts w:hint="eastAsia" w:asciiTheme="minorEastAsia" w:hAnsiTheme="minorEastAsia" w:eastAsiaTheme="minorEastAsia"/>
                <w:snapToGrid w:val="0"/>
                <w:kern w:val="0"/>
                <w:szCs w:val="21"/>
              </w:rPr>
              <w:t>1、因落实政府采购政策进行价格调整的，以调整后的价格计算评标基准价和投标报价</w:t>
            </w:r>
            <w:r>
              <w:rPr>
                <w:rFonts w:hint="eastAsia" w:asciiTheme="minorEastAsia" w:hAnsiTheme="minorEastAsia" w:eastAsiaTheme="minorEastAsia"/>
                <w:bCs/>
                <w:snapToGrid w:val="0"/>
                <w:kern w:val="0"/>
                <w:szCs w:val="21"/>
              </w:rPr>
              <w:t>；</w:t>
            </w:r>
          </w:p>
          <w:p w14:paraId="4CD497CF">
            <w:pPr>
              <w:autoSpaceDE w:val="0"/>
              <w:autoSpaceDN w:val="0"/>
              <w:adjustRightInd w:val="0"/>
              <w:spacing w:line="360" w:lineRule="exact"/>
              <w:jc w:val="left"/>
              <w:rPr>
                <w:rFonts w:hint="eastAsia" w:cs="仿宋" w:asciiTheme="minorEastAsia" w:hAnsiTheme="minorEastAsia" w:eastAsiaTheme="minorEastAsia"/>
                <w:szCs w:val="21"/>
              </w:rPr>
            </w:pPr>
            <w:r>
              <w:rPr>
                <w:rFonts w:hint="eastAsia" w:asciiTheme="minorEastAsia" w:hAnsiTheme="minorEastAsia" w:eastAsiaTheme="minorEastAsia"/>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06D3D7EE">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按公式计算评分</w:t>
            </w:r>
          </w:p>
        </w:tc>
      </w:tr>
      <w:tr w14:paraId="2C61D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34608EFB">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0FBDAD5C">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65</w:t>
            </w:r>
          </w:p>
        </w:tc>
      </w:tr>
      <w:tr w14:paraId="39D04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39B2FF11">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366D987F">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5E49C446">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权重</w:t>
            </w:r>
          </w:p>
        </w:tc>
        <w:tc>
          <w:tcPr>
            <w:tcW w:w="5953" w:type="dxa"/>
            <w:vAlign w:val="center"/>
          </w:tcPr>
          <w:p w14:paraId="699C3C71">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3410DEA3">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11920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54" w:type="dxa"/>
            <w:vAlign w:val="center"/>
          </w:tcPr>
          <w:p w14:paraId="7C9E40AD">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4168913B">
            <w:pPr>
              <w:widowControl/>
              <w:spacing w:line="360" w:lineRule="exact"/>
              <w:jc w:val="center"/>
              <w:rPr>
                <w:rFonts w:hint="eastAsia" w:asciiTheme="minorEastAsia" w:hAnsiTheme="minorEastAsia" w:eastAsiaTheme="minorEastAsia"/>
                <w:kern w:val="0"/>
                <w:szCs w:val="21"/>
              </w:rPr>
            </w:pPr>
            <w:r>
              <w:rPr>
                <w:rFonts w:hint="eastAsia" w:cs="宋体" w:asciiTheme="minorEastAsia" w:hAnsiTheme="minorEastAsia" w:eastAsiaTheme="minorEastAsia"/>
                <w:szCs w:val="21"/>
              </w:rPr>
              <w:t>服务方案</w:t>
            </w:r>
          </w:p>
        </w:tc>
        <w:tc>
          <w:tcPr>
            <w:tcW w:w="709" w:type="dxa"/>
            <w:vAlign w:val="center"/>
          </w:tcPr>
          <w:p w14:paraId="1DE4E38E">
            <w:pPr>
              <w:widowControl/>
              <w:spacing w:line="360" w:lineRule="exact"/>
              <w:jc w:val="center"/>
              <w:rPr>
                <w:rFonts w:hint="eastAsia"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5953" w:type="dxa"/>
            <w:vAlign w:val="center"/>
          </w:tcPr>
          <w:p w14:paraId="5BD9B41A">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3FC1E6F8">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考察投标人提供的项目服务方案，包含以下内容：</w:t>
            </w:r>
          </w:p>
          <w:p w14:paraId="693BE3D6">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1、对</w:t>
            </w:r>
            <w:r>
              <w:rPr>
                <w:rFonts w:hint="eastAsia" w:cs="宋体" w:asciiTheme="minorEastAsia" w:hAnsiTheme="minorEastAsia" w:eastAsiaTheme="minorEastAsia"/>
                <w:szCs w:val="21"/>
              </w:rPr>
              <w:t>项目服务需求的理解</w:t>
            </w:r>
            <w:r>
              <w:rPr>
                <w:rFonts w:hint="eastAsia" w:asciiTheme="minorEastAsia" w:hAnsiTheme="minorEastAsia" w:eastAsiaTheme="minorEastAsia"/>
                <w:kern w:val="0"/>
                <w:szCs w:val="21"/>
              </w:rPr>
              <w:t>；</w:t>
            </w:r>
          </w:p>
          <w:p w14:paraId="628A75CC">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2、项目实施计划；</w:t>
            </w:r>
          </w:p>
          <w:p w14:paraId="77C0865E">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cs="宋体" w:asciiTheme="minorEastAsia" w:hAnsiTheme="minorEastAsia" w:eastAsiaTheme="minorEastAsia"/>
                <w:szCs w:val="21"/>
              </w:rPr>
              <w:t>项目管理服务承诺</w:t>
            </w:r>
            <w:r>
              <w:rPr>
                <w:rFonts w:hint="eastAsia" w:asciiTheme="minorEastAsia" w:hAnsiTheme="minorEastAsia" w:eastAsiaTheme="minorEastAsia"/>
                <w:kern w:val="0"/>
                <w:szCs w:val="21"/>
              </w:rPr>
              <w:t>。</w:t>
            </w:r>
          </w:p>
          <w:p w14:paraId="460EB77B">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108400D1">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271AC8E0">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390A19E1">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1.需求理解全面、具体，实施计划可行性高，服务承诺科学合理的，加7分；</w:t>
            </w:r>
          </w:p>
          <w:p w14:paraId="071EAA82">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2.需求理解比较全面，实施计划可行性较高，服务承诺较合理的，加4分；</w:t>
            </w:r>
          </w:p>
          <w:p w14:paraId="4B0CE1B4">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3.需求理解不够全面，实施计划可行性一般，服务承诺不够合理的，加1分；</w:t>
            </w:r>
          </w:p>
          <w:p w14:paraId="4753DE56">
            <w:pPr>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szCs w:val="21"/>
              </w:rPr>
              <w:t>4.需求理解不全面，实施计划可行性低，服务承诺不合理的，不加分。</w:t>
            </w:r>
          </w:p>
        </w:tc>
        <w:tc>
          <w:tcPr>
            <w:tcW w:w="1187" w:type="dxa"/>
            <w:vAlign w:val="center"/>
          </w:tcPr>
          <w:p w14:paraId="648FA3F4">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34152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7A3BA3C3">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5F71FFC4">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szCs w:val="21"/>
              </w:rPr>
              <w:t>项目重点难点分析、应对措施及相关的合理化建议</w:t>
            </w:r>
          </w:p>
        </w:tc>
        <w:tc>
          <w:tcPr>
            <w:tcW w:w="709" w:type="dxa"/>
            <w:vAlign w:val="center"/>
          </w:tcPr>
          <w:p w14:paraId="1BEECABD">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szCs w:val="21"/>
              </w:rPr>
              <w:t>10</w:t>
            </w:r>
          </w:p>
        </w:tc>
        <w:tc>
          <w:tcPr>
            <w:tcW w:w="5953" w:type="dxa"/>
            <w:vAlign w:val="center"/>
          </w:tcPr>
          <w:p w14:paraId="40EC89B1">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3C69229E">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项目重点难点分析、应对措施及相关的合理化建议</w:t>
            </w:r>
            <w:r>
              <w:rPr>
                <w:rFonts w:hint="eastAsia" w:asciiTheme="minorEastAsia" w:hAnsiTheme="minorEastAsia" w:eastAsiaTheme="minorEastAsia"/>
                <w:kern w:val="0"/>
                <w:szCs w:val="21"/>
              </w:rPr>
              <w:t>，包含以下内容：</w:t>
            </w:r>
          </w:p>
          <w:p w14:paraId="0A2386B8">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1、项目重点难点分析；</w:t>
            </w:r>
          </w:p>
          <w:p w14:paraId="649D3805">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2、针对项目重点难点逐项提出应对措施；</w:t>
            </w:r>
          </w:p>
          <w:p w14:paraId="3EBD91F6">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3、相关的合理化建议。</w:t>
            </w:r>
          </w:p>
          <w:p w14:paraId="57333CD7">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29B123BF">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26137E1C">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2DBE179D">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重点难点分析全面，应对措施可行性高，相关建议科学合理的</w:t>
            </w:r>
            <w:r>
              <w:rPr>
                <w:rFonts w:hint="eastAsia" w:asciiTheme="minorEastAsia" w:hAnsiTheme="minorEastAsia" w:eastAsiaTheme="minorEastAsia"/>
                <w:szCs w:val="21"/>
              </w:rPr>
              <w:t>，加7分；</w:t>
            </w:r>
          </w:p>
          <w:p w14:paraId="0817C32B">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重点难点分析比较全面，应对措施可行性较高，相关建议比较合理的</w:t>
            </w:r>
            <w:r>
              <w:rPr>
                <w:rFonts w:hint="eastAsia" w:asciiTheme="minorEastAsia" w:hAnsiTheme="minorEastAsia" w:eastAsiaTheme="minorEastAsia"/>
                <w:szCs w:val="21"/>
              </w:rPr>
              <w:t>，加4分；</w:t>
            </w:r>
          </w:p>
          <w:p w14:paraId="48FCCDC6">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重点难点分析不够全面，应对措施可行性一般，相关建议不够合理的</w:t>
            </w:r>
            <w:r>
              <w:rPr>
                <w:rFonts w:hint="eastAsia" w:asciiTheme="minorEastAsia" w:hAnsiTheme="minorEastAsia" w:eastAsiaTheme="minorEastAsia"/>
                <w:szCs w:val="21"/>
              </w:rPr>
              <w:t>，加1分；</w:t>
            </w:r>
          </w:p>
          <w:p w14:paraId="5A269AE6">
            <w:pPr>
              <w:autoSpaceDE w:val="0"/>
              <w:autoSpaceDN w:val="0"/>
              <w:adjustRightInd w:val="0"/>
              <w:spacing w:line="36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重点难点分析不全面，应对措施可行性低，相关建议不合理的</w:t>
            </w:r>
            <w:r>
              <w:rPr>
                <w:rFonts w:hint="eastAsia" w:asciiTheme="minorEastAsia" w:hAnsiTheme="minorEastAsia" w:eastAsiaTheme="minorEastAsia"/>
                <w:szCs w:val="21"/>
              </w:rPr>
              <w:t>，不加分。</w:t>
            </w:r>
          </w:p>
        </w:tc>
        <w:tc>
          <w:tcPr>
            <w:tcW w:w="1187" w:type="dxa"/>
            <w:vAlign w:val="center"/>
          </w:tcPr>
          <w:p w14:paraId="1A8AF3C1">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67910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252B8AFD">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43" w:type="dxa"/>
            <w:vAlign w:val="center"/>
          </w:tcPr>
          <w:p w14:paraId="25E0C362">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szCs w:val="21"/>
              </w:rPr>
              <w:t>质量保障措施及方案</w:t>
            </w:r>
          </w:p>
        </w:tc>
        <w:tc>
          <w:tcPr>
            <w:tcW w:w="709" w:type="dxa"/>
            <w:vAlign w:val="center"/>
          </w:tcPr>
          <w:p w14:paraId="45993616">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10</w:t>
            </w:r>
          </w:p>
        </w:tc>
        <w:tc>
          <w:tcPr>
            <w:tcW w:w="5953" w:type="dxa"/>
            <w:vAlign w:val="center"/>
          </w:tcPr>
          <w:p w14:paraId="3E9B1772">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60179256">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质量保障措施及方案</w:t>
            </w:r>
            <w:r>
              <w:rPr>
                <w:rFonts w:hint="eastAsia" w:asciiTheme="minorEastAsia" w:hAnsiTheme="minorEastAsia" w:eastAsiaTheme="minorEastAsia"/>
                <w:kern w:val="0"/>
                <w:szCs w:val="21"/>
              </w:rPr>
              <w:t>，包含以下内容：</w:t>
            </w:r>
          </w:p>
          <w:p w14:paraId="27F941DC">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1、项目质量管理制度；</w:t>
            </w:r>
          </w:p>
          <w:p w14:paraId="77693D7A">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2、服务质量检查、整改方案；</w:t>
            </w:r>
          </w:p>
          <w:p w14:paraId="1D5E056B">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3、项目成果保障措施。</w:t>
            </w:r>
          </w:p>
          <w:p w14:paraId="33B1BC20">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7CE76B7A">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2AE9D535">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7717D1CB">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质量管理制度科学完善，质量检查、整改方案和项目成果保障措施可行性高的</w:t>
            </w:r>
            <w:r>
              <w:rPr>
                <w:rFonts w:hint="eastAsia" w:asciiTheme="minorEastAsia" w:hAnsiTheme="minorEastAsia" w:eastAsiaTheme="minorEastAsia"/>
                <w:szCs w:val="21"/>
              </w:rPr>
              <w:t>，加7分；</w:t>
            </w:r>
          </w:p>
          <w:p w14:paraId="2EBBD807">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质量管理制度比较完善，质量检查、整改方案和项目成果保障措施可行性较高的</w:t>
            </w:r>
            <w:r>
              <w:rPr>
                <w:rFonts w:hint="eastAsia" w:asciiTheme="minorEastAsia" w:hAnsiTheme="minorEastAsia" w:eastAsiaTheme="minorEastAsia"/>
                <w:szCs w:val="21"/>
              </w:rPr>
              <w:t>，加4分；</w:t>
            </w:r>
          </w:p>
          <w:p w14:paraId="5C5A3B2D">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质量管理制度不够完善，质量检查、整改方案和项目成果保障措施可行性一般的</w:t>
            </w:r>
            <w:r>
              <w:rPr>
                <w:rFonts w:hint="eastAsia" w:asciiTheme="minorEastAsia" w:hAnsiTheme="minorEastAsia" w:eastAsiaTheme="minorEastAsia"/>
                <w:szCs w:val="21"/>
              </w:rPr>
              <w:t>，加1分；</w:t>
            </w:r>
          </w:p>
          <w:p w14:paraId="7D99BC9F">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质量管理制度不完善，质量检查、整改方案和项目成果保障措施可行性低的</w:t>
            </w:r>
            <w:r>
              <w:rPr>
                <w:rFonts w:hint="eastAsia" w:asciiTheme="minorEastAsia" w:hAnsiTheme="minorEastAsia" w:eastAsiaTheme="minorEastAsia"/>
                <w:szCs w:val="21"/>
              </w:rPr>
              <w:t>，不加分。</w:t>
            </w:r>
          </w:p>
        </w:tc>
        <w:tc>
          <w:tcPr>
            <w:tcW w:w="1187" w:type="dxa"/>
            <w:vAlign w:val="center"/>
          </w:tcPr>
          <w:p w14:paraId="14E067C6">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0D3DA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2" w:hRule="atLeast"/>
          <w:jc w:val="center"/>
        </w:trPr>
        <w:tc>
          <w:tcPr>
            <w:tcW w:w="754" w:type="dxa"/>
            <w:vAlign w:val="center"/>
          </w:tcPr>
          <w:p w14:paraId="4DF6E6CD">
            <w:pPr>
              <w:widowControl/>
              <w:snapToGrid w:val="0"/>
              <w:spacing w:line="360" w:lineRule="exact"/>
              <w:jc w:val="center"/>
              <w:rPr>
                <w:rFonts w:hint="eastAsia" w:cs="宋体"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1143" w:type="dxa"/>
            <w:vAlign w:val="center"/>
          </w:tcPr>
          <w:p w14:paraId="60A8FB45">
            <w:pPr>
              <w:widowControl/>
              <w:spacing w:line="360" w:lineRule="exact"/>
              <w:jc w:val="center"/>
              <w:rPr>
                <w:rFonts w:hint="eastAsia" w:cs="宋体" w:asciiTheme="minorEastAsia" w:hAnsiTheme="minorEastAsia" w:eastAsiaTheme="minorEastAsia"/>
                <w:szCs w:val="21"/>
              </w:rPr>
            </w:pPr>
            <w:r>
              <w:rPr>
                <w:rFonts w:hint="eastAsia" w:asciiTheme="minorEastAsia" w:hAnsiTheme="minorEastAsia" w:eastAsiaTheme="minorEastAsia"/>
                <w:szCs w:val="21"/>
              </w:rPr>
              <w:t>项目完成（服务期满）后的服务承诺</w:t>
            </w:r>
          </w:p>
        </w:tc>
        <w:tc>
          <w:tcPr>
            <w:tcW w:w="709" w:type="dxa"/>
            <w:vAlign w:val="center"/>
          </w:tcPr>
          <w:p w14:paraId="1668D07D">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142E2F93">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09059729">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投标人提供服务期满后的服务承诺，承诺以下全部内容的得5分，否则不得分。</w:t>
            </w:r>
          </w:p>
          <w:p w14:paraId="73D839C4">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 xml:space="preserve">（1）服务期满后主动离岗； </w:t>
            </w:r>
          </w:p>
          <w:p w14:paraId="70EC5956">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 xml:space="preserve">（2）与后续服务公司进行交接； </w:t>
            </w:r>
          </w:p>
          <w:p w14:paraId="059EB705">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（3）服务期满，后续服务公司未到位前仍按原合同服务承诺提供服务。</w:t>
            </w:r>
          </w:p>
          <w:p w14:paraId="2FA0C076">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（二）评分依据：</w:t>
            </w:r>
          </w:p>
          <w:p w14:paraId="1E89914F">
            <w:pPr>
              <w:autoSpaceDE w:val="0"/>
              <w:autoSpaceDN w:val="0"/>
              <w:adjustRightInd w:val="0"/>
              <w:spacing w:line="36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提供《项目完成（服务期满）后的服务承诺函》（格式自定）作为得分依据，未提供承诺或承诺内容不满足要求的不得分。</w:t>
            </w:r>
          </w:p>
        </w:tc>
        <w:tc>
          <w:tcPr>
            <w:tcW w:w="1187" w:type="dxa"/>
            <w:vAlign w:val="center"/>
          </w:tcPr>
          <w:p w14:paraId="1E0F566F">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225E2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5" w:hRule="atLeast"/>
          <w:jc w:val="center"/>
        </w:trPr>
        <w:tc>
          <w:tcPr>
            <w:tcW w:w="754" w:type="dxa"/>
            <w:vAlign w:val="center"/>
          </w:tcPr>
          <w:p w14:paraId="3176366E">
            <w:pPr>
              <w:widowControl/>
              <w:snapToGrid w:val="0"/>
              <w:spacing w:line="360" w:lineRule="exact"/>
              <w:jc w:val="center"/>
              <w:rPr>
                <w:rFonts w:hint="eastAsia" w:cs="宋体"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1143" w:type="dxa"/>
            <w:vAlign w:val="center"/>
          </w:tcPr>
          <w:p w14:paraId="176F0FD6">
            <w:pPr>
              <w:widowControl/>
              <w:spacing w:line="360" w:lineRule="exact"/>
              <w:jc w:val="center"/>
              <w:rPr>
                <w:rFonts w:hint="eastAsia" w:cs="宋体" w:asciiTheme="minorEastAsia" w:hAnsiTheme="minorEastAsia" w:eastAsiaTheme="minorEastAsia"/>
                <w:szCs w:val="21"/>
              </w:rPr>
            </w:pPr>
            <w:r>
              <w:rPr>
                <w:rFonts w:hint="eastAsia" w:asciiTheme="minorEastAsia" w:hAnsiTheme="minorEastAsia" w:eastAsiaTheme="minorEastAsia"/>
                <w:szCs w:val="21"/>
              </w:rPr>
              <w:t>违约承诺</w:t>
            </w:r>
          </w:p>
        </w:tc>
        <w:tc>
          <w:tcPr>
            <w:tcW w:w="709" w:type="dxa"/>
            <w:vAlign w:val="center"/>
          </w:tcPr>
          <w:p w14:paraId="3E1C1302">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183CE841">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4EF251D2">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投标人提供项目违约承诺</w:t>
            </w:r>
            <w:r>
              <w:rPr>
                <w:rFonts w:cs="宋体" w:asciiTheme="minorEastAsia" w:hAnsiTheme="minorEastAsia" w:eastAsiaTheme="minorEastAsia"/>
                <w:szCs w:val="21"/>
              </w:rPr>
              <w:t>，</w:t>
            </w:r>
            <w:r>
              <w:rPr>
                <w:rFonts w:hint="eastAsia" w:cs="宋体" w:asciiTheme="minorEastAsia" w:hAnsiTheme="minorEastAsia" w:eastAsiaTheme="minorEastAsia"/>
                <w:szCs w:val="21"/>
              </w:rPr>
              <w:t>满足</w:t>
            </w:r>
            <w:r>
              <w:rPr>
                <w:rFonts w:cs="宋体" w:asciiTheme="minorEastAsia" w:hAnsiTheme="minorEastAsia" w:eastAsiaTheme="minorEastAsia"/>
                <w:szCs w:val="21"/>
              </w:rPr>
              <w:t>以下</w:t>
            </w:r>
            <w:r>
              <w:rPr>
                <w:rFonts w:hint="eastAsia" w:cs="宋体" w:asciiTheme="minorEastAsia" w:hAnsiTheme="minorEastAsia" w:eastAsiaTheme="minorEastAsia"/>
                <w:szCs w:val="21"/>
              </w:rPr>
              <w:t>全部要求</w:t>
            </w:r>
            <w:r>
              <w:rPr>
                <w:rFonts w:asciiTheme="minorEastAsia" w:hAnsiTheme="minorEastAsia" w:eastAsiaTheme="minorEastAsia"/>
                <w:szCs w:val="21"/>
              </w:rPr>
              <w:t>的得</w:t>
            </w:r>
            <w:r>
              <w:rPr>
                <w:rFonts w:hint="eastAsia" w:asciiTheme="minorEastAsia" w:hAnsiTheme="minorEastAsia" w:eastAsiaTheme="minorEastAsia"/>
                <w:szCs w:val="21"/>
              </w:rPr>
              <w:t>5</w:t>
            </w:r>
            <w:r>
              <w:rPr>
                <w:rFonts w:asciiTheme="minorEastAsia" w:hAnsiTheme="minorEastAsia" w:eastAsiaTheme="minorEastAsia"/>
                <w:szCs w:val="21"/>
              </w:rPr>
              <w:t>分，否则不得分。</w:t>
            </w:r>
          </w:p>
          <w:p w14:paraId="7CA649EE">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cs="宋体" w:asciiTheme="minorEastAsia" w:hAnsiTheme="minorEastAsia" w:eastAsiaTheme="minorEastAsia"/>
                <w:szCs w:val="21"/>
              </w:rPr>
              <w:t>人员严格按照招标文件及投标承诺配置</w:t>
            </w:r>
            <w:r>
              <w:rPr>
                <w:rFonts w:asciiTheme="minorEastAsia" w:hAnsiTheme="minorEastAsia" w:eastAsiaTheme="minorEastAsia"/>
                <w:szCs w:val="21"/>
              </w:rPr>
              <w:t xml:space="preserve">； </w:t>
            </w:r>
          </w:p>
          <w:p w14:paraId="16A4BC9B">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（2）</w:t>
            </w:r>
            <w:r>
              <w:rPr>
                <w:rFonts w:hint="eastAsia" w:cs="宋体" w:asciiTheme="minorEastAsia" w:hAnsiTheme="minorEastAsia" w:eastAsiaTheme="minorEastAsia"/>
                <w:szCs w:val="21"/>
              </w:rPr>
              <w:t>服务质量达到招标文件要求</w:t>
            </w:r>
            <w:r>
              <w:rPr>
                <w:rFonts w:asciiTheme="minorEastAsia" w:hAnsiTheme="minorEastAsia" w:eastAsiaTheme="minorEastAsia"/>
                <w:szCs w:val="21"/>
              </w:rPr>
              <w:t xml:space="preserve">； </w:t>
            </w:r>
          </w:p>
          <w:p w14:paraId="763738BF">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（3）</w:t>
            </w:r>
            <w:r>
              <w:rPr>
                <w:rFonts w:hint="eastAsia" w:cs="宋体" w:asciiTheme="minorEastAsia" w:hAnsiTheme="minorEastAsia" w:eastAsiaTheme="minorEastAsia"/>
                <w:szCs w:val="21"/>
              </w:rPr>
              <w:t>对未能达到的管理要求承担管理责任</w:t>
            </w:r>
            <w:r>
              <w:rPr>
                <w:rFonts w:asciiTheme="minorEastAsia" w:hAnsiTheme="minorEastAsia" w:eastAsiaTheme="minorEastAsia"/>
                <w:szCs w:val="21"/>
              </w:rPr>
              <w:t>。</w:t>
            </w:r>
          </w:p>
          <w:p w14:paraId="51A4C67C">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43B4AC5D">
            <w:pPr>
              <w:autoSpaceDE w:val="0"/>
              <w:autoSpaceDN w:val="0"/>
              <w:adjustRightInd w:val="0"/>
              <w:spacing w:line="36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提供《违约承诺函》（格式自定）作为得分依据，未提供承诺或承诺内容不满足要求不得分。</w:t>
            </w:r>
          </w:p>
        </w:tc>
        <w:tc>
          <w:tcPr>
            <w:tcW w:w="1187" w:type="dxa"/>
            <w:vAlign w:val="center"/>
          </w:tcPr>
          <w:p w14:paraId="5A6DB0CC">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3FBE4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21" w:hRule="atLeast"/>
          <w:jc w:val="center"/>
        </w:trPr>
        <w:tc>
          <w:tcPr>
            <w:tcW w:w="754" w:type="dxa"/>
            <w:vAlign w:val="center"/>
          </w:tcPr>
          <w:p w14:paraId="50C36B1C">
            <w:pPr>
              <w:widowControl/>
              <w:snapToGrid w:val="0"/>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6</w:t>
            </w:r>
          </w:p>
        </w:tc>
        <w:tc>
          <w:tcPr>
            <w:tcW w:w="1143" w:type="dxa"/>
            <w:vAlign w:val="center"/>
          </w:tcPr>
          <w:p w14:paraId="7C41228F">
            <w:pPr>
              <w:widowControl/>
              <w:spacing w:line="36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拟安排的项目负责人(仅限1人）情况</w:t>
            </w:r>
          </w:p>
        </w:tc>
        <w:tc>
          <w:tcPr>
            <w:tcW w:w="709" w:type="dxa"/>
            <w:vAlign w:val="center"/>
          </w:tcPr>
          <w:p w14:paraId="51A568FF">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5953" w:type="dxa"/>
            <w:vAlign w:val="center"/>
          </w:tcPr>
          <w:p w14:paraId="2F7CD127">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61A4408A">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拟安排的项目负责人</w:t>
            </w:r>
            <w:r>
              <w:rPr>
                <w:rFonts w:hint="eastAsia" w:cs="宋体" w:asciiTheme="minorEastAsia" w:hAnsiTheme="minorEastAsia" w:eastAsiaTheme="minorEastAsia"/>
                <w:color w:val="000000"/>
                <w:kern w:val="0"/>
                <w:szCs w:val="21"/>
              </w:rPr>
              <w:t>(仅限1人）</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14:textFill>
                  <w14:solidFill>
                    <w14:schemeClr w14:val="tx1"/>
                  </w14:solidFill>
                </w14:textFill>
              </w:rPr>
              <w:t>正式聘任</w:t>
            </w:r>
            <w:r>
              <w:rPr>
                <w:rFonts w:hint="eastAsia" w:asciiTheme="minorEastAsia" w:hAnsiTheme="minorEastAsia" w:eastAsiaTheme="minorEastAsia"/>
                <w:szCs w:val="21"/>
              </w:rPr>
              <w:t>员工，否则本项不得分。在此基础上，按以下标准评分：</w:t>
            </w:r>
          </w:p>
          <w:p w14:paraId="3EF79F44">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w:t>
            </w:r>
            <w:bookmarkStart w:id="0" w:name="OLE_LINK2"/>
            <w:r>
              <w:rPr>
                <w:rFonts w:hint="eastAsia" w:asciiTheme="minorEastAsia" w:hAnsiTheme="minorEastAsia" w:eastAsiaTheme="minorEastAsia"/>
                <w:szCs w:val="21"/>
              </w:rPr>
              <w:t>具有全日制本科或以上学历的得3分；</w:t>
            </w:r>
          </w:p>
          <w:p w14:paraId="0E47EA97">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（2）具有原厂培训资格认证证书的得3分；</w:t>
            </w:r>
          </w:p>
          <w:p w14:paraId="5193A52B">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（3）具有同类项目担任项目负责人工作经验得4分。</w:t>
            </w:r>
          </w:p>
          <w:bookmarkEnd w:id="0"/>
          <w:p w14:paraId="1194A195">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3BC1DEA5">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 提供项目负责人通过投标单位缴纳的载有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3FBD2166">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 提供项目负责人资格证书、毕业证书（或学位证书）以及学信网查询记录，对于学信网无法查询的，还需提供毕业院校或人社部门或教育部门等颁发机构或监管机构出具的证明，否则无效；</w:t>
            </w:r>
          </w:p>
          <w:p w14:paraId="632A9AC4">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 涉及考察人员工作经验的，要求提供项目合同关键信息作为评分依据，通过合同关键信息无法判断是否得分的，还需同时提供合同甲方出具的证明文件；</w:t>
            </w:r>
          </w:p>
          <w:p w14:paraId="4E0C5A67">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4. 涉及</w:t>
            </w:r>
            <w:r>
              <w:rPr>
                <w:rFonts w:hint="eastAsia" w:asciiTheme="minorEastAsia" w:hAnsiTheme="minorEastAsia" w:eastAsiaTheme="minorEastAsia"/>
              </w:rPr>
              <w:t>考察</w:t>
            </w:r>
            <w:r>
              <w:rPr>
                <w:rFonts w:hint="eastAsia" w:asciiTheme="minorEastAsia" w:hAnsiTheme="minorEastAsia" w:eastAsiaTheme="minorEastAsia"/>
                <w:szCs w:val="21"/>
              </w:rPr>
              <w:t>职业技能等级证书的，要求提供</w:t>
            </w:r>
            <w:r>
              <w:rPr>
                <w:rFonts w:hint="eastAsia" w:asciiTheme="minorEastAsia" w:hAnsiTheme="minorEastAsia" w:eastAsiaTheme="minorEastAsia"/>
              </w:rPr>
              <w:t>证书颁发单位在职业技能等级评价机构公示查询系统（网址：http://pjjg.osta.org.cn/）的备案记录查询截图，颁发单位无备案记录的视为无效证书；</w:t>
            </w:r>
          </w:p>
          <w:p w14:paraId="42A86E6A">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szCs w:val="21"/>
              </w:rPr>
              <w:t>5. 如证书由行业协会颁发的，需提供该行业协会在“中国社会组织政务服务平台”（网址：</w:t>
            </w:r>
            <w:r>
              <w:rPr>
                <w:rFonts w:asciiTheme="minorEastAsia" w:hAnsiTheme="minorEastAsia" w:eastAsiaTheme="minorEastAsia"/>
                <w:szCs w:val="21"/>
              </w:rPr>
              <w:t>https://chinanpo.mca.gov.cn/</w:t>
            </w:r>
            <w:r>
              <w:rPr>
                <w:rFonts w:hint="eastAsia" w:asciiTheme="minorEastAsia" w:hAnsiTheme="minorEastAsia" w:eastAsiaTheme="minorEastAsia"/>
                <w:szCs w:val="21"/>
              </w:rPr>
              <w:t>）查询的已合法登记且状态正常截图，否则不予认可，视为无效证书；</w:t>
            </w:r>
          </w:p>
          <w:p w14:paraId="28ABD067">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6.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2A115955">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3E1AA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0B95CB9D">
            <w:pPr>
              <w:widowControl/>
              <w:snapToGrid w:val="0"/>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7</w:t>
            </w:r>
          </w:p>
        </w:tc>
        <w:tc>
          <w:tcPr>
            <w:tcW w:w="1143" w:type="dxa"/>
            <w:vAlign w:val="center"/>
          </w:tcPr>
          <w:p w14:paraId="5E720713">
            <w:pPr>
              <w:widowControl/>
              <w:spacing w:line="36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拟安排的项目团队成员（项目负责人除外）情况</w:t>
            </w:r>
          </w:p>
        </w:tc>
        <w:tc>
          <w:tcPr>
            <w:tcW w:w="709" w:type="dxa"/>
            <w:vAlign w:val="center"/>
          </w:tcPr>
          <w:p w14:paraId="32AA56E7">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15</w:t>
            </w:r>
          </w:p>
        </w:tc>
        <w:tc>
          <w:tcPr>
            <w:tcW w:w="5953" w:type="dxa"/>
            <w:vAlign w:val="center"/>
          </w:tcPr>
          <w:p w14:paraId="795C040E">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79B2E24F">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拟安排的项目团队成员（项目负责人除外）需为投标人正式聘任员工，否则本项不得分。在此基础上，按以下标准评分：</w:t>
            </w:r>
          </w:p>
          <w:p w14:paraId="7A282417">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（1）具有全日制本科或以上学历的得5分；</w:t>
            </w:r>
          </w:p>
          <w:p w14:paraId="5A7C84A4">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（2）具有原厂培训资格认证证书的得5分；</w:t>
            </w:r>
          </w:p>
          <w:p w14:paraId="60290330">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（3）具有同类项目担任项目负责人工作经验得5分。</w:t>
            </w:r>
          </w:p>
          <w:p w14:paraId="50B56402">
            <w:pPr>
              <w:spacing w:line="360" w:lineRule="exact"/>
              <w:rPr>
                <w:rFonts w:hint="eastAsia" w:asciiTheme="minorEastAsia" w:hAnsiTheme="minorEastAsia" w:eastAsiaTheme="minorEastAsia"/>
                <w:szCs w:val="21"/>
              </w:rPr>
            </w:pPr>
            <w:r>
              <w:rPr>
                <w:rFonts w:asciiTheme="minorEastAsia" w:hAnsiTheme="minorEastAsia" w:eastAsiaTheme="minorEastAsia"/>
                <w:szCs w:val="21"/>
              </w:rPr>
              <w:t>注：同一人</w:t>
            </w:r>
            <w:r>
              <w:rPr>
                <w:rFonts w:hint="eastAsia" w:asciiTheme="minorEastAsia" w:hAnsiTheme="minorEastAsia" w:eastAsiaTheme="minorEastAsia"/>
                <w:szCs w:val="21"/>
              </w:rPr>
              <w:t>员</w:t>
            </w:r>
            <w:r>
              <w:rPr>
                <w:rFonts w:asciiTheme="minorEastAsia" w:hAnsiTheme="minorEastAsia" w:eastAsiaTheme="minorEastAsia"/>
                <w:szCs w:val="21"/>
              </w:rPr>
              <w:t>不可累计得分，如同一人</w:t>
            </w:r>
            <w:r>
              <w:rPr>
                <w:rFonts w:hint="eastAsia" w:asciiTheme="minorEastAsia" w:hAnsiTheme="minorEastAsia" w:eastAsiaTheme="minorEastAsia"/>
                <w:szCs w:val="21"/>
              </w:rPr>
              <w:t>员</w:t>
            </w:r>
            <w:r>
              <w:rPr>
                <w:rFonts w:asciiTheme="minorEastAsia" w:hAnsiTheme="minorEastAsia" w:eastAsiaTheme="minorEastAsia"/>
                <w:szCs w:val="21"/>
              </w:rPr>
              <w:t>具有上述多个证书的，按得分最优情况计分。</w:t>
            </w:r>
          </w:p>
          <w:p w14:paraId="4E3BEA8B">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476AB92C">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 提供项目团队成员通过投标单位缴纳的载有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67D042CE">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 提供上述职称证书、资格证书，毕业证书（或学位证书）以及学信网查询记录，对于学信网无法查询的，还需提供毕业院校或人社部门或教育部门等颁发机构或监管机构出具的证明，否则无效；</w:t>
            </w:r>
          </w:p>
          <w:p w14:paraId="7E15C9E3">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 涉及考察人员工作经验的，要求提供项目合同关键信息作为评分依据，通过合同关键信息无法判断是否得分的，还需同时提供合同甲方出具的证明文件；</w:t>
            </w:r>
          </w:p>
          <w:p w14:paraId="7BEAA0A7">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4. 涉及</w:t>
            </w:r>
            <w:r>
              <w:rPr>
                <w:rFonts w:hint="eastAsia" w:asciiTheme="minorEastAsia" w:hAnsiTheme="minorEastAsia" w:eastAsiaTheme="minorEastAsia"/>
              </w:rPr>
              <w:t>考察</w:t>
            </w:r>
            <w:r>
              <w:rPr>
                <w:rFonts w:hint="eastAsia" w:asciiTheme="minorEastAsia" w:hAnsiTheme="minorEastAsia" w:eastAsiaTheme="minorEastAsia"/>
                <w:szCs w:val="21"/>
              </w:rPr>
              <w:t>职业技能等级证书的，要求提供</w:t>
            </w:r>
            <w:r>
              <w:rPr>
                <w:rFonts w:hint="eastAsia" w:asciiTheme="minorEastAsia" w:hAnsiTheme="minorEastAsia" w:eastAsiaTheme="minorEastAsia"/>
              </w:rPr>
              <w:t>证书颁发单位在职业技能等级评价机构公示查询系统（网址：http://pjjg.osta.org.cn/）的备案记录查询截图，颁发单位无备案记录的视为无效证书；</w:t>
            </w:r>
          </w:p>
          <w:p w14:paraId="485A55DE">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szCs w:val="21"/>
              </w:rPr>
              <w:t>5. 如证书由行业协会颁发的，需提供该行业协会在“中国社会组织政务服务平台”（网址：</w:t>
            </w:r>
            <w:r>
              <w:rPr>
                <w:rFonts w:asciiTheme="minorEastAsia" w:hAnsiTheme="minorEastAsia" w:eastAsiaTheme="minorEastAsia"/>
                <w:szCs w:val="21"/>
              </w:rPr>
              <w:t>https://chinanpo.mca.gov.cn/</w:t>
            </w:r>
            <w:r>
              <w:rPr>
                <w:rFonts w:hint="eastAsia" w:asciiTheme="minorEastAsia" w:hAnsiTheme="minorEastAsia" w:eastAsiaTheme="minorEastAsia"/>
                <w:szCs w:val="21"/>
              </w:rPr>
              <w:t>）查询的已合法登记且状态正常截图，否则不予认可，视为无效证书；</w:t>
            </w:r>
          </w:p>
          <w:p w14:paraId="41B2FBAA">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6.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06D46BF3">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2CFEC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3AAAF79C">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2929A6FA">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25</w:t>
            </w:r>
          </w:p>
        </w:tc>
      </w:tr>
      <w:tr w14:paraId="2B6AC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03544196">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7150A1A9">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74EC976F">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权重</w:t>
            </w:r>
          </w:p>
        </w:tc>
        <w:tc>
          <w:tcPr>
            <w:tcW w:w="5953" w:type="dxa"/>
            <w:vAlign w:val="center"/>
          </w:tcPr>
          <w:p w14:paraId="0C566AA9">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3E0B984B">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1A32C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60D757C6">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w:t>
            </w:r>
          </w:p>
        </w:tc>
        <w:tc>
          <w:tcPr>
            <w:tcW w:w="1143" w:type="dxa"/>
            <w:vAlign w:val="center"/>
          </w:tcPr>
          <w:p w14:paraId="77B8D4C3">
            <w:pPr>
              <w:spacing w:line="360" w:lineRule="exact"/>
              <w:jc w:val="center"/>
              <w:rPr>
                <w:rFonts w:hint="eastAsia"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投标人体系认证情况</w:t>
            </w:r>
          </w:p>
        </w:tc>
        <w:tc>
          <w:tcPr>
            <w:tcW w:w="709" w:type="dxa"/>
            <w:vAlign w:val="center"/>
          </w:tcPr>
          <w:p w14:paraId="34D48619">
            <w:pPr>
              <w:spacing w:line="360" w:lineRule="exact"/>
              <w:jc w:val="center"/>
              <w:rPr>
                <w:rFonts w:hint="eastAsia" w:asciiTheme="minorEastAsia" w:hAnsiTheme="minorEastAsia" w:eastAsiaTheme="minorEastAsia"/>
                <w:kern w:val="0"/>
                <w:szCs w:val="21"/>
              </w:rPr>
            </w:pPr>
            <w:r>
              <w:rPr>
                <w:rFonts w:hint="eastAsia" w:cs="宋体" w:asciiTheme="minorEastAsia" w:hAnsiTheme="minorEastAsia" w:eastAsiaTheme="minorEastAsia"/>
                <w:szCs w:val="21"/>
              </w:rPr>
              <w:t>3</w:t>
            </w:r>
          </w:p>
        </w:tc>
        <w:tc>
          <w:tcPr>
            <w:tcW w:w="5953" w:type="dxa"/>
            <w:vAlign w:val="center"/>
          </w:tcPr>
          <w:p w14:paraId="1D37FE11">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3F8E8C1E">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投标人具有</w:t>
            </w:r>
            <w:r>
              <w:rPr>
                <w:rFonts w:hint="eastAsia" w:asciiTheme="minorEastAsia" w:hAnsiTheme="minorEastAsia" w:eastAsiaTheme="minorEastAsia"/>
                <w:bCs/>
                <w:szCs w:val="21"/>
              </w:rPr>
              <w:t>ISO9001</w:t>
            </w:r>
            <w:r>
              <w:rPr>
                <w:rFonts w:hint="eastAsia" w:asciiTheme="minorEastAsia" w:hAnsiTheme="minorEastAsia" w:eastAsiaTheme="minorEastAsia"/>
                <w:kern w:val="0"/>
                <w:szCs w:val="21"/>
              </w:rPr>
              <w:t>质量管理体系认证证书、</w:t>
            </w:r>
            <w:r>
              <w:rPr>
                <w:rFonts w:asciiTheme="minorEastAsia" w:hAnsiTheme="minorEastAsia" w:eastAsiaTheme="minorEastAsia"/>
                <w:kern w:val="0"/>
                <w:szCs w:val="21"/>
              </w:rPr>
              <w:t>ISO14001</w:t>
            </w:r>
            <w:r>
              <w:rPr>
                <w:rFonts w:hint="eastAsia" w:asciiTheme="minorEastAsia" w:hAnsiTheme="minorEastAsia" w:eastAsiaTheme="minorEastAsia"/>
                <w:kern w:val="0"/>
                <w:szCs w:val="21"/>
              </w:rPr>
              <w:t>环境管理体系认证证书、ISO45001职业健康安全管理体系认证证书，提供1个有效认证证书得1分，最高得3分。</w:t>
            </w:r>
          </w:p>
          <w:p w14:paraId="1974A6E5">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045DD3D7">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 提供有效认证证书（如认证证书注明年审要求的，必须按规定年审且证书在有效期内的方为有效；如未注明年审要求的，证书必须在有效期内的方为有效）；</w:t>
            </w:r>
          </w:p>
          <w:p w14:paraId="3409BABB">
            <w:pPr>
              <w:autoSpaceDE w:val="0"/>
              <w:autoSpaceDN w:val="0"/>
              <w:adjustRightInd w:val="0"/>
              <w:spacing w:line="360" w:lineRule="exact"/>
              <w:jc w:val="left"/>
              <w:rPr>
                <w:rFonts w:hint="eastAsia" w:cs="仿宋" w:asciiTheme="minorEastAsia" w:hAnsiTheme="minorEastAsia" w:eastAsiaTheme="minorEastAsia"/>
                <w:szCs w:val="21"/>
                <w:lang w:val="zh-CN"/>
              </w:rPr>
            </w:pPr>
            <w:r>
              <w:rPr>
                <w:rFonts w:hint="eastAsia" w:asciiTheme="minorEastAsia" w:hAnsiTheme="minorEastAsia" w:eastAsiaTheme="minorEastAsia"/>
                <w:kern w:val="0"/>
                <w:szCs w:val="21"/>
              </w:rPr>
              <w:t>2. 提供证书官网或权威机构【如：全国认证认可信息公共服务平台（cx.cnca.cn）】认证信息查询截图（截图需显示证书状态为有效）。</w:t>
            </w:r>
            <w:r>
              <w:rPr>
                <w:rFonts w:hint="eastAsia" w:cs="仿宋" w:asciiTheme="minorEastAsia" w:hAnsiTheme="minorEastAsia" w:eastAsiaTheme="minorEastAsia"/>
                <w:szCs w:val="21"/>
                <w:lang w:val="zh-CN"/>
              </w:rPr>
              <w:t>相关证书在公开渠道无法查询的，投标人需提供颁发部门或者监管机构的证明材料，证明证书真实有效且为合法机构颁发；</w:t>
            </w:r>
          </w:p>
          <w:p w14:paraId="0B8F9736">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szCs w:val="21"/>
              </w:rPr>
              <w:t>3. 如证书由行业协会颁发，需提供该行业协会在“中国社会组织政务服务平台”（网址：</w:t>
            </w:r>
            <w:r>
              <w:rPr>
                <w:rFonts w:asciiTheme="minorEastAsia" w:hAnsiTheme="minorEastAsia" w:eastAsiaTheme="minorEastAsia"/>
                <w:szCs w:val="21"/>
              </w:rPr>
              <w:t>https://chinanpo.mca.gov.cn/</w:t>
            </w:r>
            <w:r>
              <w:rPr>
                <w:rFonts w:hint="eastAsia" w:asciiTheme="minorEastAsia" w:hAnsiTheme="minorEastAsia" w:eastAsiaTheme="minorEastAsia"/>
                <w:szCs w:val="21"/>
              </w:rPr>
              <w:t>）查询的已合法登记且状态正常截图，否则不予认可，视为无效证书；</w:t>
            </w:r>
          </w:p>
          <w:p w14:paraId="6DB177E3">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提供以上证明文件复印件或扫描件，如涉及网站截图或照片等证明材料,需提供清晰图片,均要求加盖投标人公章,原件备查。未按要求提供有效证明材料或提供不清晰导致评委无法识别的不计得分</w:t>
            </w:r>
            <w:r>
              <w:rPr>
                <w:rFonts w:hint="eastAsia" w:cs="仿宋" w:asciiTheme="minorEastAsia" w:hAnsiTheme="minorEastAsia" w:eastAsiaTheme="minorEastAsia"/>
                <w:szCs w:val="21"/>
                <w:lang w:val="zh-CN"/>
              </w:rPr>
              <w:t>。</w:t>
            </w:r>
          </w:p>
        </w:tc>
        <w:tc>
          <w:tcPr>
            <w:tcW w:w="1187" w:type="dxa"/>
            <w:vAlign w:val="center"/>
          </w:tcPr>
          <w:p w14:paraId="1C95D957">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7D803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433AC803">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6F2D8732">
            <w:pPr>
              <w:adjustRightInd w:val="0"/>
              <w:snapToGrid w:val="0"/>
              <w:spacing w:line="360" w:lineRule="exact"/>
              <w:jc w:val="center"/>
              <w:rPr>
                <w:rFonts w:hint="eastAsia" w:asciiTheme="minorEastAsia" w:hAnsiTheme="minorEastAsia" w:eastAsiaTheme="minorEastAsia"/>
                <w:snapToGrid w:val="0"/>
                <w:kern w:val="0"/>
                <w:szCs w:val="21"/>
              </w:rPr>
            </w:pPr>
            <w:r>
              <w:rPr>
                <w:rFonts w:hint="eastAsia" w:cs="宋体" w:asciiTheme="minorEastAsia" w:hAnsiTheme="minorEastAsia" w:eastAsiaTheme="minorEastAsia"/>
                <w:color w:val="000000"/>
                <w:kern w:val="0"/>
                <w:szCs w:val="21"/>
              </w:rPr>
              <w:t>同类项目业绩情况</w:t>
            </w:r>
          </w:p>
        </w:tc>
        <w:tc>
          <w:tcPr>
            <w:tcW w:w="709" w:type="dxa"/>
            <w:vAlign w:val="center"/>
          </w:tcPr>
          <w:p w14:paraId="395FA404">
            <w:pPr>
              <w:adjustRightInd w:val="0"/>
              <w:snapToGrid w:val="0"/>
              <w:spacing w:line="360" w:lineRule="exact"/>
              <w:jc w:val="center"/>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12</w:t>
            </w:r>
          </w:p>
        </w:tc>
        <w:tc>
          <w:tcPr>
            <w:tcW w:w="5953" w:type="dxa"/>
            <w:vAlign w:val="center"/>
          </w:tcPr>
          <w:p w14:paraId="6C841EEF">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35A59185">
            <w:pPr>
              <w:adjustRightInd w:val="0"/>
              <w:snapToGrid w:val="0"/>
              <w:spacing w:line="36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2021年1月1日至本项目投标截止日（以合同签订日期</w:t>
            </w:r>
            <w:r>
              <w:rPr>
                <w:rFonts w:hint="eastAsia" w:asciiTheme="minorEastAsia" w:hAnsiTheme="minorEastAsia" w:eastAsiaTheme="minorEastAsia"/>
                <w:szCs w:val="21"/>
              </w:rPr>
              <w:t>或合同中载明的履约起始日期</w:t>
            </w:r>
            <w:r>
              <w:rPr>
                <w:rFonts w:hint="eastAsia" w:cs="宋体" w:asciiTheme="minorEastAsia" w:hAnsiTheme="minorEastAsia" w:eastAsiaTheme="minorEastAsia"/>
                <w:szCs w:val="21"/>
              </w:rPr>
              <w:t>为准），投标人具有</w:t>
            </w:r>
            <w:r>
              <w:rPr>
                <w:rFonts w:hint="eastAsia" w:cs="宋体" w:asciiTheme="minorEastAsia" w:hAnsiTheme="minorEastAsia" w:eastAsiaTheme="minorEastAsia"/>
                <w:bCs/>
                <w:szCs w:val="21"/>
              </w:rPr>
              <w:t>同类项目业绩</w:t>
            </w:r>
            <w:r>
              <w:rPr>
                <w:rFonts w:hint="eastAsia" w:cs="宋体" w:asciiTheme="minorEastAsia" w:hAnsiTheme="minorEastAsia" w:eastAsiaTheme="minorEastAsia"/>
                <w:szCs w:val="21"/>
              </w:rPr>
              <w:t>且获得履约评价结果为“优”或“满意”</w:t>
            </w:r>
            <w:r>
              <w:rPr>
                <w:rFonts w:hint="eastAsia" w:cs="宋体" w:asciiTheme="minorEastAsia" w:hAnsiTheme="minorEastAsia" w:eastAsiaTheme="minorEastAsia"/>
                <w:bCs/>
                <w:szCs w:val="21"/>
              </w:rPr>
              <w:t>或评价中最高等级（以评分作为评价结果的不予计算）</w:t>
            </w:r>
            <w:r>
              <w:rPr>
                <w:rFonts w:hint="eastAsia" w:cs="宋体" w:asciiTheme="minorEastAsia" w:hAnsiTheme="minorEastAsia" w:eastAsiaTheme="minorEastAsia"/>
                <w:szCs w:val="21"/>
              </w:rPr>
              <w:t>，每提供1个项目得4分,最高得12分。同一项目续签合同的不可重复得分。</w:t>
            </w:r>
          </w:p>
          <w:p w14:paraId="06684842">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77BBE732">
            <w:pPr>
              <w:adjustRightInd w:val="0"/>
              <w:snapToGrid w:val="0"/>
              <w:spacing w:line="360" w:lineRule="exact"/>
              <w:rPr>
                <w:rFonts w:hint="eastAsia" w:asciiTheme="minorEastAsia" w:hAnsiTheme="minorEastAsia" w:eastAsiaTheme="minorEastAsia"/>
                <w:szCs w:val="21"/>
              </w:rPr>
            </w:pPr>
            <w:r>
              <w:rPr>
                <w:rFonts w:hint="eastAsia" w:cs="仿宋" w:asciiTheme="minorEastAsia" w:hAnsiTheme="minorEastAsia" w:eastAsiaTheme="minorEastAsia"/>
                <w:szCs w:val="21"/>
              </w:rPr>
              <w:t>1. 提供合同关键页</w:t>
            </w:r>
            <w:r>
              <w:rPr>
                <w:rFonts w:cs="宋体" w:asciiTheme="minorEastAsia" w:hAnsiTheme="minorEastAsia" w:eastAsiaTheme="minorEastAsia"/>
                <w:szCs w:val="21"/>
              </w:rPr>
              <w:t>（关键信息包括但不仅限于合同的项目名称、服务内容、合同服务期限、甲乙双方签字盖章页）</w:t>
            </w:r>
            <w:r>
              <w:rPr>
                <w:rFonts w:hint="eastAsia" w:asciiTheme="minorEastAsia" w:hAnsiTheme="minorEastAsia" w:eastAsiaTheme="minorEastAsia"/>
                <w:bCs/>
                <w:szCs w:val="21"/>
              </w:rPr>
              <w:t>且提供的材料各项信息不得有任何遮挡</w:t>
            </w:r>
            <w:r>
              <w:rPr>
                <w:rFonts w:hint="eastAsia" w:asciiTheme="minorEastAsia" w:hAnsiTheme="minorEastAsia" w:eastAsiaTheme="minorEastAsia"/>
                <w:szCs w:val="21"/>
              </w:rPr>
              <w:t>；</w:t>
            </w:r>
          </w:p>
          <w:p w14:paraId="4B89C8CE">
            <w:pPr>
              <w:adjustRightInd w:val="0"/>
              <w:snapToGri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 通过合同关键信息无法判断是否得分的，还需提供能证明得分的其它证明资料，如项目报告或合同甲方出具的证明文件；</w:t>
            </w:r>
          </w:p>
          <w:p w14:paraId="40C8C2E4">
            <w:pPr>
              <w:adjustRightInd w:val="0"/>
              <w:snapToGri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cs="仿宋" w:asciiTheme="minorEastAsia" w:hAnsiTheme="minorEastAsia" w:eastAsiaTheme="minorEastAsia"/>
                <w:szCs w:val="21"/>
              </w:rPr>
              <w:t xml:space="preserve"> 提供加盖合同甲方公章或甲方业务章的</w:t>
            </w:r>
            <w:r>
              <w:rPr>
                <w:rFonts w:hint="eastAsia" w:cs="宋体" w:asciiTheme="minorEastAsia" w:hAnsiTheme="minorEastAsia" w:eastAsiaTheme="minorEastAsia"/>
                <w:szCs w:val="21"/>
              </w:rPr>
              <w:t>履约评价证明材料；</w:t>
            </w:r>
          </w:p>
          <w:p w14:paraId="512AB416">
            <w:pPr>
              <w:adjustRightInd w:val="0"/>
              <w:snapToGri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4. 提供以上证明文件复印件或扫描件，如涉及网站截图或照片等证明材料,需提供清晰图片,均要求加盖投标人公章,原件备查。未按要求提供有效证明材料或提供不清晰导致评委无法识别的不计得分。</w:t>
            </w:r>
          </w:p>
          <w:p w14:paraId="708D8419">
            <w:pPr>
              <w:adjustRightInd w:val="0"/>
              <w:snapToGrid w:val="0"/>
              <w:spacing w:line="360" w:lineRule="exact"/>
              <w:rPr>
                <w:rFonts w:hint="eastAsia" w:asciiTheme="minorEastAsia" w:hAnsiTheme="minorEastAsia" w:eastAsiaTheme="minorEastAsia"/>
                <w:b/>
                <w:bCs/>
                <w:kern w:val="0"/>
                <w:szCs w:val="21"/>
              </w:rPr>
            </w:pPr>
            <w:r>
              <w:rPr>
                <w:rFonts w:hint="eastAsia" w:cs="宋体" w:asciiTheme="minorEastAsia" w:hAnsiTheme="minorEastAsia" w:eastAsiaTheme="minorEastAsia"/>
                <w:szCs w:val="21"/>
              </w:rPr>
              <w:t>注：为便于评委评审，履约评价证明文件应附在同类项目业绩证明文件后，每个项目对应一份履约评价证明。</w:t>
            </w:r>
          </w:p>
        </w:tc>
        <w:tc>
          <w:tcPr>
            <w:tcW w:w="1187" w:type="dxa"/>
            <w:vAlign w:val="center"/>
          </w:tcPr>
          <w:p w14:paraId="297C12EB">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1F9FC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63F89ECD">
            <w:pPr>
              <w:widowControl/>
              <w:snapToGrid w:val="0"/>
              <w:spacing w:line="360" w:lineRule="exact"/>
              <w:jc w:val="center"/>
              <w:rPr>
                <w:rFonts w:hint="eastAsia" w:cs="宋体" w:asciiTheme="minorEastAsia" w:hAnsiTheme="minorEastAsia" w:eastAsiaTheme="minorEastAsia"/>
                <w:kern w:val="0"/>
                <w:szCs w:val="21"/>
              </w:rPr>
            </w:pPr>
            <w:r>
              <w:rPr>
                <w:rFonts w:hint="eastAsia" w:asciiTheme="minorEastAsia" w:hAnsiTheme="minorEastAsia" w:eastAsiaTheme="minorEastAsia"/>
                <w:kern w:val="0"/>
                <w:szCs w:val="21"/>
              </w:rPr>
              <w:t>3</w:t>
            </w:r>
          </w:p>
        </w:tc>
        <w:tc>
          <w:tcPr>
            <w:tcW w:w="1143" w:type="dxa"/>
            <w:vAlign w:val="center"/>
          </w:tcPr>
          <w:p w14:paraId="25ADBEF0">
            <w:pPr>
              <w:spacing w:line="360" w:lineRule="exact"/>
              <w:jc w:val="center"/>
              <w:rPr>
                <w:rFonts w:hint="eastAsia" w:cs="仿宋" w:asciiTheme="minorEastAsia" w:hAnsiTheme="minorEastAsia" w:eastAsiaTheme="minorEastAsia"/>
                <w:szCs w:val="21"/>
              </w:rPr>
            </w:pPr>
            <w:r>
              <w:rPr>
                <w:rFonts w:hint="eastAsia" w:asciiTheme="minorEastAsia" w:hAnsiTheme="minorEastAsia" w:eastAsiaTheme="minorEastAsia"/>
                <w:kern w:val="0"/>
                <w:szCs w:val="21"/>
                <w:lang w:val="zh-CN"/>
              </w:rPr>
              <w:t>获奖（荣誉）情况</w:t>
            </w:r>
          </w:p>
        </w:tc>
        <w:tc>
          <w:tcPr>
            <w:tcW w:w="709" w:type="dxa"/>
            <w:vAlign w:val="center"/>
          </w:tcPr>
          <w:p w14:paraId="4ECBEE98">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506F9F9B">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6B7F40DE">
            <w:pPr>
              <w:tabs>
                <w:tab w:val="left" w:pos="175"/>
              </w:tabs>
              <w:spacing w:line="360" w:lineRule="exact"/>
              <w:ind w:left="33"/>
              <w:jc w:val="left"/>
              <w:rPr>
                <w:rFonts w:hint="eastAsia" w:cs="宋体" w:asciiTheme="minorEastAsia" w:hAnsiTheme="minorEastAsia" w:eastAsiaTheme="minorEastAsia"/>
                <w:bCs/>
                <w:kern w:val="0"/>
                <w:szCs w:val="21"/>
              </w:rPr>
            </w:pPr>
            <w:r>
              <w:rPr>
                <w:rFonts w:hint="eastAsia" w:cs="宋体" w:asciiTheme="minorEastAsia" w:hAnsiTheme="minorEastAsia" w:eastAsiaTheme="minorEastAsia"/>
                <w:szCs w:val="21"/>
              </w:rPr>
              <w:t>2021</w:t>
            </w:r>
            <w:r>
              <w:rPr>
                <w:rFonts w:hint="eastAsia" w:cs="宋体" w:asciiTheme="minorEastAsia" w:hAnsiTheme="minorEastAsia" w:eastAsiaTheme="minorEastAsia"/>
                <w:bCs/>
                <w:kern w:val="0"/>
                <w:szCs w:val="21"/>
              </w:rPr>
              <w:t>年1月1日至</w:t>
            </w:r>
            <w:r>
              <w:rPr>
                <w:rFonts w:hint="eastAsia" w:cs="宋体" w:asciiTheme="minorEastAsia" w:hAnsiTheme="minorEastAsia" w:eastAsiaTheme="minorEastAsia"/>
                <w:szCs w:val="21"/>
              </w:rPr>
              <w:t>本项目投标截止日</w:t>
            </w:r>
            <w:r>
              <w:rPr>
                <w:rFonts w:hint="eastAsia" w:cs="宋体" w:asciiTheme="minorEastAsia" w:hAnsiTheme="minorEastAsia" w:eastAsiaTheme="minorEastAsia"/>
                <w:bCs/>
                <w:kern w:val="0"/>
                <w:szCs w:val="21"/>
              </w:rPr>
              <w:t>（以证书颁发日期为准），投标人获得以下荣誉或奖项：</w:t>
            </w:r>
          </w:p>
          <w:p w14:paraId="6D10EA2F">
            <w:pPr>
              <w:tabs>
                <w:tab w:val="left" w:pos="175"/>
              </w:tabs>
              <w:spacing w:line="360" w:lineRule="exact"/>
              <w:ind w:left="33"/>
              <w:jc w:val="left"/>
              <w:rPr>
                <w:rFonts w:hint="eastAsia"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1）国家级奖项每一个得5分；</w:t>
            </w:r>
          </w:p>
          <w:p w14:paraId="7769A971">
            <w:pPr>
              <w:tabs>
                <w:tab w:val="left" w:pos="175"/>
              </w:tabs>
              <w:spacing w:line="360" w:lineRule="exact"/>
              <w:ind w:left="33"/>
              <w:jc w:val="left"/>
              <w:rPr>
                <w:rFonts w:hint="eastAsia"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2）省级或以上奖项每一个得2.5分；</w:t>
            </w:r>
          </w:p>
          <w:p w14:paraId="1D701A10">
            <w:pPr>
              <w:tabs>
                <w:tab w:val="left" w:pos="175"/>
              </w:tabs>
              <w:spacing w:line="360" w:lineRule="exact"/>
              <w:ind w:left="33"/>
              <w:jc w:val="left"/>
              <w:rPr>
                <w:rFonts w:hint="eastAsia"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3）市级或以上奖项每一个得1分；</w:t>
            </w:r>
          </w:p>
          <w:p w14:paraId="421FA3D2">
            <w:pPr>
              <w:tabs>
                <w:tab w:val="left" w:pos="175"/>
              </w:tabs>
              <w:spacing w:line="360" w:lineRule="exact"/>
              <w:ind w:left="33"/>
              <w:jc w:val="left"/>
              <w:rPr>
                <w:rFonts w:hint="eastAsia"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4）其他不得分，累计最高得5分。</w:t>
            </w:r>
          </w:p>
          <w:p w14:paraId="7A155F91">
            <w:pPr>
              <w:autoSpaceDE w:val="0"/>
              <w:autoSpaceDN w:val="0"/>
              <w:adjustRightInd w:val="0"/>
              <w:spacing w:line="360" w:lineRule="exact"/>
              <w:jc w:val="left"/>
              <w:rPr>
                <w:rFonts w:hint="eastAsia"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国家级奖项要求颁发单位为国务院或国家部委；省级奖项要求颁发单位为省级（含自治区、直辖市）人民政府（或行业主管行政机关），不含副省级；市级奖项要求颁发单位为市级人民政府（或行业主管行政机关）。</w:t>
            </w:r>
          </w:p>
          <w:p w14:paraId="3233F33D">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6BB432BE">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1. 要求提供奖项照片或获奖（荣誉）证书作为得分依据；</w:t>
            </w:r>
          </w:p>
          <w:p w14:paraId="0E0F8303">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2.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7E63F6CB">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70261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13FE2D7D">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4</w:t>
            </w:r>
          </w:p>
        </w:tc>
        <w:tc>
          <w:tcPr>
            <w:tcW w:w="1143" w:type="dxa"/>
            <w:vAlign w:val="center"/>
          </w:tcPr>
          <w:p w14:paraId="1A1C391B">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5DA12BD4">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6AF659CA">
            <w:pPr>
              <w:spacing w:line="360" w:lineRule="exact"/>
              <w:ind w:left="34" w:leftChars="16"/>
              <w:rPr>
                <w:rFonts w:hint="eastAsia"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67A614DE">
            <w:pPr>
              <w:tabs>
                <w:tab w:val="left" w:pos="175"/>
              </w:tabs>
              <w:spacing w:line="360" w:lineRule="exact"/>
              <w:ind w:left="33"/>
              <w:jc w:val="left"/>
              <w:rPr>
                <w:rFonts w:hint="eastAsia" w:cs="仿宋" w:asciiTheme="minorEastAsia" w:hAnsiTheme="minorEastAsia" w:eastAsiaTheme="minorEastAsia"/>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36A19057">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3F0DE484">
      <w:pPr>
        <w:spacing w:line="440" w:lineRule="exact"/>
        <w:ind w:firstLine="482" w:firstLineChars="200"/>
        <w:jc w:val="left"/>
        <w:rPr>
          <w:rFonts w:hint="eastAsia" w:ascii="仿宋_GB2312" w:hAnsi="华文仿宋" w:eastAsia="仿宋_GB2312"/>
          <w:sz w:val="24"/>
        </w:rPr>
      </w:pPr>
      <w:r>
        <w:rPr>
          <w:rFonts w:hint="eastAsia" w:ascii="仿宋_GB2312" w:hAnsi="华文仿宋" w:eastAsia="仿宋_GB2312"/>
          <w:b/>
          <w:bCs/>
          <w:color w:val="FF0000"/>
          <w:sz w:val="24"/>
        </w:rPr>
        <w:t>注意事项</w:t>
      </w:r>
      <w:r>
        <w:rPr>
          <w:rFonts w:hint="eastAsia" w:ascii="仿宋_GB2312" w:hAnsi="华文仿宋" w:eastAsia="仿宋_GB2312"/>
          <w:sz w:val="24"/>
        </w:rPr>
        <w:t>：供应商资格设置、评审因素和评审标准必须符合以下法律法规要求（包括但不限于）具体如下：</w:t>
      </w:r>
    </w:p>
    <w:p w14:paraId="1590B837">
      <w:pPr>
        <w:spacing w:line="440" w:lineRule="exact"/>
        <w:ind w:firstLine="480" w:firstLineChars="200"/>
        <w:jc w:val="left"/>
        <w:rPr>
          <w:rFonts w:hint="eastAsia" w:ascii="仿宋_GB2312" w:hAnsi="华文仿宋" w:eastAsia="仿宋_GB2312"/>
          <w:sz w:val="24"/>
        </w:rPr>
      </w:pPr>
      <w:r>
        <w:rPr>
          <w:rFonts w:hint="eastAsia" w:ascii="仿宋_GB2312" w:hAnsi="华文仿宋" w:eastAsia="仿宋_GB2312"/>
          <w:sz w:val="24"/>
        </w:rPr>
        <w:t>1.《中华人民共和国政府采购法实施条例》第二十条 采购人或者采购代理机构有下列情形之一的，属于以不合理的条件对供应商实行差别待遇或者歧视待遇：</w:t>
      </w:r>
    </w:p>
    <w:p w14:paraId="231EE06B">
      <w:pPr>
        <w:spacing w:line="440" w:lineRule="exact"/>
        <w:ind w:firstLine="480" w:firstLineChars="200"/>
        <w:jc w:val="left"/>
        <w:rPr>
          <w:rFonts w:hint="eastAsia" w:ascii="仿宋_GB2312" w:hAnsi="华文仿宋" w:eastAsia="仿宋_GB2312"/>
          <w:sz w:val="24"/>
        </w:rPr>
      </w:pPr>
      <w:r>
        <w:rPr>
          <w:rFonts w:hint="eastAsia" w:ascii="仿宋_GB2312" w:hAnsi="华文仿宋" w:eastAsia="仿宋_GB2312"/>
          <w:sz w:val="24"/>
        </w:rPr>
        <w:t>（一）就同一采购项目向供应商提供有差别的项目信息；</w:t>
      </w:r>
    </w:p>
    <w:p w14:paraId="642FFA8C">
      <w:pPr>
        <w:spacing w:line="440" w:lineRule="exact"/>
        <w:ind w:firstLine="480" w:firstLineChars="200"/>
        <w:jc w:val="left"/>
        <w:rPr>
          <w:rFonts w:hint="eastAsia" w:ascii="仿宋_GB2312" w:hAnsi="华文仿宋" w:eastAsia="仿宋_GB2312"/>
          <w:color w:val="FF0000"/>
          <w:sz w:val="24"/>
        </w:rPr>
      </w:pPr>
      <w:r>
        <w:rPr>
          <w:rFonts w:hint="eastAsia" w:ascii="仿宋_GB2312" w:hAnsi="华文仿宋" w:eastAsia="仿宋_GB2312"/>
          <w:color w:val="FF0000"/>
          <w:sz w:val="24"/>
        </w:rPr>
        <w:t>（二）设定的资格、技术、商务条件与采购项目的具体特点和实际需要不相适应或者与合同履行无关；</w:t>
      </w:r>
    </w:p>
    <w:p w14:paraId="69DC5433">
      <w:pPr>
        <w:spacing w:line="440" w:lineRule="exact"/>
        <w:ind w:firstLine="480" w:firstLineChars="200"/>
        <w:jc w:val="left"/>
        <w:rPr>
          <w:rFonts w:hint="eastAsia" w:ascii="仿宋_GB2312" w:hAnsi="华文仿宋" w:eastAsia="仿宋_GB2312"/>
          <w:sz w:val="24"/>
        </w:rPr>
      </w:pPr>
      <w:r>
        <w:rPr>
          <w:rFonts w:hint="eastAsia" w:ascii="仿宋_GB2312" w:hAnsi="华文仿宋" w:eastAsia="仿宋_GB2312"/>
          <w:sz w:val="24"/>
        </w:rPr>
        <w:t>（三）采购需求中的技术、服务等要求指向特定供应商、特定产品；</w:t>
      </w:r>
    </w:p>
    <w:p w14:paraId="51259E4C">
      <w:pPr>
        <w:spacing w:line="440" w:lineRule="exact"/>
        <w:ind w:firstLine="480" w:firstLineChars="200"/>
        <w:jc w:val="left"/>
        <w:rPr>
          <w:rFonts w:hint="eastAsia" w:ascii="仿宋_GB2312" w:hAnsi="华文仿宋" w:eastAsia="仿宋_GB2312"/>
          <w:color w:val="FF0000"/>
          <w:sz w:val="24"/>
        </w:rPr>
      </w:pPr>
      <w:r>
        <w:rPr>
          <w:rFonts w:hint="eastAsia" w:ascii="仿宋_GB2312" w:hAnsi="华文仿宋" w:eastAsia="仿宋_GB2312"/>
          <w:color w:val="FF0000"/>
          <w:sz w:val="24"/>
        </w:rPr>
        <w:t>（四）以特定行政区域或者特定行业的业绩、奖项作为加分条件或者中标、成交条件；</w:t>
      </w:r>
    </w:p>
    <w:p w14:paraId="1EDA6349">
      <w:pPr>
        <w:spacing w:line="440" w:lineRule="exact"/>
        <w:ind w:firstLine="480" w:firstLineChars="200"/>
        <w:jc w:val="left"/>
        <w:rPr>
          <w:rFonts w:hint="eastAsia" w:ascii="仿宋_GB2312" w:hAnsi="华文仿宋" w:eastAsia="仿宋_GB2312"/>
          <w:sz w:val="24"/>
        </w:rPr>
      </w:pPr>
      <w:r>
        <w:rPr>
          <w:rFonts w:hint="eastAsia" w:ascii="仿宋_GB2312" w:hAnsi="华文仿宋" w:eastAsia="仿宋_GB2312"/>
          <w:sz w:val="24"/>
        </w:rPr>
        <w:t>（五）对供应商采取不同的资格审查或者评审标准；</w:t>
      </w:r>
    </w:p>
    <w:p w14:paraId="6B871926">
      <w:pPr>
        <w:spacing w:line="440" w:lineRule="exact"/>
        <w:ind w:firstLine="480" w:firstLineChars="200"/>
        <w:jc w:val="left"/>
        <w:rPr>
          <w:rFonts w:hint="eastAsia" w:ascii="仿宋_GB2312" w:hAnsi="华文仿宋" w:eastAsia="仿宋_GB2312"/>
          <w:sz w:val="24"/>
        </w:rPr>
      </w:pPr>
      <w:r>
        <w:rPr>
          <w:rFonts w:hint="eastAsia" w:ascii="仿宋_GB2312" w:hAnsi="华文仿宋" w:eastAsia="仿宋_GB2312"/>
          <w:sz w:val="24"/>
        </w:rPr>
        <w:t>（六）限定或者指定特定的专利、商标、品牌或者供应商；</w:t>
      </w:r>
    </w:p>
    <w:p w14:paraId="777B9D71">
      <w:pPr>
        <w:spacing w:line="440" w:lineRule="exact"/>
        <w:ind w:firstLine="480" w:firstLineChars="200"/>
        <w:jc w:val="left"/>
        <w:rPr>
          <w:rFonts w:hint="eastAsia" w:ascii="仿宋_GB2312" w:hAnsi="华文仿宋" w:eastAsia="仿宋_GB2312"/>
          <w:sz w:val="24"/>
        </w:rPr>
      </w:pPr>
      <w:r>
        <w:rPr>
          <w:rFonts w:hint="eastAsia" w:ascii="仿宋_GB2312" w:hAnsi="华文仿宋" w:eastAsia="仿宋_GB2312"/>
          <w:sz w:val="24"/>
        </w:rPr>
        <w:t>（七）非法限定供应商的所有制形式、组织形式或者所在地；</w:t>
      </w:r>
    </w:p>
    <w:p w14:paraId="7F6D3686">
      <w:pPr>
        <w:spacing w:line="440" w:lineRule="exact"/>
        <w:ind w:firstLine="480" w:firstLineChars="200"/>
        <w:jc w:val="left"/>
        <w:rPr>
          <w:rFonts w:hint="eastAsia" w:ascii="仿宋_GB2312" w:hAnsi="华文仿宋" w:eastAsia="仿宋_GB2312"/>
          <w:sz w:val="24"/>
        </w:rPr>
      </w:pPr>
      <w:r>
        <w:rPr>
          <w:rFonts w:hint="eastAsia" w:ascii="仿宋_GB2312" w:hAnsi="华文仿宋" w:eastAsia="仿宋_GB2312"/>
          <w:sz w:val="24"/>
        </w:rPr>
        <w:t>（八）以其他不合理条件限制或者排斥潜在供应商。</w:t>
      </w:r>
    </w:p>
    <w:p w14:paraId="6666A7C0">
      <w:pPr>
        <w:spacing w:line="440" w:lineRule="exact"/>
        <w:ind w:firstLine="480" w:firstLineChars="200"/>
        <w:jc w:val="left"/>
        <w:rPr>
          <w:rFonts w:hint="eastAsia" w:ascii="仿宋_GB2312" w:hAnsi="华文仿宋" w:eastAsia="仿宋_GB2312"/>
          <w:sz w:val="24"/>
        </w:rPr>
      </w:pPr>
      <w:r>
        <w:rPr>
          <w:rFonts w:hint="eastAsia" w:ascii="仿宋_GB2312" w:hAnsi="华文仿宋" w:eastAsia="仿宋_GB2312"/>
          <w:sz w:val="24"/>
        </w:rPr>
        <w:t>2.《深圳经济特区政府采购条例实施细则》第三十四条：编制招标文件应当增加价格因素在政府采购评审中的权重，招标文件不得含有下列内容:</w:t>
      </w:r>
    </w:p>
    <w:p w14:paraId="772968B2">
      <w:pPr>
        <w:spacing w:line="440" w:lineRule="exact"/>
        <w:ind w:firstLine="480" w:firstLineChars="200"/>
        <w:jc w:val="left"/>
        <w:rPr>
          <w:rFonts w:hint="eastAsia" w:ascii="仿宋_GB2312" w:hAnsi="华文仿宋" w:eastAsia="仿宋_GB2312"/>
          <w:color w:val="FF0000"/>
          <w:sz w:val="24"/>
        </w:rPr>
      </w:pPr>
      <w:r>
        <w:rPr>
          <w:rFonts w:hint="eastAsia" w:ascii="仿宋_GB2312" w:hAnsi="华文仿宋" w:eastAsia="仿宋_GB2312"/>
          <w:color w:val="FF0000"/>
          <w:sz w:val="24"/>
        </w:rPr>
        <w:t>(一)与项目等级不相适应的资质要求，含有倾向、限制或者排斥潜在投标供应商等有违公平竞争的规格标准或者技术条款。</w:t>
      </w:r>
    </w:p>
    <w:p w14:paraId="066C322B">
      <w:pPr>
        <w:spacing w:line="440" w:lineRule="exact"/>
        <w:ind w:firstLine="480" w:firstLineChars="200"/>
        <w:jc w:val="left"/>
        <w:rPr>
          <w:rFonts w:hint="eastAsia" w:ascii="仿宋_GB2312" w:hAnsi="华文仿宋" w:eastAsia="仿宋_GB2312"/>
          <w:sz w:val="24"/>
        </w:rPr>
      </w:pPr>
      <w:r>
        <w:rPr>
          <w:rFonts w:hint="eastAsia" w:ascii="仿宋_GB2312" w:hAnsi="华文仿宋" w:eastAsia="仿宋_GB2312"/>
          <w:sz w:val="24"/>
        </w:rPr>
        <w:t>(二)标明特定的供应商或者产品，指定品牌或者原产地，要求制造商对某个项目特定授权。</w:t>
      </w:r>
    </w:p>
    <w:p w14:paraId="579A4F74">
      <w:pPr>
        <w:spacing w:line="440" w:lineRule="exact"/>
        <w:ind w:firstLine="480" w:firstLineChars="200"/>
        <w:jc w:val="left"/>
        <w:rPr>
          <w:rFonts w:hint="eastAsia" w:ascii="仿宋_GB2312" w:hAnsi="华文仿宋" w:eastAsia="仿宋_GB2312"/>
          <w:sz w:val="24"/>
        </w:rPr>
      </w:pPr>
      <w:r>
        <w:rPr>
          <w:rFonts w:hint="eastAsia" w:ascii="仿宋_GB2312" w:hAnsi="华文仿宋" w:eastAsia="仿宋_GB2312"/>
          <w:sz w:val="24"/>
        </w:rPr>
        <w:t>(三)根据某个企业或者品牌的产品说明书或者技术指标编制采购需求参数。</w:t>
      </w:r>
    </w:p>
    <w:p w14:paraId="5EF3E396">
      <w:pPr>
        <w:spacing w:line="440" w:lineRule="exact"/>
        <w:ind w:firstLine="480" w:firstLineChars="200"/>
        <w:jc w:val="left"/>
        <w:rPr>
          <w:rFonts w:hint="eastAsia" w:ascii="仿宋_GB2312" w:hAnsi="华文仿宋" w:eastAsia="仿宋_GB2312"/>
          <w:color w:val="FF0000"/>
          <w:sz w:val="24"/>
        </w:rPr>
      </w:pPr>
      <w:r>
        <w:rPr>
          <w:rFonts w:hint="eastAsia" w:ascii="仿宋_GB2312" w:hAnsi="华文仿宋" w:eastAsia="仿宋_GB2312"/>
          <w:color w:val="FF0000"/>
          <w:sz w:val="24"/>
        </w:rPr>
        <w:t>(四)将注册资本、资产总额、营业收入、从业人员、利润、纳税额、业绩经验、经营网点、现场踏勘等条件作为合格供应商资质条款。</w:t>
      </w:r>
    </w:p>
    <w:p w14:paraId="761D8707">
      <w:pPr>
        <w:spacing w:line="440" w:lineRule="exact"/>
        <w:ind w:firstLine="480" w:firstLineChars="200"/>
        <w:jc w:val="left"/>
        <w:rPr>
          <w:rFonts w:hint="eastAsia" w:ascii="仿宋_GB2312" w:hAnsi="华文仿宋" w:eastAsia="仿宋_GB2312"/>
          <w:sz w:val="24"/>
        </w:rPr>
      </w:pPr>
      <w:r>
        <w:rPr>
          <w:rFonts w:hint="eastAsia" w:ascii="仿宋_GB2312" w:hAnsi="华文仿宋" w:eastAsia="仿宋_GB2312"/>
          <w:sz w:val="24"/>
        </w:rPr>
        <w:t>(五)其他歧视性、排他性等不合理条款。</w:t>
      </w:r>
    </w:p>
    <w:p w14:paraId="54B71EB2">
      <w:pPr>
        <w:spacing w:line="440" w:lineRule="exact"/>
        <w:ind w:firstLine="482" w:firstLineChars="200"/>
        <w:jc w:val="left"/>
        <w:rPr>
          <w:rFonts w:hint="eastAsia" w:ascii="仿宋_GB2312" w:hAnsi="华文仿宋" w:eastAsia="仿宋_GB2312"/>
          <w:b/>
          <w:sz w:val="24"/>
        </w:rPr>
      </w:pPr>
      <w:r>
        <w:rPr>
          <w:rFonts w:hint="eastAsia" w:ascii="仿宋_GB2312" w:hAnsi="华文仿宋" w:eastAsia="仿宋_GB2312"/>
          <w:b/>
          <w:sz w:val="24"/>
        </w:rPr>
        <w:t>资格核查标准、评标标准、分值权重等评审要求未在招标文件中载明的，不得作为评审依据。</w:t>
      </w:r>
    </w:p>
    <w:p w14:paraId="23B24A82">
      <w:pPr>
        <w:spacing w:line="440" w:lineRule="exact"/>
        <w:ind w:firstLine="480" w:firstLineChars="200"/>
        <w:jc w:val="left"/>
        <w:rPr>
          <w:rFonts w:hint="eastAsia" w:ascii="仿宋_GB2312" w:hAnsi="华文仿宋" w:eastAsia="仿宋_GB2312"/>
          <w:color w:val="FF0000"/>
          <w:sz w:val="24"/>
        </w:rPr>
      </w:pPr>
      <w:r>
        <w:rPr>
          <w:rFonts w:hint="eastAsia" w:ascii="仿宋_GB2312" w:hAnsi="华文仿宋" w:eastAsia="仿宋_GB2312"/>
          <w:sz w:val="24"/>
        </w:rPr>
        <w:t>3.《政府采购货物和服务招标投标管理办法》（财政部87号令）第十七条：采购人、采购代理机构</w:t>
      </w:r>
      <w:r>
        <w:rPr>
          <w:rFonts w:hint="eastAsia" w:ascii="仿宋_GB2312" w:hAnsi="华文仿宋" w:eastAsia="仿宋_GB2312"/>
          <w:color w:val="FF0000"/>
          <w:sz w:val="24"/>
        </w:rPr>
        <w:t>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14:paraId="44C206DF">
      <w:pPr>
        <w:spacing w:line="440" w:lineRule="exact"/>
        <w:ind w:firstLine="480" w:firstLineChars="200"/>
        <w:jc w:val="left"/>
        <w:rPr>
          <w:rFonts w:hint="eastAsia" w:ascii="仿宋_GB2312" w:hAnsi="华文仿宋" w:eastAsia="仿宋_GB2312"/>
          <w:color w:val="FF0000"/>
          <w:sz w:val="24"/>
        </w:rPr>
      </w:pPr>
      <w:r>
        <w:rPr>
          <w:rFonts w:hint="eastAsia" w:ascii="仿宋_GB2312" w:hAnsi="华文仿宋" w:eastAsia="仿宋_GB2312"/>
          <w:sz w:val="24"/>
        </w:rPr>
        <w:t>4.《深圳市政府采购招标文件编制负面清单》（2019年版）（深财购【2019】16号）。</w:t>
      </w:r>
      <w:r>
        <w:rPr>
          <w:rFonts w:hint="eastAsia" w:ascii="仿宋_GB2312" w:hAnsi="华文仿宋" w:eastAsia="仿宋_GB2312"/>
          <w:color w:val="FF0000"/>
          <w:sz w:val="24"/>
        </w:rPr>
        <w:t>不得设置投标人经营年限、经验合同金额作为评审因素。</w:t>
      </w:r>
    </w:p>
    <w:p w14:paraId="4938A528">
      <w:pPr>
        <w:spacing w:line="440" w:lineRule="exact"/>
        <w:ind w:firstLine="480" w:firstLineChars="200"/>
        <w:jc w:val="left"/>
        <w:rPr>
          <w:rFonts w:hint="eastAsia" w:ascii="仿宋_GB2312" w:hAnsi="华文仿宋" w:eastAsia="仿宋_GB2312"/>
          <w:sz w:val="32"/>
          <w:szCs w:val="32"/>
        </w:rPr>
      </w:pPr>
      <w:r>
        <w:rPr>
          <w:rFonts w:hint="eastAsia" w:ascii="仿宋_GB2312" w:hAnsi="华文仿宋" w:eastAsia="仿宋_GB2312"/>
          <w:color w:val="FF0000"/>
          <w:sz w:val="24"/>
        </w:rPr>
        <w:t>5.其他。不得设置最低限价，不得通过设置费用占比变相设置最低限价。</w:t>
      </w:r>
    </w:p>
    <w:p w14:paraId="102141B2">
      <w:pPr>
        <w:keepNext/>
        <w:keepLines/>
        <w:pageBreakBefore/>
        <w:adjustRightInd w:val="0"/>
        <w:spacing w:line="560" w:lineRule="exact"/>
        <w:jc w:val="center"/>
        <w:textAlignment w:val="baseline"/>
        <w:outlineLvl w:val="1"/>
        <w:rPr>
          <w:rFonts w:hint="eastAsia" w:ascii="黑体" w:hAnsi="黑体" w:eastAsia="黑体"/>
          <w:sz w:val="40"/>
          <w:szCs w:val="40"/>
        </w:rPr>
      </w:pPr>
      <w:r>
        <w:rPr>
          <w:rFonts w:hint="eastAsia" w:ascii="黑体" w:hAnsi="黑体" w:eastAsia="黑体"/>
          <w:sz w:val="40"/>
          <w:szCs w:val="40"/>
        </w:rPr>
        <w:t>具体服务需求</w:t>
      </w:r>
    </w:p>
    <w:tbl>
      <w:tblPr>
        <w:tblStyle w:val="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669"/>
      </w:tblGrid>
      <w:tr w14:paraId="1477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13" w:type="pct"/>
            <w:tcBorders>
              <w:top w:val="single" w:color="auto" w:sz="4" w:space="0"/>
              <w:left w:val="single" w:color="auto" w:sz="4" w:space="0"/>
              <w:bottom w:val="single" w:color="auto" w:sz="4" w:space="0"/>
              <w:right w:val="single" w:color="auto" w:sz="4" w:space="0"/>
            </w:tcBorders>
          </w:tcPr>
          <w:p w14:paraId="5955FC3A">
            <w:pPr>
              <w:spacing w:after="78"/>
              <w:rPr>
                <w:rFonts w:hint="eastAsia" w:ascii="宋体" w:hAnsi="宋体"/>
                <w:color w:val="000000"/>
                <w:kern w:val="0"/>
                <w:sz w:val="22"/>
                <w:szCs w:val="22"/>
              </w:rPr>
            </w:pPr>
            <w:r>
              <w:rPr>
                <w:rFonts w:hint="eastAsia" w:ascii="宋体" w:hAnsi="宋体"/>
                <w:color w:val="000000"/>
                <w:kern w:val="0"/>
                <w:sz w:val="22"/>
                <w:szCs w:val="22"/>
              </w:rPr>
              <w:t>项目名称</w:t>
            </w:r>
          </w:p>
        </w:tc>
        <w:tc>
          <w:tcPr>
            <w:tcW w:w="4286" w:type="pct"/>
            <w:tcBorders>
              <w:top w:val="single" w:color="auto" w:sz="4" w:space="0"/>
              <w:left w:val="single" w:color="auto" w:sz="4" w:space="0"/>
              <w:bottom w:val="single" w:color="auto" w:sz="4" w:space="0"/>
              <w:right w:val="single" w:color="auto" w:sz="4" w:space="0"/>
            </w:tcBorders>
          </w:tcPr>
          <w:p w14:paraId="4F9C5830">
            <w:pPr>
              <w:spacing w:after="78"/>
              <w:jc w:val="center"/>
              <w:rPr>
                <w:color w:val="000000"/>
                <w:sz w:val="22"/>
                <w:szCs w:val="22"/>
              </w:rPr>
            </w:pPr>
          </w:p>
          <w:p w14:paraId="29A9CE00">
            <w:pPr>
              <w:spacing w:after="78"/>
              <w:jc w:val="center"/>
              <w:rPr>
                <w:rFonts w:ascii="仿宋_GB2312"/>
                <w:color w:val="000000"/>
                <w:sz w:val="22"/>
                <w:szCs w:val="22"/>
              </w:rPr>
            </w:pPr>
            <w:r>
              <w:rPr>
                <w:rFonts w:ascii="仿宋_GB2312"/>
                <w:color w:val="000000"/>
                <w:sz w:val="22"/>
                <w:szCs w:val="22"/>
              </w:rPr>
              <w:t>医用磁共振成像系统Ingenia 3.0T维保</w:t>
            </w:r>
          </w:p>
          <w:p w14:paraId="73835A99">
            <w:pPr>
              <w:pStyle w:val="2"/>
            </w:pPr>
          </w:p>
        </w:tc>
      </w:tr>
      <w:tr w14:paraId="0A55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tcBorders>
              <w:top w:val="single" w:color="auto" w:sz="4" w:space="0"/>
              <w:left w:val="single" w:color="auto" w:sz="4" w:space="0"/>
              <w:bottom w:val="single" w:color="auto" w:sz="4" w:space="0"/>
              <w:right w:val="single" w:color="auto" w:sz="4" w:space="0"/>
            </w:tcBorders>
          </w:tcPr>
          <w:p w14:paraId="0C52781A">
            <w:pPr>
              <w:spacing w:after="78"/>
              <w:rPr>
                <w:rFonts w:hint="eastAsia" w:ascii="宋体" w:hAnsi="宋体"/>
                <w:color w:val="000000"/>
                <w:kern w:val="0"/>
                <w:sz w:val="22"/>
                <w:szCs w:val="22"/>
              </w:rPr>
            </w:pPr>
            <w:r>
              <w:rPr>
                <w:rFonts w:hint="eastAsia" w:ascii="宋体" w:hAnsi="宋体"/>
                <w:color w:val="000000"/>
                <w:kern w:val="0"/>
                <w:sz w:val="22"/>
                <w:szCs w:val="22"/>
              </w:rPr>
              <w:t>用途</w:t>
            </w:r>
          </w:p>
        </w:tc>
        <w:tc>
          <w:tcPr>
            <w:tcW w:w="4286" w:type="pct"/>
            <w:tcBorders>
              <w:top w:val="single" w:color="auto" w:sz="4" w:space="0"/>
              <w:left w:val="single" w:color="auto" w:sz="4" w:space="0"/>
              <w:bottom w:val="single" w:color="auto" w:sz="4" w:space="0"/>
              <w:right w:val="single" w:color="auto" w:sz="4" w:space="0"/>
            </w:tcBorders>
          </w:tcPr>
          <w:p w14:paraId="7C1B775E">
            <w:pPr>
              <w:spacing w:after="78"/>
              <w:rPr>
                <w:color w:val="000000"/>
                <w:sz w:val="22"/>
                <w:szCs w:val="22"/>
              </w:rPr>
            </w:pPr>
            <w:r>
              <w:rPr>
                <w:rFonts w:hint="eastAsia"/>
                <w:color w:val="000000"/>
                <w:sz w:val="22"/>
                <w:szCs w:val="22"/>
              </w:rPr>
              <w:t>磁共振扫描仪（飞利浦Ingenia3.0T)整机维保</w:t>
            </w:r>
          </w:p>
          <w:p w14:paraId="6033A989">
            <w:pPr>
              <w:spacing w:after="78"/>
              <w:rPr>
                <w:rFonts w:hint="eastAsia" w:ascii="宋体" w:hAnsi="宋体"/>
                <w:color w:val="000000"/>
                <w:kern w:val="0"/>
                <w:sz w:val="22"/>
                <w:szCs w:val="22"/>
              </w:rPr>
            </w:pPr>
          </w:p>
        </w:tc>
      </w:tr>
      <w:tr w14:paraId="048B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13" w:type="pct"/>
            <w:tcBorders>
              <w:top w:val="single" w:color="auto" w:sz="4" w:space="0"/>
              <w:left w:val="single" w:color="auto" w:sz="4" w:space="0"/>
              <w:bottom w:val="single" w:color="auto" w:sz="4" w:space="0"/>
              <w:right w:val="single" w:color="auto" w:sz="4" w:space="0"/>
            </w:tcBorders>
          </w:tcPr>
          <w:p w14:paraId="6741AD70">
            <w:pPr>
              <w:spacing w:after="78"/>
              <w:rPr>
                <w:rFonts w:hint="eastAsia" w:ascii="宋体" w:hAnsi="宋体"/>
                <w:color w:val="000000"/>
                <w:kern w:val="0"/>
                <w:sz w:val="22"/>
                <w:szCs w:val="22"/>
              </w:rPr>
            </w:pPr>
            <w:r>
              <w:rPr>
                <w:rFonts w:hint="eastAsia" w:ascii="宋体" w:hAnsi="宋体"/>
                <w:color w:val="000000"/>
                <w:kern w:val="0"/>
                <w:sz w:val="22"/>
                <w:szCs w:val="22"/>
              </w:rPr>
              <w:t>服务内容</w:t>
            </w:r>
          </w:p>
        </w:tc>
        <w:tc>
          <w:tcPr>
            <w:tcW w:w="4286" w:type="pct"/>
            <w:tcBorders>
              <w:top w:val="single" w:color="auto" w:sz="4" w:space="0"/>
              <w:left w:val="single" w:color="auto" w:sz="4" w:space="0"/>
              <w:bottom w:val="single" w:color="auto" w:sz="4" w:space="0"/>
              <w:right w:val="single" w:color="auto" w:sz="4" w:space="0"/>
            </w:tcBorders>
          </w:tcPr>
          <w:p w14:paraId="3B8C36B5">
            <w:pPr>
              <w:numPr>
                <w:ilvl w:val="255"/>
                <w:numId w:val="0"/>
              </w:numPr>
              <w:spacing w:after="78"/>
              <w:ind w:firstLine="420" w:firstLineChars="200"/>
            </w:pPr>
            <w:r>
              <w:rPr>
                <w:rFonts w:hint="eastAsia"/>
                <w:kern w:val="12"/>
                <w:szCs w:val="21"/>
              </w:rPr>
              <w:t>MR</w:t>
            </w:r>
            <w:r>
              <w:rPr>
                <w:rFonts w:hint="eastAsia"/>
                <w:kern w:val="12"/>
                <w:szCs w:val="21"/>
                <w:lang w:val="en-GB"/>
              </w:rPr>
              <w:t>设备维修保养项目内容：</w:t>
            </w:r>
            <w:r>
              <w:rPr>
                <w:rFonts w:hint="eastAsia"/>
                <w:sz w:val="22"/>
                <w:szCs w:val="22"/>
              </w:rPr>
              <w:t>保修期内包含每台每年3次保养服务，不限次数到场技术服务和远程诊断服务，备件范围包含：整机主机（含梯度、射频、床、主控计算机、重建服务器等）、线圈、冷却系统（冷头，氦压机以及正常消耗的液氦）、水冷系统（内置水冷以及外置第三方水冷机）、操作室主控系统以及设备间飞利浦的设备，不包含除水冷机外的任何第三方备件以及相匹配使用的附属设备（比如高压注射器，床边超声和床旁监护仪，</w:t>
            </w:r>
            <w:r>
              <w:rPr>
                <w:sz w:val="22"/>
                <w:szCs w:val="22"/>
              </w:rPr>
              <w:t>UPS</w:t>
            </w:r>
            <w:r>
              <w:rPr>
                <w:rFonts w:hint="eastAsia"/>
                <w:sz w:val="22"/>
                <w:szCs w:val="22"/>
              </w:rPr>
              <w:t>，精密空调，抽湿机，外配打印机或外配工作站等）</w:t>
            </w:r>
          </w:p>
        </w:tc>
      </w:tr>
      <w:tr w14:paraId="15C5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713" w:type="pct"/>
            <w:tcBorders>
              <w:top w:val="single" w:color="auto" w:sz="4" w:space="0"/>
              <w:left w:val="single" w:color="auto" w:sz="4" w:space="0"/>
              <w:bottom w:val="single" w:color="auto" w:sz="4" w:space="0"/>
              <w:right w:val="single" w:color="auto" w:sz="4" w:space="0"/>
            </w:tcBorders>
            <w:vAlign w:val="center"/>
          </w:tcPr>
          <w:p w14:paraId="22E1BE74">
            <w:pPr>
              <w:widowControl/>
              <w:spacing w:after="78"/>
              <w:jc w:val="left"/>
              <w:rPr>
                <w:rFonts w:hint="eastAsia" w:ascii="宋体" w:hAnsi="宋体"/>
                <w:bCs/>
                <w:color w:val="000000"/>
                <w:sz w:val="22"/>
                <w:szCs w:val="22"/>
              </w:rPr>
            </w:pPr>
            <w:r>
              <w:rPr>
                <w:rFonts w:hint="eastAsia" w:ascii="宋体" w:hAnsi="宋体"/>
                <w:color w:val="000000"/>
                <w:kern w:val="0"/>
                <w:sz w:val="22"/>
                <w:szCs w:val="22"/>
              </w:rPr>
              <w:t>商务参数</w:t>
            </w:r>
          </w:p>
        </w:tc>
        <w:tc>
          <w:tcPr>
            <w:tcW w:w="4286" w:type="pct"/>
            <w:tcBorders>
              <w:top w:val="single" w:color="auto" w:sz="4" w:space="0"/>
              <w:left w:val="single" w:color="auto" w:sz="4" w:space="0"/>
              <w:bottom w:val="single" w:color="auto" w:sz="4" w:space="0"/>
              <w:right w:val="single" w:color="auto" w:sz="4" w:space="0"/>
            </w:tcBorders>
          </w:tcPr>
          <w:p w14:paraId="512C22E9">
            <w:pPr>
              <w:numPr>
                <w:ilvl w:val="0"/>
                <w:numId w:val="1"/>
              </w:numPr>
              <w:snapToGrid w:val="0"/>
              <w:spacing w:after="78"/>
              <w:rPr>
                <w:rFonts w:hint="eastAsia" w:ascii="宋体" w:hAnsi="宋体"/>
                <w:szCs w:val="20"/>
              </w:rPr>
            </w:pPr>
            <w:r>
              <w:rPr>
                <w:rFonts w:ascii="宋体" w:hAnsi="宋体"/>
                <w:szCs w:val="20"/>
              </w:rPr>
              <w:t>项目预算：</w:t>
            </w:r>
            <w:r>
              <w:rPr>
                <w:rFonts w:hint="eastAsia" w:ascii="宋体" w:hAnsi="宋体"/>
                <w:szCs w:val="20"/>
              </w:rPr>
              <w:t xml:space="preserve"> </w:t>
            </w:r>
            <w:r>
              <w:rPr>
                <w:rFonts w:ascii="宋体" w:hAnsi="宋体"/>
                <w:szCs w:val="20"/>
              </w:rPr>
              <w:t>93万元。</w:t>
            </w:r>
          </w:p>
          <w:p w14:paraId="6E84E04F">
            <w:pPr>
              <w:spacing w:line="360" w:lineRule="auto"/>
              <w:rPr>
                <w:kern w:val="12"/>
                <w:szCs w:val="21"/>
                <w:lang w:val="en-GB"/>
              </w:rPr>
            </w:pPr>
            <w:r>
              <w:rPr>
                <w:rFonts w:hint="eastAsia"/>
                <w:kern w:val="12"/>
                <w:szCs w:val="21"/>
              </w:rPr>
              <w:t>2</w:t>
            </w:r>
            <w:r>
              <w:rPr>
                <w:rFonts w:hint="eastAsia"/>
                <w:kern w:val="12"/>
                <w:szCs w:val="21"/>
                <w:lang w:val="en-GB"/>
              </w:rPr>
              <w:t>、热线服务：</w:t>
            </w:r>
          </w:p>
          <w:p w14:paraId="16C4824B">
            <w:pPr>
              <w:spacing w:line="360" w:lineRule="auto"/>
              <w:ind w:firstLine="420" w:firstLineChars="200"/>
              <w:rPr>
                <w:kern w:val="12"/>
                <w:szCs w:val="21"/>
              </w:rPr>
            </w:pPr>
            <w:r>
              <w:rPr>
                <w:rFonts w:hint="eastAsia"/>
                <w:kern w:val="12"/>
                <w:szCs w:val="21"/>
                <w:lang w:val="en-GB"/>
              </w:rPr>
              <w:t>在标书中提供400/800免费热线电话，24小时 *365天有工程师接听，为用户快速诊断和提供技术支持服务。</w:t>
            </w:r>
            <w:r>
              <w:rPr>
                <w:kern w:val="12"/>
                <w:szCs w:val="21"/>
              </w:rPr>
              <w:t>远程服务响应时间</w:t>
            </w:r>
            <w:r>
              <w:rPr>
                <w:rFonts w:hint="eastAsia"/>
                <w:kern w:val="12"/>
                <w:szCs w:val="21"/>
              </w:rPr>
              <w:t>2小时内</w:t>
            </w:r>
            <w:r>
              <w:rPr>
                <w:kern w:val="12"/>
                <w:szCs w:val="21"/>
              </w:rPr>
              <w:t>。</w:t>
            </w:r>
          </w:p>
          <w:p w14:paraId="2A1F4247">
            <w:pPr>
              <w:spacing w:line="360" w:lineRule="auto"/>
              <w:ind w:firstLine="420" w:firstLineChars="200"/>
              <w:rPr>
                <w:kern w:val="12"/>
                <w:szCs w:val="21"/>
                <w:lang w:val="en-GB"/>
              </w:rPr>
            </w:pPr>
            <w:r>
              <w:rPr>
                <w:rFonts w:hint="eastAsia"/>
                <w:kern w:val="12"/>
                <w:szCs w:val="21"/>
                <w:lang w:val="en-GB"/>
              </w:rPr>
              <w:t>接到维修要求后，</w:t>
            </w:r>
            <w:r>
              <w:rPr>
                <w:rFonts w:hint="eastAsia"/>
                <w:kern w:val="12"/>
                <w:szCs w:val="21"/>
              </w:rPr>
              <w:t>如设备宕机，工程师</w:t>
            </w:r>
            <w:r>
              <w:rPr>
                <w:rFonts w:hint="eastAsia"/>
                <w:kern w:val="12"/>
                <w:szCs w:val="21"/>
                <w:lang w:val="en-GB"/>
              </w:rPr>
              <w:t>不超过24小时到达现场；</w:t>
            </w:r>
            <w:r>
              <w:rPr>
                <w:rFonts w:hint="eastAsia"/>
                <w:kern w:val="12"/>
                <w:szCs w:val="21"/>
              </w:rPr>
              <w:t>如为间接性故障或不影响使用的故障，在得到科室同意的情况下，可酌情延长到场时间。</w:t>
            </w:r>
          </w:p>
          <w:p w14:paraId="55FCD04F">
            <w:pPr>
              <w:spacing w:line="360" w:lineRule="auto"/>
              <w:rPr>
                <w:kern w:val="12"/>
                <w:szCs w:val="21"/>
                <w:lang w:val="en-GB"/>
              </w:rPr>
            </w:pPr>
            <w:r>
              <w:rPr>
                <w:rFonts w:hint="eastAsia"/>
                <w:kern w:val="12"/>
                <w:szCs w:val="21"/>
                <w:lang w:val="en-GB"/>
              </w:rPr>
              <w:t xml:space="preserve"> </w:t>
            </w:r>
            <w:r>
              <w:rPr>
                <w:rFonts w:hint="eastAsia"/>
                <w:kern w:val="12"/>
                <w:szCs w:val="21"/>
              </w:rPr>
              <w:t>3</w:t>
            </w:r>
            <w:r>
              <w:rPr>
                <w:rFonts w:hint="eastAsia"/>
                <w:kern w:val="12"/>
                <w:szCs w:val="21"/>
                <w:lang w:val="en-GB"/>
              </w:rPr>
              <w:t>、高级诊断</w:t>
            </w:r>
          </w:p>
          <w:p w14:paraId="065BDBC6">
            <w:pPr>
              <w:spacing w:line="360" w:lineRule="auto"/>
              <w:ind w:firstLine="420" w:firstLineChars="200"/>
              <w:rPr>
                <w:kern w:val="12"/>
                <w:szCs w:val="21"/>
                <w:lang w:val="en-GB"/>
              </w:rPr>
            </w:pPr>
            <w:r>
              <w:rPr>
                <w:rFonts w:hint="eastAsia"/>
                <w:kern w:val="12"/>
                <w:szCs w:val="21"/>
                <w:lang w:val="en-GB"/>
              </w:rPr>
              <w:t>投标人</w:t>
            </w:r>
            <w:r>
              <w:rPr>
                <w:rFonts w:hint="eastAsia"/>
                <w:kern w:val="12"/>
                <w:szCs w:val="21"/>
              </w:rPr>
              <w:t>或维保服务商</w:t>
            </w:r>
            <w:r>
              <w:rPr>
                <w:rFonts w:hint="eastAsia"/>
                <w:kern w:val="12"/>
                <w:szCs w:val="21"/>
                <w:lang w:val="en-GB"/>
              </w:rPr>
              <w:t>必须在整个合同期内都能合法获得原厂高级故障诊断软件的诊断维修钥匙（service key），并保证不违反国家有关知识产权的法律规定，请提供证明材料说明合法来源。</w:t>
            </w:r>
          </w:p>
          <w:p w14:paraId="245E1BD4">
            <w:pPr>
              <w:spacing w:line="360" w:lineRule="auto"/>
              <w:ind w:firstLine="210" w:firstLineChars="100"/>
              <w:rPr>
                <w:kern w:val="12"/>
                <w:szCs w:val="21"/>
                <w:lang w:val="en-GB"/>
              </w:rPr>
            </w:pPr>
            <w:r>
              <w:rPr>
                <w:rFonts w:hint="eastAsia"/>
                <w:kern w:val="12"/>
                <w:szCs w:val="21"/>
              </w:rPr>
              <w:t>4、</w:t>
            </w:r>
            <w:r>
              <w:rPr>
                <w:rFonts w:hint="eastAsia"/>
                <w:kern w:val="12"/>
                <w:szCs w:val="21"/>
                <w:lang w:val="en-GB"/>
              </w:rPr>
              <w:t>为保障商务履约能力，提供公司纳税证明和公司缴纳社保的证明</w:t>
            </w:r>
          </w:p>
          <w:p w14:paraId="2EBFF7EA">
            <w:pPr>
              <w:spacing w:line="360" w:lineRule="auto"/>
              <w:ind w:firstLine="210" w:firstLineChars="100"/>
              <w:rPr>
                <w:kern w:val="12"/>
                <w:szCs w:val="21"/>
                <w:lang w:val="en-GB"/>
              </w:rPr>
            </w:pPr>
            <w:r>
              <w:rPr>
                <w:rFonts w:hint="eastAsia"/>
                <w:kern w:val="12"/>
                <w:szCs w:val="21"/>
              </w:rPr>
              <w:t>5、</w:t>
            </w:r>
            <w:r>
              <w:rPr>
                <w:rFonts w:hint="eastAsia"/>
                <w:kern w:val="12"/>
                <w:szCs w:val="21"/>
                <w:lang w:val="en-GB"/>
              </w:rPr>
              <w:t>投标人</w:t>
            </w:r>
            <w:r>
              <w:rPr>
                <w:rFonts w:hint="eastAsia"/>
                <w:kern w:val="12"/>
                <w:szCs w:val="21"/>
              </w:rPr>
              <w:t>或维保服务商</w:t>
            </w:r>
            <w:r>
              <w:rPr>
                <w:rFonts w:hint="eastAsia"/>
                <w:kern w:val="12"/>
                <w:szCs w:val="21"/>
                <w:lang w:val="en-GB"/>
              </w:rPr>
              <w:t>提供维护保养的专业工具的介绍，需图文并茂且提供维修保养工具在有效期内的校准证明。</w:t>
            </w:r>
          </w:p>
          <w:p w14:paraId="27313852">
            <w:pPr>
              <w:spacing w:line="360" w:lineRule="auto"/>
              <w:ind w:firstLine="210" w:firstLineChars="100"/>
              <w:rPr>
                <w:kern w:val="12"/>
                <w:szCs w:val="21"/>
                <w:lang w:val="en-GB"/>
              </w:rPr>
            </w:pPr>
            <w:r>
              <w:rPr>
                <w:rFonts w:hint="eastAsia"/>
                <w:kern w:val="12"/>
                <w:szCs w:val="21"/>
              </w:rPr>
              <w:t>6</w:t>
            </w:r>
            <w:r>
              <w:rPr>
                <w:rFonts w:hint="eastAsia"/>
                <w:kern w:val="12"/>
                <w:szCs w:val="21"/>
                <w:lang w:val="en-GB"/>
              </w:rPr>
              <w:t>、投标人若只具备商务承担能力，不具备维修能力，需提供设备生产厂商的售后服务授权书或设备生产厂商的技术合作协议或有维修能力公司的授权书，相应提供的资料有效，否则无效。</w:t>
            </w:r>
          </w:p>
          <w:p w14:paraId="17020216">
            <w:pPr>
              <w:pStyle w:val="2"/>
              <w:rPr>
                <w:kern w:val="12"/>
                <w:szCs w:val="21"/>
              </w:rPr>
            </w:pPr>
            <w:r>
              <w:rPr>
                <w:rFonts w:hint="eastAsia"/>
                <w:kern w:val="12"/>
                <w:szCs w:val="21"/>
              </w:rPr>
              <w:t xml:space="preserve">  7、免费提供机器内监控</w:t>
            </w:r>
            <w:r>
              <w:rPr>
                <w:kern w:val="12"/>
                <w:szCs w:val="21"/>
              </w:rPr>
              <w:t>。</w:t>
            </w:r>
          </w:p>
          <w:p w14:paraId="79086418">
            <w:pPr>
              <w:pStyle w:val="2"/>
              <w:rPr>
                <w:kern w:val="12"/>
                <w:szCs w:val="21"/>
              </w:rPr>
            </w:pPr>
            <w:r>
              <w:rPr>
                <w:kern w:val="12"/>
                <w:szCs w:val="21"/>
              </w:rPr>
              <w:t>8、付款方式：合同签订后6个月，验收合格付50%；合同期满，验收合格付余下50%。</w:t>
            </w:r>
          </w:p>
        </w:tc>
      </w:tr>
      <w:tr w14:paraId="0992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pct"/>
            <w:tcBorders>
              <w:top w:val="single" w:color="auto" w:sz="4" w:space="0"/>
              <w:left w:val="single" w:color="auto" w:sz="4" w:space="0"/>
              <w:bottom w:val="single" w:color="auto" w:sz="4" w:space="0"/>
              <w:right w:val="single" w:color="auto" w:sz="4" w:space="0"/>
            </w:tcBorders>
            <w:vAlign w:val="center"/>
          </w:tcPr>
          <w:p w14:paraId="16202415">
            <w:pPr>
              <w:widowControl/>
              <w:jc w:val="left"/>
              <w:rPr>
                <w:rFonts w:hint="eastAsia" w:ascii="宋体" w:hAnsi="宋体"/>
                <w:color w:val="000000"/>
                <w:kern w:val="0"/>
                <w:sz w:val="22"/>
                <w:szCs w:val="22"/>
              </w:rPr>
            </w:pPr>
            <w:r>
              <w:rPr>
                <w:rFonts w:hint="eastAsia" w:ascii="宋体" w:hAnsi="宋体"/>
                <w:color w:val="000000"/>
                <w:kern w:val="0"/>
                <w:sz w:val="22"/>
                <w:szCs w:val="22"/>
              </w:rPr>
              <w:t>技术参数</w:t>
            </w:r>
          </w:p>
        </w:tc>
        <w:tc>
          <w:tcPr>
            <w:tcW w:w="4286" w:type="pct"/>
            <w:tcBorders>
              <w:top w:val="single" w:color="auto" w:sz="4" w:space="0"/>
              <w:left w:val="single" w:color="auto" w:sz="4" w:space="0"/>
              <w:bottom w:val="single" w:color="auto" w:sz="4" w:space="0"/>
              <w:right w:val="single" w:color="auto" w:sz="4" w:space="0"/>
            </w:tcBorders>
          </w:tcPr>
          <w:p w14:paraId="5B9DA737">
            <w:pPr>
              <w:spacing w:line="360" w:lineRule="auto"/>
              <w:ind w:left="780"/>
              <w:rPr>
                <w:kern w:val="12"/>
                <w:szCs w:val="21"/>
                <w:lang w:val="en-GB"/>
              </w:rPr>
            </w:pPr>
            <w:r>
              <w:rPr>
                <w:rFonts w:hint="eastAsia"/>
                <w:kern w:val="12"/>
                <w:szCs w:val="21"/>
                <w:lang w:val="en-GB"/>
              </w:rPr>
              <w:t>1、安全检查：按照生产厂家设备本身标准及当地规定执行，</w:t>
            </w:r>
            <w:r>
              <w:rPr>
                <w:rFonts w:hint="eastAsia"/>
                <w:kern w:val="12"/>
                <w:szCs w:val="21"/>
              </w:rPr>
              <w:t>包含但不限于</w:t>
            </w:r>
            <w:r>
              <w:rPr>
                <w:rFonts w:hint="eastAsia"/>
                <w:kern w:val="12"/>
                <w:szCs w:val="21"/>
                <w:lang w:val="en-GB"/>
              </w:rPr>
              <w:t>制定检查计划，机械安全检查，电气安全检查，记录检查结果</w:t>
            </w:r>
          </w:p>
          <w:p w14:paraId="2F1C5DFD">
            <w:pPr>
              <w:spacing w:line="360" w:lineRule="auto"/>
              <w:ind w:left="780"/>
              <w:rPr>
                <w:kern w:val="12"/>
                <w:szCs w:val="21"/>
                <w:lang w:val="en-GB"/>
              </w:rPr>
            </w:pPr>
            <w:r>
              <w:rPr>
                <w:rFonts w:hint="eastAsia"/>
                <w:kern w:val="12"/>
                <w:szCs w:val="21"/>
                <w:lang w:val="en-GB"/>
              </w:rPr>
              <w:t>2、预防性保养：按照保养计划提供，每年提供三次专业保养，以保证设备处于最佳运行状态，</w:t>
            </w:r>
            <w:r>
              <w:rPr>
                <w:rFonts w:hint="eastAsia"/>
                <w:kern w:val="12"/>
                <w:szCs w:val="21"/>
              </w:rPr>
              <w:t>包含但不限于</w:t>
            </w:r>
            <w:r>
              <w:rPr>
                <w:rFonts w:hint="eastAsia"/>
                <w:kern w:val="12"/>
                <w:szCs w:val="21"/>
                <w:lang w:val="en-GB"/>
              </w:rPr>
              <w:t>记录并安排保养时间，按照保养计划更换损耗部件，按照厂家标准进行调校，确认各项技术指标及性能，年检时负责并保证全部监测指标达标，通过相关部门检测时，保障取得合格证，记录设备状况，提供设备生产厂家保养内容清单，提供每次保养后系统自动导出的保养报告，必须每次的检测项必须为PASS。</w:t>
            </w:r>
            <w:r>
              <w:rPr>
                <w:rFonts w:hint="eastAsia"/>
                <w:color w:val="121212"/>
                <w:kern w:val="12"/>
                <w:szCs w:val="21"/>
                <w:lang w:val="en-GB"/>
              </w:rPr>
              <w:t>每次保养后需提供质控报告以确保设备的正常运行。</w:t>
            </w:r>
          </w:p>
          <w:p w14:paraId="64AC79DF">
            <w:pPr>
              <w:spacing w:line="360" w:lineRule="auto"/>
              <w:ind w:left="780"/>
              <w:rPr>
                <w:kern w:val="12"/>
                <w:szCs w:val="21"/>
                <w:lang w:val="en-GB"/>
              </w:rPr>
            </w:pPr>
            <w:r>
              <w:rPr>
                <w:rFonts w:hint="eastAsia"/>
                <w:kern w:val="12"/>
                <w:szCs w:val="21"/>
              </w:rPr>
              <w:t>3</w:t>
            </w:r>
            <w:r>
              <w:rPr>
                <w:rFonts w:hint="eastAsia"/>
                <w:kern w:val="12"/>
                <w:szCs w:val="21"/>
                <w:lang w:val="en-GB"/>
              </w:rPr>
              <w:t>、工时：包含在保修合同期内所需的人工费用，签订保修合同的客户享受优先派工，节假日加班免费。</w:t>
            </w:r>
          </w:p>
          <w:p w14:paraId="16CD2F63">
            <w:pPr>
              <w:spacing w:line="360" w:lineRule="auto"/>
              <w:ind w:left="780"/>
              <w:rPr>
                <w:kern w:val="12"/>
                <w:szCs w:val="21"/>
              </w:rPr>
            </w:pPr>
            <w:r>
              <w:rPr>
                <w:rFonts w:hint="eastAsia"/>
                <w:kern w:val="12"/>
                <w:szCs w:val="21"/>
              </w:rPr>
              <w:t>4</w:t>
            </w:r>
            <w:r>
              <w:rPr>
                <w:rFonts w:hint="eastAsia"/>
                <w:kern w:val="12"/>
                <w:szCs w:val="21"/>
                <w:lang w:val="en-GB"/>
              </w:rPr>
              <w:t>、备件：</w:t>
            </w:r>
            <w:r>
              <w:rPr>
                <w:rFonts w:hint="eastAsia"/>
                <w:kern w:val="12"/>
                <w:szCs w:val="21"/>
              </w:rPr>
              <w:t>如更换备件，</w:t>
            </w:r>
            <w:r>
              <w:rPr>
                <w:rFonts w:hint="eastAsia"/>
                <w:kern w:val="12"/>
                <w:szCs w:val="21"/>
                <w:lang w:val="en-GB"/>
              </w:rPr>
              <w:t>备件必须是原厂认证合格的</w:t>
            </w:r>
            <w:r>
              <w:rPr>
                <w:kern w:val="12"/>
                <w:szCs w:val="21"/>
              </w:rPr>
              <w:t>全新</w:t>
            </w:r>
            <w:r>
              <w:rPr>
                <w:rFonts w:hint="eastAsia"/>
                <w:kern w:val="12"/>
                <w:szCs w:val="21"/>
                <w:lang w:val="en-GB"/>
              </w:rPr>
              <w:t>零备件，投标人或维保服务商必须保障不会对设备质量或图像产生不良影响。</w:t>
            </w:r>
            <w:r>
              <w:rPr>
                <w:kern w:val="12"/>
                <w:szCs w:val="21"/>
              </w:rPr>
              <w:t>更换零备件报修期：</w:t>
            </w:r>
            <w:r>
              <w:rPr>
                <w:rFonts w:hint="eastAsia"/>
                <w:kern w:val="12"/>
                <w:szCs w:val="21"/>
              </w:rPr>
              <w:t>免费维修或更换配件设备的保修期为3个月</w:t>
            </w:r>
            <w:r>
              <w:rPr>
                <w:kern w:val="12"/>
                <w:szCs w:val="21"/>
              </w:rPr>
              <w:t>。</w:t>
            </w:r>
            <w:r>
              <w:rPr>
                <w:rFonts w:hint="eastAsia"/>
                <w:kern w:val="12"/>
                <w:szCs w:val="21"/>
                <w:lang w:val="en-GB"/>
              </w:rPr>
              <w:t>提供保修所需的备件，备件供应要及时、充足。如因提供不合法不合规或来路不明的备件而引起的相关损失及法律责任由投标人自行承担</w:t>
            </w:r>
            <w:r>
              <w:rPr>
                <w:kern w:val="12"/>
                <w:szCs w:val="21"/>
              </w:rPr>
              <w:t>。</w:t>
            </w:r>
          </w:p>
          <w:p w14:paraId="3F8F5EA4">
            <w:pPr>
              <w:spacing w:line="360" w:lineRule="auto"/>
              <w:ind w:left="780"/>
              <w:rPr>
                <w:kern w:val="12"/>
                <w:szCs w:val="21"/>
                <w:lang w:val="en-GB"/>
              </w:rPr>
            </w:pPr>
            <w:r>
              <w:rPr>
                <w:rFonts w:hint="eastAsia"/>
              </w:rPr>
              <w:t>5. 提供服务期间保证设备开机率≥95%，按照一年365天计算，停机时间超过5%的，停机超过一天顺延三天。</w:t>
            </w:r>
          </w:p>
          <w:p w14:paraId="725387ED">
            <w:pPr>
              <w:spacing w:line="360" w:lineRule="auto"/>
              <w:ind w:left="780"/>
              <w:rPr>
                <w:kern w:val="12"/>
                <w:szCs w:val="21"/>
                <w:lang w:val="en-GB"/>
              </w:rPr>
            </w:pPr>
            <w:r>
              <w:rPr>
                <w:rFonts w:hint="eastAsia"/>
                <w:kern w:val="12"/>
                <w:szCs w:val="21"/>
              </w:rPr>
              <w:t>6、</w:t>
            </w:r>
            <w:r>
              <w:rPr>
                <w:rFonts w:hint="eastAsia"/>
                <w:kern w:val="12"/>
                <w:szCs w:val="21"/>
                <w:lang w:val="en-GB"/>
              </w:rPr>
              <w:t>▲安全升级：投标人或维保服务商必须在设备生产厂商规定的升级时间内完成，并在升级完成后提供升级文件及工作记录（请提供相应生产厂商认证的证明材料，包含但不限于FCO升级的过往类似案例经客户签字确认的升级文件或者工作单）。</w:t>
            </w:r>
          </w:p>
          <w:p w14:paraId="62BCE8FA">
            <w:pPr>
              <w:spacing w:line="360" w:lineRule="auto"/>
              <w:ind w:left="780"/>
              <w:rPr>
                <w:kern w:val="12"/>
                <w:szCs w:val="21"/>
                <w:lang w:val="en-GB"/>
              </w:rPr>
            </w:pPr>
            <w:r>
              <w:rPr>
                <w:rFonts w:hint="eastAsia"/>
                <w:kern w:val="12"/>
                <w:szCs w:val="21"/>
              </w:rPr>
              <w:t>7</w:t>
            </w:r>
            <w:r>
              <w:rPr>
                <w:rFonts w:hint="eastAsia"/>
                <w:kern w:val="12"/>
                <w:szCs w:val="21"/>
                <w:lang w:val="en-GB"/>
              </w:rPr>
              <w:t>、▲</w:t>
            </w:r>
            <w:r>
              <w:rPr>
                <w:rFonts w:hint="eastAsia"/>
                <w:kern w:val="12"/>
                <w:szCs w:val="21"/>
              </w:rPr>
              <w:t>嵌入式</w:t>
            </w:r>
            <w:r>
              <w:rPr>
                <w:rFonts w:hint="eastAsia"/>
                <w:kern w:val="12"/>
                <w:szCs w:val="21"/>
                <w:lang w:val="en-GB"/>
              </w:rPr>
              <w:t>远程连接：投标人或维保服务商需提供基于设备嵌入式远程连接方案的实时远程服务，以保证维修的及时性，且远程服务应满足以下需求：</w:t>
            </w:r>
          </w:p>
          <w:p w14:paraId="16D5AACE">
            <w:pPr>
              <w:spacing w:line="360" w:lineRule="auto"/>
              <w:ind w:left="780"/>
              <w:rPr>
                <w:color w:val="000000" w:themeColor="text1"/>
                <w:kern w:val="12"/>
                <w:szCs w:val="21"/>
                <w:lang w:val="en-GB"/>
                <w14:textFill>
                  <w14:solidFill>
                    <w14:schemeClr w14:val="tx1"/>
                  </w14:solidFill>
                </w14:textFill>
              </w:rPr>
            </w:pPr>
            <w:r>
              <w:rPr>
                <w:rFonts w:hint="eastAsia"/>
                <w:kern w:val="12"/>
                <w:szCs w:val="21"/>
                <w:lang w:val="en-GB"/>
              </w:rPr>
              <w:t>（1）该远程服务可以实现远程不断监控和保护医疗设备，及时发出预警，在出现故障之前，就可对</w:t>
            </w:r>
            <w:r>
              <w:rPr>
                <w:rFonts w:hint="eastAsia"/>
                <w:color w:val="000000" w:themeColor="text1"/>
                <w:kern w:val="12"/>
                <w:szCs w:val="21"/>
                <w:lang w:val="en-GB"/>
                <w14:textFill>
                  <w14:solidFill>
                    <w14:schemeClr w14:val="tx1"/>
                  </w14:solidFill>
                </w14:textFill>
              </w:rPr>
              <w:t>其进行远程维护和处理，以减少设备停机时间，提高设备使用率；</w:t>
            </w:r>
          </w:p>
          <w:p w14:paraId="6FD85D72">
            <w:pPr>
              <w:spacing w:line="360" w:lineRule="auto"/>
              <w:ind w:left="780"/>
              <w:rPr>
                <w:color w:val="000000" w:themeColor="text1"/>
                <w:kern w:val="12"/>
                <w:szCs w:val="21"/>
                <w:lang w:val="en-GB"/>
                <w14:textFill>
                  <w14:solidFill>
                    <w14:schemeClr w14:val="tx1"/>
                  </w14:solidFill>
                </w14:textFill>
              </w:rPr>
            </w:pPr>
            <w:r>
              <w:rPr>
                <w:rFonts w:hint="eastAsia"/>
                <w:color w:val="000000" w:themeColor="text1"/>
                <w:kern w:val="12"/>
                <w:szCs w:val="21"/>
                <w:lang w:val="en-GB"/>
                <w14:textFill>
                  <w14:solidFill>
                    <w14:schemeClr w14:val="tx1"/>
                  </w14:solidFill>
                </w14:textFill>
              </w:rPr>
              <w:t>（2）基于设备嵌入式远程连接方案需符合HIPAA和NEMA以及生产厂商的安全要求，并且通过ISO27001国际信息安全管理体系。（需提供嵌入式远程的技术介绍材料、信息系统安全登记保护备案证明和ISO27001证书）</w:t>
            </w:r>
          </w:p>
          <w:p w14:paraId="70804842">
            <w:pPr>
              <w:spacing w:line="360" w:lineRule="auto"/>
              <w:ind w:left="780"/>
              <w:rPr>
                <w:color w:val="000000" w:themeColor="text1"/>
                <w:kern w:val="12"/>
                <w:szCs w:val="21"/>
                <w:lang w:val="en-GB"/>
                <w14:textFill>
                  <w14:solidFill>
                    <w14:schemeClr w14:val="tx1"/>
                  </w14:solidFill>
                </w14:textFill>
              </w:rPr>
            </w:pPr>
            <w:r>
              <w:rPr>
                <w:rFonts w:hint="eastAsia"/>
                <w:color w:val="000000" w:themeColor="text1"/>
                <w:kern w:val="12"/>
                <w:szCs w:val="21"/>
                <w14:textFill>
                  <w14:solidFill>
                    <w14:schemeClr w14:val="tx1"/>
                  </w14:solidFill>
                </w14:textFill>
              </w:rPr>
              <w:t>8</w:t>
            </w:r>
            <w:r>
              <w:rPr>
                <w:rFonts w:hint="eastAsia"/>
                <w:color w:val="000000" w:themeColor="text1"/>
                <w:kern w:val="12"/>
                <w:szCs w:val="21"/>
                <w:lang w:val="en-GB"/>
                <w14:textFill>
                  <w14:solidFill>
                    <w14:schemeClr w14:val="tx1"/>
                  </w14:solidFill>
                </w14:textFill>
              </w:rPr>
              <w:t>、▲</w:t>
            </w:r>
            <w:r>
              <w:rPr>
                <w:rFonts w:hint="eastAsia"/>
                <w:color w:val="000000" w:themeColor="text1"/>
                <w:kern w:val="12"/>
                <w:szCs w:val="21"/>
                <w14:textFill>
                  <w14:solidFill>
                    <w14:schemeClr w14:val="tx1"/>
                  </w14:solidFill>
                </w14:textFill>
              </w:rPr>
              <w:t>设备需要更换备件时，</w:t>
            </w:r>
            <w:r>
              <w:rPr>
                <w:rFonts w:hint="eastAsia"/>
                <w:color w:val="000000" w:themeColor="text1"/>
                <w:kern w:val="12"/>
                <w:szCs w:val="21"/>
                <w:lang w:val="en-GB"/>
                <w14:textFill>
                  <w14:solidFill>
                    <w14:schemeClr w14:val="tx1"/>
                  </w14:solidFill>
                </w14:textFill>
              </w:rPr>
              <w:t>为保障进口和非进口备件的快速且安全的供应，投标人或维保服务商需在国内设有零备件保税仓库及在广东省有备件库（提供相应证明材料，必须包括但不限于仓库租赁合同、</w:t>
            </w:r>
            <w:bookmarkStart w:id="1" w:name="OLE_LINK4"/>
            <w:r>
              <w:rPr>
                <w:rFonts w:hint="eastAsia"/>
                <w:color w:val="000000" w:themeColor="text1"/>
                <w:kern w:val="12"/>
                <w:szCs w:val="21"/>
                <w:lang w:val="en-GB"/>
                <w14:textFill>
                  <w14:solidFill>
                    <w14:schemeClr w14:val="tx1"/>
                  </w14:solidFill>
                </w14:textFill>
              </w:rPr>
              <w:t>保税仓库登记证书</w:t>
            </w:r>
            <w:bookmarkEnd w:id="1"/>
            <w:r>
              <w:rPr>
                <w:rFonts w:hint="eastAsia"/>
                <w:color w:val="000000" w:themeColor="text1"/>
                <w:kern w:val="12"/>
                <w:szCs w:val="21"/>
                <w:lang w:val="en-GB"/>
                <w14:textFill>
                  <w14:solidFill>
                    <w14:schemeClr w14:val="tx1"/>
                  </w14:solidFill>
                </w14:textFill>
              </w:rPr>
              <w:t>和运输协议等）。</w:t>
            </w:r>
          </w:p>
          <w:p w14:paraId="2E91C042">
            <w:pPr>
              <w:spacing w:line="360" w:lineRule="auto"/>
              <w:ind w:left="780"/>
              <w:rPr>
                <w:kern w:val="12"/>
                <w:szCs w:val="21"/>
                <w:lang w:val="en-GB"/>
              </w:rPr>
            </w:pPr>
            <w:r>
              <w:rPr>
                <w:rFonts w:hint="eastAsia"/>
                <w:color w:val="000000" w:themeColor="text1"/>
                <w:kern w:val="12"/>
                <w:szCs w:val="21"/>
                <w14:textFill>
                  <w14:solidFill>
                    <w14:schemeClr w14:val="tx1"/>
                  </w14:solidFill>
                </w14:textFill>
              </w:rPr>
              <w:t>9、</w:t>
            </w:r>
            <w:r>
              <w:rPr>
                <w:rFonts w:hint="eastAsia"/>
                <w:color w:val="000000" w:themeColor="text1"/>
                <w:kern w:val="12"/>
                <w:szCs w:val="21"/>
                <w:lang w:val="en-GB"/>
                <w14:textFill>
                  <w14:solidFill>
                    <w14:schemeClr w14:val="tx1"/>
                  </w14:solidFill>
                </w14:textFill>
              </w:rPr>
              <w:t>为保障更快捷更满意的服务，投标人或维保服务商需在广东省有维修工程师，省内至少有</w:t>
            </w:r>
            <w:r>
              <w:rPr>
                <w:rFonts w:hint="eastAsia"/>
                <w:color w:val="000000" w:themeColor="text1"/>
                <w:kern w:val="12"/>
                <w:szCs w:val="21"/>
                <w14:textFill>
                  <w14:solidFill>
                    <w14:schemeClr w14:val="tx1"/>
                  </w14:solidFill>
                </w14:textFill>
              </w:rPr>
              <w:t>5</w:t>
            </w:r>
            <w:r>
              <w:rPr>
                <w:rFonts w:hint="eastAsia"/>
                <w:color w:val="000000" w:themeColor="text1"/>
                <w:kern w:val="12"/>
                <w:szCs w:val="21"/>
                <w:lang w:val="en-GB"/>
                <w14:textFill>
                  <w14:solidFill>
                    <w14:schemeClr w14:val="tx1"/>
                  </w14:solidFill>
                </w14:textFill>
              </w:rPr>
              <w:t>位具备本标的</w:t>
            </w:r>
            <w:r>
              <w:rPr>
                <w:color w:val="000000" w:themeColor="text1"/>
                <w:kern w:val="12"/>
                <w:szCs w:val="21"/>
                <w14:textFill>
                  <w14:solidFill>
                    <w14:schemeClr w14:val="tx1"/>
                  </w14:solidFill>
                </w14:textFill>
              </w:rPr>
              <w:t>Ingenia</w:t>
            </w:r>
            <w:r>
              <w:rPr>
                <w:rFonts w:hint="eastAsia"/>
                <w:color w:val="000000" w:themeColor="text1"/>
                <w:kern w:val="12"/>
                <w:szCs w:val="21"/>
                <w:lang w:val="en-GB"/>
                <w14:textFill>
                  <w14:solidFill>
                    <w14:schemeClr w14:val="tx1"/>
                  </w14:solidFill>
                </w14:textFill>
              </w:rPr>
              <w:t xml:space="preserve"> 系列</w:t>
            </w:r>
            <w:r>
              <w:rPr>
                <w:rFonts w:hint="eastAsia"/>
                <w:color w:val="000000" w:themeColor="text1"/>
                <w:kern w:val="12"/>
                <w:szCs w:val="21"/>
                <w14:textFill>
                  <w14:solidFill>
                    <w14:schemeClr w14:val="tx1"/>
                  </w14:solidFill>
                </w14:textFill>
              </w:rPr>
              <w:t>MR</w:t>
            </w:r>
            <w:r>
              <w:rPr>
                <w:rFonts w:hint="eastAsia"/>
                <w:color w:val="000000" w:themeColor="text1"/>
                <w:kern w:val="12"/>
                <w:szCs w:val="21"/>
                <w:lang w:val="en-GB"/>
                <w14:textFill>
                  <w14:solidFill>
                    <w14:schemeClr w14:val="tx1"/>
                  </w14:solidFill>
                </w14:textFill>
              </w:rPr>
              <w:t>维修资质的工程师，</w:t>
            </w:r>
            <w:r>
              <w:rPr>
                <w:rFonts w:hint="eastAsia"/>
                <w:kern w:val="12"/>
                <w:szCs w:val="21"/>
                <w:lang w:val="en-GB"/>
              </w:rPr>
              <w:t>至少一名在深圳区域常驻（需提供有效期内的经设备生产商培训机构针对与本标的同型号设备的培训证书作为工程师培训资质证明，并提供近一年内社保缴纳证明</w:t>
            </w:r>
            <w:r>
              <w:rPr>
                <w:rFonts w:hint="eastAsia"/>
                <w:kern w:val="12"/>
                <w:szCs w:val="21"/>
              </w:rPr>
              <w:t>和驻地证明/身份证明</w:t>
            </w:r>
            <w:r>
              <w:rPr>
                <w:rFonts w:hint="eastAsia"/>
                <w:kern w:val="12"/>
                <w:szCs w:val="21"/>
                <w:lang w:val="en-GB"/>
              </w:rPr>
              <w:t>）或有</w:t>
            </w:r>
            <w:r>
              <w:rPr>
                <w:rFonts w:hint="eastAsia"/>
                <w:kern w:val="12"/>
                <w:szCs w:val="21"/>
              </w:rPr>
              <w:t>5</w:t>
            </w:r>
            <w:r>
              <w:rPr>
                <w:rFonts w:hint="eastAsia"/>
                <w:kern w:val="12"/>
                <w:szCs w:val="21"/>
                <w:lang w:val="en-GB"/>
              </w:rPr>
              <w:t>位具备副高级、高级职称的工程师（需提供由省级食品药品监督管理局颁发的技术职称证书作为资质证明，并提供近一年社保缴纳证明）</w:t>
            </w:r>
          </w:p>
          <w:p w14:paraId="66A4A6C9">
            <w:pPr>
              <w:spacing w:line="360" w:lineRule="auto"/>
              <w:ind w:left="780"/>
              <w:rPr>
                <w:kern w:val="12"/>
                <w:szCs w:val="21"/>
                <w:lang w:val="en-GB"/>
              </w:rPr>
            </w:pPr>
            <w:r>
              <w:rPr>
                <w:rFonts w:hint="eastAsia"/>
                <w:kern w:val="12"/>
                <w:szCs w:val="21"/>
              </w:rPr>
              <w:t>10、</w:t>
            </w:r>
            <w:r>
              <w:rPr>
                <w:rFonts w:hint="eastAsia"/>
                <w:kern w:val="12"/>
                <w:szCs w:val="21"/>
                <w:lang w:val="en-GB"/>
              </w:rPr>
              <w:t>过往业绩需求：投标人或维保服务商提供同品牌</w:t>
            </w:r>
            <w:r>
              <w:rPr>
                <w:rFonts w:hint="eastAsia"/>
                <w:kern w:val="12"/>
                <w:szCs w:val="21"/>
              </w:rPr>
              <w:t>MR全保的维保</w:t>
            </w:r>
            <w:r>
              <w:rPr>
                <w:rFonts w:hint="eastAsia"/>
                <w:kern w:val="12"/>
                <w:szCs w:val="21"/>
                <w:lang w:val="en-GB"/>
              </w:rPr>
              <w:t>合同</w:t>
            </w:r>
            <w:r>
              <w:rPr>
                <w:rFonts w:hint="eastAsia"/>
                <w:kern w:val="12"/>
                <w:szCs w:val="21"/>
              </w:rPr>
              <w:t>3</w:t>
            </w:r>
            <w:r>
              <w:rPr>
                <w:rFonts w:hint="eastAsia"/>
                <w:kern w:val="12"/>
                <w:szCs w:val="21"/>
                <w:lang w:val="en-GB"/>
              </w:rPr>
              <w:t>份及以上（</w:t>
            </w:r>
            <w:r>
              <w:rPr>
                <w:rFonts w:hint="eastAsia"/>
                <w:kern w:val="12"/>
                <w:szCs w:val="21"/>
              </w:rPr>
              <w:t>提供的同类业绩需符合合同法</w:t>
            </w:r>
            <w:r>
              <w:rPr>
                <w:rFonts w:hint="eastAsia"/>
                <w:kern w:val="12"/>
                <w:szCs w:val="21"/>
                <w:lang w:val="en-GB"/>
              </w:rPr>
              <w:t>，</w:t>
            </w:r>
            <w:r>
              <w:rPr>
                <w:rFonts w:hint="eastAsia"/>
                <w:kern w:val="12"/>
                <w:szCs w:val="21"/>
              </w:rPr>
              <w:t>可提供</w:t>
            </w:r>
            <w:r>
              <w:rPr>
                <w:rFonts w:hint="eastAsia"/>
                <w:kern w:val="12"/>
                <w:szCs w:val="21"/>
                <w:lang w:val="en-GB"/>
              </w:rPr>
              <w:t>合同</w:t>
            </w:r>
            <w:r>
              <w:rPr>
                <w:rFonts w:hint="eastAsia"/>
                <w:kern w:val="12"/>
                <w:szCs w:val="21"/>
              </w:rPr>
              <w:t>所包含内容</w:t>
            </w:r>
            <w:r>
              <w:rPr>
                <w:rFonts w:hint="eastAsia"/>
                <w:kern w:val="12"/>
                <w:szCs w:val="21"/>
                <w:lang w:val="en-GB"/>
              </w:rPr>
              <w:t>的关键页或中标通知书</w:t>
            </w:r>
            <w:r>
              <w:rPr>
                <w:rFonts w:hint="eastAsia"/>
                <w:kern w:val="12"/>
                <w:szCs w:val="21"/>
              </w:rPr>
              <w:t>或中标公告</w:t>
            </w:r>
            <w:r>
              <w:rPr>
                <w:rFonts w:hint="eastAsia"/>
                <w:kern w:val="12"/>
                <w:szCs w:val="21"/>
                <w:lang w:val="en-GB"/>
              </w:rPr>
              <w:t>，须有甲方联系人，以备证实）。</w:t>
            </w:r>
          </w:p>
          <w:p w14:paraId="0A78C183">
            <w:pPr>
              <w:spacing w:line="360" w:lineRule="auto"/>
              <w:ind w:left="780"/>
              <w:rPr>
                <w:sz w:val="22"/>
                <w:szCs w:val="22"/>
              </w:rPr>
            </w:pPr>
            <w:r>
              <w:rPr>
                <w:rFonts w:hint="eastAsia"/>
                <w:kern w:val="12"/>
                <w:szCs w:val="21"/>
                <w:lang w:val="en-GB"/>
              </w:rPr>
              <w:t>1</w:t>
            </w:r>
            <w:r>
              <w:rPr>
                <w:rFonts w:hint="eastAsia"/>
                <w:kern w:val="12"/>
                <w:szCs w:val="21"/>
              </w:rPr>
              <w:t>1</w:t>
            </w:r>
            <w:r>
              <w:rPr>
                <w:rFonts w:hint="eastAsia"/>
                <w:kern w:val="12"/>
                <w:szCs w:val="21"/>
                <w:lang w:val="en-GB"/>
              </w:rPr>
              <w:t>、▲</w:t>
            </w:r>
            <w:r>
              <w:rPr>
                <w:rFonts w:hint="eastAsia"/>
                <w:kern w:val="12"/>
                <w:szCs w:val="21"/>
              </w:rPr>
              <w:t>该</w:t>
            </w:r>
            <w:r>
              <w:rPr>
                <w:kern w:val="12"/>
                <w:szCs w:val="21"/>
              </w:rPr>
              <w:t>MR</w:t>
            </w:r>
            <w:r>
              <w:rPr>
                <w:rFonts w:hint="eastAsia"/>
                <w:kern w:val="12"/>
                <w:szCs w:val="21"/>
              </w:rPr>
              <w:t>设备的核心备件</w:t>
            </w:r>
            <w:bookmarkStart w:id="2" w:name="OLE_LINK13"/>
            <w:r>
              <w:rPr>
                <w:rFonts w:hint="eastAsia"/>
                <w:kern w:val="12"/>
                <w:szCs w:val="21"/>
              </w:rPr>
              <w:t>之一是射频放大器，</w:t>
            </w:r>
            <w:r>
              <w:rPr>
                <w:rFonts w:hint="eastAsia"/>
                <w:kern w:val="12"/>
                <w:szCs w:val="21"/>
                <w:lang w:val="en-GB"/>
              </w:rPr>
              <w:t>投标人或维保服务商需</w:t>
            </w:r>
            <w:r>
              <w:rPr>
                <w:rFonts w:hint="eastAsia"/>
                <w:kern w:val="12"/>
                <w:szCs w:val="21"/>
              </w:rPr>
              <w:t>有供应同型号射频放大器的能力，</w:t>
            </w:r>
            <w:r>
              <w:rPr>
                <w:rFonts w:hint="eastAsia"/>
                <w:kern w:val="12"/>
                <w:szCs w:val="21"/>
                <w:lang w:val="en-GB"/>
              </w:rPr>
              <w:t>在投标文件中以附件的形式提供同型号射频放大器在近3年内库存的合法进口证明文件，包含但不限于进口报关单、运货单等资</w:t>
            </w:r>
            <w:bookmarkEnd w:id="2"/>
            <w:r>
              <w:rPr>
                <w:rFonts w:hint="eastAsia"/>
                <w:kern w:val="12"/>
                <w:szCs w:val="21"/>
                <w:lang w:val="en-GB"/>
              </w:rPr>
              <w:t>料。</w:t>
            </w:r>
          </w:p>
        </w:tc>
      </w:tr>
    </w:tbl>
    <w:p w14:paraId="28580DE3">
      <w:pPr>
        <w:spacing w:line="520" w:lineRule="exact"/>
        <w:jc w:val="left"/>
        <w:rPr>
          <w:rFonts w:hint="eastAsia" w:ascii="仿宋_GB2312" w:hAnsi="华文仿宋" w:eastAsia="仿宋_GB2312"/>
          <w:b/>
          <w:sz w:val="28"/>
          <w:szCs w:val="28"/>
        </w:rPr>
      </w:pPr>
      <w:r>
        <w:rPr>
          <w:rFonts w:hint="eastAsia" w:ascii="仿宋_GB2312" w:hAnsi="华文仿宋" w:eastAsia="仿宋_GB2312"/>
          <w:b/>
          <w:sz w:val="28"/>
          <w:szCs w:val="28"/>
        </w:rPr>
        <w:t>内容提示：</w:t>
      </w:r>
    </w:p>
    <w:p w14:paraId="05BC36E9">
      <w:pPr>
        <w:spacing w:line="520" w:lineRule="exact"/>
        <w:jc w:val="left"/>
        <w:rPr>
          <w:rFonts w:hint="eastAsia" w:ascii="仿宋_GB2312" w:hAnsi="华文仿宋" w:eastAsia="仿宋_GB2312"/>
          <w:sz w:val="28"/>
          <w:szCs w:val="28"/>
        </w:rPr>
      </w:pPr>
      <w:r>
        <w:rPr>
          <w:rFonts w:hint="eastAsia" w:ascii="仿宋_GB2312" w:hAnsi="华文仿宋" w:eastAsia="仿宋_GB2312"/>
          <w:sz w:val="28"/>
          <w:szCs w:val="28"/>
        </w:rPr>
        <w:t>包括但不限于：</w:t>
      </w:r>
    </w:p>
    <w:p w14:paraId="298EEB12">
      <w:pPr>
        <w:spacing w:line="520" w:lineRule="exact"/>
        <w:jc w:val="left"/>
        <w:rPr>
          <w:rFonts w:hint="eastAsia" w:ascii="仿宋_GB2312" w:hAnsi="华文仿宋" w:eastAsia="仿宋_GB2312"/>
          <w:sz w:val="28"/>
          <w:szCs w:val="28"/>
        </w:rPr>
      </w:pPr>
      <w:r>
        <w:rPr>
          <w:rFonts w:hint="eastAsia" w:ascii="仿宋_GB2312" w:hAnsi="华文仿宋" w:eastAsia="仿宋_GB2312"/>
          <w:sz w:val="28"/>
          <w:szCs w:val="28"/>
        </w:rPr>
        <w:t>服务范围；服务期限；服务内容、技术标准、工作质量要求；人员要求（岗位要求、数量）；设备要求（设备名称、数量）；后续服务要求；考核办法/验收方式；报价要求；付款方式；其他需说明的事项；</w:t>
      </w:r>
    </w:p>
    <w:p w14:paraId="3F5B0C62">
      <w:pPr>
        <w:tabs>
          <w:tab w:val="left" w:pos="312"/>
        </w:tabs>
        <w:spacing w:line="520" w:lineRule="exact"/>
        <w:ind w:firstLine="560" w:firstLineChars="200"/>
        <w:jc w:val="left"/>
        <w:rPr>
          <w:rFonts w:hint="eastAsia" w:ascii="仿宋_GB2312" w:hAnsi="华文仿宋" w:eastAsia="仿宋_GB2312"/>
          <w:sz w:val="28"/>
          <w:szCs w:val="28"/>
        </w:rPr>
      </w:pPr>
    </w:p>
    <w:p w14:paraId="01AAFAF5"/>
    <w:p w14:paraId="195291A4"/>
    <w:p w14:paraId="270B6F08">
      <w:bookmarkStart w:id="3" w:name="_GoBack"/>
      <w:bookmarkEnd w:id="3"/>
    </w:p>
    <w:sectPr>
      <w:headerReference r:id="rId3" w:type="default"/>
      <w:footerReference r:id="rId4" w:type="default"/>
      <w:footerReference r:id="rId5"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C4D15">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65E07E9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3C4F7">
    <w:pPr>
      <w:pStyle w:val="6"/>
      <w:framePr w:wrap="around" w:vAnchor="text" w:hAnchor="margin" w:xAlign="center" w:y="1"/>
      <w:rPr>
        <w:rStyle w:val="11"/>
      </w:rPr>
    </w:pPr>
    <w:r>
      <w:fldChar w:fldCharType="begin"/>
    </w:r>
    <w:r>
      <w:rPr>
        <w:rStyle w:val="11"/>
      </w:rPr>
      <w:instrText xml:space="preserve">PAGE  </w:instrText>
    </w:r>
    <w:r>
      <w:fldChar w:fldCharType="end"/>
    </w:r>
  </w:p>
  <w:p w14:paraId="66EE140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070AC">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AAA40F"/>
    <w:multiLevelType w:val="singleLevel"/>
    <w:tmpl w:val="5DAAA40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2YmRlNDU3NGEzNjI1NDQyMDllNWVlNzk1MzhhMzIifQ=="/>
  </w:docVars>
  <w:rsids>
    <w:rsidRoot w:val="00E455EA"/>
    <w:rsid w:val="00076BF7"/>
    <w:rsid w:val="000A436D"/>
    <w:rsid w:val="000E3024"/>
    <w:rsid w:val="000F7C3A"/>
    <w:rsid w:val="00132139"/>
    <w:rsid w:val="00133E9D"/>
    <w:rsid w:val="00144392"/>
    <w:rsid w:val="001511AE"/>
    <w:rsid w:val="00173A69"/>
    <w:rsid w:val="00173D66"/>
    <w:rsid w:val="001A47BF"/>
    <w:rsid w:val="001B53CA"/>
    <w:rsid w:val="001C16D1"/>
    <w:rsid w:val="001C715E"/>
    <w:rsid w:val="001F4896"/>
    <w:rsid w:val="00200FD4"/>
    <w:rsid w:val="0023037E"/>
    <w:rsid w:val="002405A8"/>
    <w:rsid w:val="00282C54"/>
    <w:rsid w:val="00287A32"/>
    <w:rsid w:val="002A2336"/>
    <w:rsid w:val="002C66CD"/>
    <w:rsid w:val="002D365C"/>
    <w:rsid w:val="00307312"/>
    <w:rsid w:val="00322A44"/>
    <w:rsid w:val="0033315E"/>
    <w:rsid w:val="0035699C"/>
    <w:rsid w:val="0036341C"/>
    <w:rsid w:val="003A687D"/>
    <w:rsid w:val="003E61F9"/>
    <w:rsid w:val="003F44CC"/>
    <w:rsid w:val="0041127E"/>
    <w:rsid w:val="00430DB2"/>
    <w:rsid w:val="0044535E"/>
    <w:rsid w:val="004456CA"/>
    <w:rsid w:val="004860C1"/>
    <w:rsid w:val="004A44BB"/>
    <w:rsid w:val="004C0C88"/>
    <w:rsid w:val="004C159C"/>
    <w:rsid w:val="004C5E78"/>
    <w:rsid w:val="00527691"/>
    <w:rsid w:val="005467E7"/>
    <w:rsid w:val="0055673B"/>
    <w:rsid w:val="005A7B5B"/>
    <w:rsid w:val="005C325E"/>
    <w:rsid w:val="00607B4A"/>
    <w:rsid w:val="00616C90"/>
    <w:rsid w:val="00642550"/>
    <w:rsid w:val="00643547"/>
    <w:rsid w:val="0066476B"/>
    <w:rsid w:val="006756D0"/>
    <w:rsid w:val="006C6ABC"/>
    <w:rsid w:val="006D3ED0"/>
    <w:rsid w:val="007039DD"/>
    <w:rsid w:val="007302B4"/>
    <w:rsid w:val="0073638D"/>
    <w:rsid w:val="0076403C"/>
    <w:rsid w:val="00782FAF"/>
    <w:rsid w:val="007845BD"/>
    <w:rsid w:val="007A5BB3"/>
    <w:rsid w:val="007B0445"/>
    <w:rsid w:val="007B0811"/>
    <w:rsid w:val="007B32D2"/>
    <w:rsid w:val="007D474B"/>
    <w:rsid w:val="007E7ADC"/>
    <w:rsid w:val="00800E36"/>
    <w:rsid w:val="00805C2F"/>
    <w:rsid w:val="00810534"/>
    <w:rsid w:val="008473BA"/>
    <w:rsid w:val="008478F8"/>
    <w:rsid w:val="00853A26"/>
    <w:rsid w:val="008660A6"/>
    <w:rsid w:val="0087229F"/>
    <w:rsid w:val="008761FB"/>
    <w:rsid w:val="0088464B"/>
    <w:rsid w:val="0088666E"/>
    <w:rsid w:val="00890F39"/>
    <w:rsid w:val="00894685"/>
    <w:rsid w:val="008A641B"/>
    <w:rsid w:val="008F5FFF"/>
    <w:rsid w:val="009053A7"/>
    <w:rsid w:val="00922E9C"/>
    <w:rsid w:val="00934807"/>
    <w:rsid w:val="009406BA"/>
    <w:rsid w:val="009568C1"/>
    <w:rsid w:val="00984694"/>
    <w:rsid w:val="00993D62"/>
    <w:rsid w:val="00A07920"/>
    <w:rsid w:val="00A240C2"/>
    <w:rsid w:val="00A40920"/>
    <w:rsid w:val="00A50EC4"/>
    <w:rsid w:val="00A5548C"/>
    <w:rsid w:val="00A8065A"/>
    <w:rsid w:val="00AA08B6"/>
    <w:rsid w:val="00AA11D5"/>
    <w:rsid w:val="00AB0916"/>
    <w:rsid w:val="00AE0C97"/>
    <w:rsid w:val="00AE3E76"/>
    <w:rsid w:val="00AF79FF"/>
    <w:rsid w:val="00B51B65"/>
    <w:rsid w:val="00B62211"/>
    <w:rsid w:val="00B63936"/>
    <w:rsid w:val="00B82C5F"/>
    <w:rsid w:val="00B92F0F"/>
    <w:rsid w:val="00BA6535"/>
    <w:rsid w:val="00BD1334"/>
    <w:rsid w:val="00BF25FA"/>
    <w:rsid w:val="00C20AE6"/>
    <w:rsid w:val="00C23211"/>
    <w:rsid w:val="00C3290C"/>
    <w:rsid w:val="00C32F51"/>
    <w:rsid w:val="00C52B73"/>
    <w:rsid w:val="00C555D2"/>
    <w:rsid w:val="00C705E6"/>
    <w:rsid w:val="00C76695"/>
    <w:rsid w:val="00CB6E30"/>
    <w:rsid w:val="00CB79EF"/>
    <w:rsid w:val="00CD3F2C"/>
    <w:rsid w:val="00CE7A94"/>
    <w:rsid w:val="00CF0CAD"/>
    <w:rsid w:val="00D20742"/>
    <w:rsid w:val="00D20843"/>
    <w:rsid w:val="00D41C41"/>
    <w:rsid w:val="00D648BB"/>
    <w:rsid w:val="00D66EB9"/>
    <w:rsid w:val="00D71342"/>
    <w:rsid w:val="00DA746D"/>
    <w:rsid w:val="00DB75B9"/>
    <w:rsid w:val="00E06C14"/>
    <w:rsid w:val="00E329D7"/>
    <w:rsid w:val="00E40FD9"/>
    <w:rsid w:val="00E455EA"/>
    <w:rsid w:val="00E64F08"/>
    <w:rsid w:val="00E65744"/>
    <w:rsid w:val="00E9086D"/>
    <w:rsid w:val="00EB21D1"/>
    <w:rsid w:val="00EC0AAD"/>
    <w:rsid w:val="00ED1AE0"/>
    <w:rsid w:val="00EE12AB"/>
    <w:rsid w:val="00EF279E"/>
    <w:rsid w:val="00F2037D"/>
    <w:rsid w:val="00F239AE"/>
    <w:rsid w:val="00F4393F"/>
    <w:rsid w:val="00F51BA0"/>
    <w:rsid w:val="00F63076"/>
    <w:rsid w:val="00F81C14"/>
    <w:rsid w:val="00F901A8"/>
    <w:rsid w:val="00FC699E"/>
    <w:rsid w:val="00FF1306"/>
    <w:rsid w:val="00FF693F"/>
    <w:rsid w:val="25347C4E"/>
    <w:rsid w:val="29075556"/>
    <w:rsid w:val="2D3E084B"/>
    <w:rsid w:val="362D6199"/>
    <w:rsid w:val="3E761598"/>
    <w:rsid w:val="47473BA0"/>
    <w:rsid w:val="4C2B53E5"/>
    <w:rsid w:val="59FF10DE"/>
    <w:rsid w:val="5AE50169"/>
    <w:rsid w:val="5B544CAD"/>
    <w:rsid w:val="60173CB6"/>
    <w:rsid w:val="6BA0474D"/>
    <w:rsid w:val="748763D7"/>
    <w:rsid w:val="79F3D609"/>
    <w:rsid w:val="7E768AC3"/>
    <w:rsid w:val="A7F3D572"/>
    <w:rsid w:val="EBBF87BF"/>
    <w:rsid w:val="FB5F918F"/>
    <w:rsid w:val="FEFC3E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 行距: 1.5 倍行距 首行缩进:  2 字符"/>
    <w:basedOn w:val="1"/>
    <w:qFormat/>
    <w:uiPriority w:val="0"/>
    <w:pPr>
      <w:adjustRightInd w:val="0"/>
      <w:snapToGrid w:val="0"/>
      <w:spacing w:line="460" w:lineRule="exact"/>
    </w:pPr>
  </w:style>
  <w:style w:type="paragraph" w:styleId="4">
    <w:name w:val="annotation text"/>
    <w:basedOn w:val="1"/>
    <w:link w:val="20"/>
    <w:qFormat/>
    <w:uiPriority w:val="0"/>
    <w:pPr>
      <w:jc w:val="left"/>
    </w:pPr>
    <w:rPr>
      <w:rFonts w:asciiTheme="minorHAnsi" w:hAnsiTheme="minorHAnsi" w:eastAsiaTheme="minorEastAsia" w:cstheme="minorBidi"/>
    </w:rPr>
  </w:style>
  <w:style w:type="paragraph" w:styleId="5">
    <w:name w:val="Body Text"/>
    <w:basedOn w:val="1"/>
    <w:link w:val="16"/>
    <w:qFormat/>
    <w:uiPriority w:val="0"/>
    <w:pPr>
      <w:spacing w:after="120"/>
    </w:pPr>
    <w:rPr>
      <w:rFonts w:ascii="Times New Roman" w:hAnsi="Times New Roman"/>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22"/>
    <w:semiHidden/>
    <w:unhideWhenUsed/>
    <w:qFormat/>
    <w:uiPriority w:val="99"/>
    <w:rPr>
      <w:rFonts w:ascii="Calibri" w:hAnsi="Calibri" w:eastAsia="宋体" w:cs="Times New Roman"/>
      <w:b/>
      <w:bCs/>
    </w:rPr>
  </w:style>
  <w:style w:type="character" w:styleId="11">
    <w:name w:val="page number"/>
    <w:basedOn w:val="10"/>
    <w:qFormat/>
    <w:uiPriority w:val="0"/>
  </w:style>
  <w:style w:type="character" w:styleId="12">
    <w:name w:val="annotation reference"/>
    <w:basedOn w:val="10"/>
    <w:semiHidden/>
    <w:unhideWhenUsed/>
    <w:qFormat/>
    <w:uiPriority w:val="99"/>
    <w:rPr>
      <w:sz w:val="21"/>
      <w:szCs w:val="21"/>
    </w:rPr>
  </w:style>
  <w:style w:type="character" w:customStyle="1" w:styleId="13">
    <w:name w:val="标题 1 Char"/>
    <w:qFormat/>
    <w:uiPriority w:val="0"/>
    <w:rPr>
      <w:rFonts w:ascii="宋体" w:hAnsi="宋体" w:eastAsia="黑体"/>
      <w:b/>
      <w:bCs/>
      <w:kern w:val="44"/>
      <w:sz w:val="28"/>
      <w:szCs w:val="44"/>
      <w:lang w:val="en-US" w:eastAsia="zh-CN" w:bidi="ar-SA"/>
    </w:rPr>
  </w:style>
  <w:style w:type="character" w:customStyle="1" w:styleId="14">
    <w:name w:val="页眉 字符"/>
    <w:basedOn w:val="10"/>
    <w:link w:val="7"/>
    <w:qFormat/>
    <w:uiPriority w:val="0"/>
    <w:rPr>
      <w:rFonts w:ascii="Calibri" w:hAnsi="Calibri" w:eastAsia="宋体" w:cs="Times New Roman"/>
      <w:sz w:val="18"/>
      <w:szCs w:val="18"/>
    </w:rPr>
  </w:style>
  <w:style w:type="character" w:customStyle="1" w:styleId="15">
    <w:name w:val="页脚 字符"/>
    <w:basedOn w:val="10"/>
    <w:link w:val="6"/>
    <w:qFormat/>
    <w:uiPriority w:val="0"/>
    <w:rPr>
      <w:rFonts w:ascii="Calibri" w:hAnsi="Calibri" w:eastAsia="宋体" w:cs="Times New Roman"/>
      <w:sz w:val="18"/>
      <w:szCs w:val="18"/>
    </w:rPr>
  </w:style>
  <w:style w:type="character" w:customStyle="1" w:styleId="16">
    <w:name w:val="正文文本 字符"/>
    <w:basedOn w:val="10"/>
    <w:link w:val="5"/>
    <w:qFormat/>
    <w:uiPriority w:val="0"/>
    <w:rPr>
      <w:rFonts w:ascii="Times New Roman" w:hAnsi="Times New Roman" w:eastAsia="宋体" w:cs="Times New Roman"/>
      <w:szCs w:val="24"/>
    </w:rPr>
  </w:style>
  <w:style w:type="paragraph" w:customStyle="1" w:styleId="17">
    <w:name w:val="列出段落1"/>
    <w:basedOn w:val="1"/>
    <w:link w:val="18"/>
    <w:qFormat/>
    <w:uiPriority w:val="0"/>
    <w:pPr>
      <w:ind w:firstLine="420" w:firstLineChars="200"/>
    </w:pPr>
    <w:rPr>
      <w:rFonts w:ascii="Times New Roman" w:hAnsi="Times New Roman"/>
    </w:rPr>
  </w:style>
  <w:style w:type="character" w:customStyle="1" w:styleId="18">
    <w:name w:val="列表段落 字符"/>
    <w:link w:val="17"/>
    <w:qFormat/>
    <w:uiPriority w:val="0"/>
    <w:rPr>
      <w:rFonts w:ascii="Times New Roman" w:hAnsi="Times New Roman" w:eastAsia="宋体" w:cs="Times New Roman"/>
      <w:szCs w:val="24"/>
    </w:rPr>
  </w:style>
  <w:style w:type="paragraph" w:customStyle="1" w:styleId="19">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0">
    <w:name w:val="批注文字 字符"/>
    <w:basedOn w:val="10"/>
    <w:link w:val="4"/>
    <w:qFormat/>
    <w:uiPriority w:val="0"/>
    <w:rPr>
      <w:kern w:val="2"/>
      <w:sz w:val="21"/>
      <w:szCs w:val="24"/>
    </w:rPr>
  </w:style>
  <w:style w:type="paragraph" w:customStyle="1" w:styleId="21">
    <w:name w:val="Revision"/>
    <w:hidden/>
    <w:unhideWhenUsed/>
    <w:qFormat/>
    <w:uiPriority w:val="99"/>
    <w:rPr>
      <w:rFonts w:ascii="Calibri" w:hAnsi="Calibri" w:eastAsia="宋体" w:cs="Times New Roman"/>
      <w:kern w:val="2"/>
      <w:sz w:val="21"/>
      <w:szCs w:val="24"/>
      <w:lang w:val="en-US" w:eastAsia="zh-CN" w:bidi="ar-SA"/>
    </w:rPr>
  </w:style>
  <w:style w:type="character" w:customStyle="1" w:styleId="22">
    <w:name w:val="批注主题 字符"/>
    <w:basedOn w:val="20"/>
    <w:link w:val="8"/>
    <w:semiHidden/>
    <w:qFormat/>
    <w:uiPriority w:val="99"/>
    <w:rPr>
      <w:rFonts w:ascii="Calibri" w:hAnsi="Calibr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11</Pages>
  <Words>7641</Words>
  <Characters>7958</Characters>
  <Lines>252</Lines>
  <Paragraphs>268</Paragraphs>
  <TotalTime>14</TotalTime>
  <ScaleCrop>false</ScaleCrop>
  <LinksUpToDate>false</LinksUpToDate>
  <CharactersWithSpaces>8021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2025-09-23T18:21:00Z</dcterms:created>
  <dc:creator>User</dc:creator>
  <cp:lastModifiedBy>Limbor</cp:lastModifiedBy>
  <dcterms:modified xsi:type="dcterms:W3CDTF">2025-12-29T06:37:48Z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6228A477195949A2A534D7629A2B2EFF_12</vt:lpwstr>
  </property>
  <property fmtid="{D5CDD505-2E9C-101B-9397-08002B2CF9AE}" pid="4" name="KSOTemplateDocerSaveRecord">
    <vt:lpwstr>eyJoZGlkIjoiMDA4MTZhOTUwZDJlMGQxOTZjMDk4YTcwMmQ5MTljZmEiLCJ1c2VySWQiOiI2MjA3NDU1MjcifQ==</vt:lpwstr>
  </property>
</Properties>
</file>