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firstLineChars="200"/>
        <w:rPr>
          <w:rFonts w:hint="eastAsia" w:ascii="仿宋" w:hAnsi="仿宋" w:eastAsia="仿宋"/>
          <w:sz w:val="28"/>
          <w:lang w:val="en-US" w:eastAsia="zh-CN"/>
        </w:rPr>
      </w:pPr>
      <w:bookmarkStart w:id="0" w:name="_GoBack"/>
      <w:bookmarkEnd w:id="0"/>
      <w:r>
        <w:rPr>
          <w:rFonts w:hint="eastAsia" w:ascii="仿宋" w:hAnsi="仿宋" w:eastAsia="仿宋"/>
          <w:sz w:val="28"/>
          <w:lang w:val="en-US" w:eastAsia="zh-CN"/>
        </w:rPr>
        <w:t>附件1：</w:t>
      </w:r>
    </w:p>
    <w:p>
      <w:pPr>
        <w:spacing w:line="360" w:lineRule="auto"/>
        <w:ind w:firstLine="880" w:firstLineChars="2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潜在供应商调查问卷</w:t>
      </w:r>
    </w:p>
    <w:p>
      <w:pPr>
        <w:pStyle w:val="12"/>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一、基本情况</w:t>
      </w:r>
    </w:p>
    <w:tbl>
      <w:tblPr>
        <w:tblStyle w:val="9"/>
        <w:tblW w:w="83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22"/>
        <w:gridCol w:w="1756"/>
        <w:gridCol w:w="1463"/>
        <w:gridCol w:w="2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722" w:type="dxa"/>
            <w:noWrap w:val="0"/>
            <w:vAlign w:val="center"/>
          </w:tcPr>
          <w:p>
            <w:pPr>
              <w:spacing w:line="360" w:lineRule="auto"/>
              <w:jc w:val="center"/>
              <w:rPr>
                <w:rFonts w:hint="eastAsia" w:ascii="仿宋" w:hAnsi="仿宋" w:eastAsia="仿宋" w:cs="仿宋"/>
                <w:sz w:val="22"/>
                <w:szCs w:val="22"/>
                <w14:shadow w14:blurRad="50800" w14:dist="38100" w14:dir="2700000" w14:sx="100000" w14:sy="100000" w14:kx="0" w14:ky="0" w14:algn="tl">
                  <w14:srgbClr w14:val="000000">
                    <w14:alpha w14:val="60000"/>
                  </w14:srgbClr>
                </w14:shadow>
              </w:rPr>
            </w:pPr>
            <w:r>
              <w:rPr>
                <w:rFonts w:hint="eastAsia" w:ascii="仿宋" w:hAnsi="仿宋" w:eastAsia="仿宋"/>
                <w:sz w:val="21"/>
                <w:szCs w:val="21"/>
                <w:lang w:val="en-US" w:eastAsia="zh-CN"/>
              </w:rPr>
              <w:t>公司名称</w:t>
            </w:r>
          </w:p>
        </w:tc>
        <w:tc>
          <w:tcPr>
            <w:tcW w:w="5659" w:type="dxa"/>
            <w:gridSpan w:val="3"/>
            <w:noWrap w:val="0"/>
            <w:vAlign w:val="center"/>
          </w:tcPr>
          <w:p>
            <w:pPr>
              <w:ind w:left="420" w:hanging="360" w:hangingChars="150"/>
              <w:jc w:val="center"/>
              <w:rPr>
                <w:rFonts w:hint="eastAsia" w:ascii="仿宋" w:hAnsi="仿宋" w:eastAsia="仿宋" w:cs="仿宋"/>
                <w:sz w:val="24"/>
                <w:szCs w:val="24"/>
                <w14:shadow w14:blurRad="50800" w14:dist="38100" w14:dir="2700000" w14:sx="100000" w14:sy="100000" w14:kx="0" w14:ky="0" w14:algn="tl">
                  <w14:srgbClr w14:val="000000">
                    <w14:alpha w14:val="60000"/>
                  </w14:srgbClr>
                </w14:shad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722" w:type="dxa"/>
            <w:noWrap w:val="0"/>
            <w:vAlign w:val="center"/>
          </w:tcPr>
          <w:p>
            <w:pPr>
              <w:spacing w:line="360" w:lineRule="auto"/>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成立时间</w:t>
            </w:r>
          </w:p>
        </w:tc>
        <w:tc>
          <w:tcPr>
            <w:tcW w:w="5659" w:type="dxa"/>
            <w:gridSpan w:val="3"/>
            <w:noWrap w:val="0"/>
            <w:vAlign w:val="center"/>
          </w:tcPr>
          <w:p>
            <w:pPr>
              <w:spacing w:line="360" w:lineRule="auto"/>
              <w:jc w:val="center"/>
              <w:rPr>
                <w:rFonts w:hint="eastAsia" w:ascii="仿宋" w:hAnsi="仿宋" w:eastAsia="仿宋"/>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722" w:type="dxa"/>
            <w:noWrap w:val="0"/>
            <w:vAlign w:val="center"/>
          </w:tcPr>
          <w:p>
            <w:pPr>
              <w:spacing w:line="360" w:lineRule="auto"/>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联系人</w:t>
            </w:r>
          </w:p>
        </w:tc>
        <w:tc>
          <w:tcPr>
            <w:tcW w:w="1756" w:type="dxa"/>
            <w:noWrap w:val="0"/>
            <w:vAlign w:val="center"/>
          </w:tcPr>
          <w:p>
            <w:pPr>
              <w:spacing w:line="360" w:lineRule="auto"/>
              <w:jc w:val="center"/>
              <w:rPr>
                <w:rFonts w:hint="eastAsia" w:ascii="仿宋" w:hAnsi="仿宋" w:eastAsia="仿宋"/>
                <w:sz w:val="21"/>
                <w:szCs w:val="21"/>
                <w:lang w:val="en-US" w:eastAsia="zh-CN"/>
              </w:rPr>
            </w:pPr>
          </w:p>
        </w:tc>
        <w:tc>
          <w:tcPr>
            <w:tcW w:w="1463" w:type="dxa"/>
            <w:noWrap w:val="0"/>
            <w:vAlign w:val="center"/>
          </w:tcPr>
          <w:p>
            <w:pPr>
              <w:spacing w:line="360" w:lineRule="auto"/>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手机</w:t>
            </w:r>
          </w:p>
        </w:tc>
        <w:tc>
          <w:tcPr>
            <w:tcW w:w="2440" w:type="dxa"/>
            <w:noWrap w:val="0"/>
            <w:vAlign w:val="center"/>
          </w:tcPr>
          <w:p>
            <w:pPr>
              <w:spacing w:line="360" w:lineRule="auto"/>
              <w:jc w:val="center"/>
              <w:rPr>
                <w:rFonts w:hint="eastAsia" w:ascii="仿宋" w:hAnsi="仿宋" w:eastAsia="仿宋"/>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722" w:type="dxa"/>
            <w:noWrap w:val="0"/>
            <w:vAlign w:val="center"/>
          </w:tcPr>
          <w:p>
            <w:pPr>
              <w:spacing w:line="360" w:lineRule="auto"/>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电话</w:t>
            </w:r>
          </w:p>
        </w:tc>
        <w:tc>
          <w:tcPr>
            <w:tcW w:w="1756" w:type="dxa"/>
            <w:noWrap w:val="0"/>
            <w:vAlign w:val="center"/>
          </w:tcPr>
          <w:p>
            <w:pPr>
              <w:spacing w:line="360" w:lineRule="auto"/>
              <w:jc w:val="center"/>
              <w:rPr>
                <w:rFonts w:hint="eastAsia" w:ascii="仿宋" w:hAnsi="仿宋" w:eastAsia="仿宋"/>
                <w:sz w:val="21"/>
                <w:szCs w:val="21"/>
                <w:lang w:val="en-US" w:eastAsia="zh-CN"/>
              </w:rPr>
            </w:pPr>
          </w:p>
        </w:tc>
        <w:tc>
          <w:tcPr>
            <w:tcW w:w="1463" w:type="dxa"/>
            <w:noWrap w:val="0"/>
            <w:vAlign w:val="center"/>
          </w:tcPr>
          <w:p>
            <w:pPr>
              <w:spacing w:line="360" w:lineRule="auto"/>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邮箱</w:t>
            </w:r>
          </w:p>
        </w:tc>
        <w:tc>
          <w:tcPr>
            <w:tcW w:w="2440" w:type="dxa"/>
            <w:noWrap w:val="0"/>
            <w:vAlign w:val="center"/>
          </w:tcPr>
          <w:p>
            <w:pPr>
              <w:spacing w:line="360" w:lineRule="auto"/>
              <w:jc w:val="center"/>
              <w:rPr>
                <w:rFonts w:hint="eastAsia" w:ascii="仿宋" w:hAnsi="仿宋" w:eastAsia="仿宋"/>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722" w:type="dxa"/>
            <w:noWrap w:val="0"/>
            <w:vAlign w:val="center"/>
          </w:tcPr>
          <w:p>
            <w:pPr>
              <w:spacing w:line="360" w:lineRule="auto"/>
              <w:jc w:val="center"/>
              <w:rPr>
                <w:rFonts w:hint="default" w:ascii="仿宋" w:hAnsi="仿宋" w:eastAsia="仿宋"/>
                <w:sz w:val="21"/>
                <w:szCs w:val="21"/>
                <w:lang w:val="en-US" w:eastAsia="zh-CN"/>
              </w:rPr>
            </w:pPr>
            <w:r>
              <w:rPr>
                <w:rFonts w:hint="eastAsia" w:ascii="仿宋" w:hAnsi="仿宋" w:eastAsia="仿宋"/>
                <w:sz w:val="21"/>
                <w:szCs w:val="21"/>
                <w:lang w:val="en-US" w:eastAsia="zh-CN"/>
              </w:rPr>
              <w:t>本项目报价（万元）</w:t>
            </w:r>
          </w:p>
        </w:tc>
        <w:tc>
          <w:tcPr>
            <w:tcW w:w="5659" w:type="dxa"/>
            <w:gridSpan w:val="3"/>
            <w:noWrap w:val="0"/>
            <w:vAlign w:val="center"/>
          </w:tcPr>
          <w:p>
            <w:pPr>
              <w:spacing w:line="360" w:lineRule="auto"/>
              <w:jc w:val="center"/>
              <w:rPr>
                <w:rFonts w:hint="eastAsia" w:ascii="仿宋" w:hAnsi="仿宋" w:eastAsia="仿宋"/>
                <w:sz w:val="21"/>
                <w:szCs w:val="21"/>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856" w:hRule="atLeast"/>
        </w:trPr>
        <w:tc>
          <w:tcPr>
            <w:tcW w:w="27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投标人资质要求</w:t>
            </w:r>
          </w:p>
        </w:tc>
        <w:tc>
          <w:tcPr>
            <w:tcW w:w="5659" w:type="dxa"/>
            <w:gridSpan w:val="3"/>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60" w:lineRule="auto"/>
              <w:ind w:left="425" w:leftChars="0" w:hanging="425" w:firstLineChars="0"/>
              <w:jc w:val="left"/>
              <w:rPr>
                <w:rFonts w:hint="eastAsia" w:ascii="仿宋" w:hAnsi="仿宋" w:eastAsia="仿宋"/>
                <w:sz w:val="21"/>
                <w:szCs w:val="21"/>
                <w:lang w:val="en-US" w:eastAsia="zh-CN"/>
              </w:rPr>
            </w:pPr>
            <w:r>
              <w:rPr>
                <w:rFonts w:hint="eastAsia" w:ascii="仿宋" w:hAnsi="仿宋" w:eastAsia="仿宋"/>
                <w:sz w:val="21"/>
                <w:szCs w:val="21"/>
                <w:lang w:val="en-US" w:eastAsia="zh-CN"/>
              </w:rPr>
              <w:t>营业执照副本复印件,加盖投标人公章;提供在国家企业信用信息公示系统中自行打印的所有信息（http://www.gsxt.gov.cn/index.html）；（包括基础信息，企业自行公示信息，行政许可信息，行政处罚信息，纳入经营异常名录信息，纳入严重违法失信企业名单（黑名单）信息）加盖投标人公章）；</w:t>
            </w:r>
          </w:p>
          <w:p>
            <w:pPr>
              <w:numPr>
                <w:ilvl w:val="0"/>
                <w:numId w:val="1"/>
              </w:numPr>
              <w:spacing w:line="360" w:lineRule="auto"/>
              <w:ind w:left="425" w:leftChars="0" w:hanging="425" w:firstLineChars="0"/>
              <w:jc w:val="left"/>
              <w:rPr>
                <w:rFonts w:hint="eastAsia" w:ascii="仿宋" w:hAnsi="仿宋" w:eastAsia="仿宋"/>
                <w:sz w:val="21"/>
                <w:szCs w:val="21"/>
                <w:lang w:val="en-US" w:eastAsia="zh-CN"/>
              </w:rPr>
            </w:pPr>
            <w:r>
              <w:rPr>
                <w:rFonts w:hint="eastAsia" w:ascii="仿宋" w:hAnsi="仿宋" w:eastAsia="仿宋"/>
                <w:sz w:val="21"/>
                <w:szCs w:val="21"/>
                <w:lang w:val="en-US" w:eastAsia="zh-CN"/>
              </w:rPr>
              <w:t>设备生产企业如为中小微企业，请提供中小微企业声明函（格式自拟）。</w:t>
            </w:r>
          </w:p>
          <w:p>
            <w:pPr>
              <w:numPr>
                <w:ilvl w:val="0"/>
                <w:numId w:val="1"/>
              </w:numPr>
              <w:spacing w:line="360" w:lineRule="auto"/>
              <w:ind w:left="425" w:leftChars="0" w:hanging="425" w:firstLineChars="0"/>
              <w:jc w:val="left"/>
              <w:rPr>
                <w:rFonts w:hint="eastAsia" w:ascii="仿宋" w:hAnsi="仿宋" w:eastAsia="仿宋"/>
                <w:sz w:val="21"/>
                <w:szCs w:val="21"/>
                <w:lang w:val="en-US" w:eastAsia="zh-CN"/>
              </w:rPr>
            </w:pPr>
            <w:r>
              <w:rPr>
                <w:rFonts w:hint="eastAsia" w:ascii="仿宋" w:hAnsi="仿宋" w:eastAsia="仿宋"/>
                <w:sz w:val="21"/>
                <w:szCs w:val="21"/>
                <w:lang w:val="en-US" w:eastAsia="zh-CN"/>
              </w:rPr>
              <w:t>以上仅供参考，请根据项目实际情况进行填写</w:t>
            </w:r>
          </w:p>
        </w:tc>
      </w:tr>
    </w:tbl>
    <w:p/>
    <w:p/>
    <w:p/>
    <w:p/>
    <w:p/>
    <w:p/>
    <w:p>
      <w:pPr>
        <w:pStyle w:val="2"/>
      </w:pPr>
    </w:p>
    <w:p/>
    <w:p>
      <w:pPr>
        <w:pStyle w:val="12"/>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二、公司已获得的行业资质、资信证书及荣誉</w:t>
      </w:r>
    </w:p>
    <w:p>
      <w:pPr>
        <w:pStyle w:val="12"/>
        <w:rPr>
          <w:rFonts w:hint="default"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（一）请提供企业营业执照扫描件</w:t>
      </w:r>
    </w:p>
    <w:p>
      <w:pPr>
        <w:pStyle w:val="12"/>
        <w:rPr>
          <w:rFonts w:hint="eastAsia" w:ascii="方正楷体_GB2312" w:hAnsi="方正楷体_GB2312" w:eastAsia="方正楷体_GB2312" w:cs="方正楷体_GB2312"/>
          <w:sz w:val="28"/>
          <w:szCs w:val="28"/>
          <w:lang w:val="en-US" w:eastAsia="zh-CN"/>
        </w:rPr>
      </w:pPr>
    </w:p>
    <w:p>
      <w:pPr>
        <w:pStyle w:val="12"/>
        <w:rPr>
          <w:rFonts w:hint="eastAsia" w:ascii="方正楷体_GB2312" w:hAnsi="方正楷体_GB2312" w:eastAsia="方正楷体_GB2312" w:cs="方正楷体_GB2312"/>
          <w:sz w:val="28"/>
          <w:szCs w:val="28"/>
          <w:lang w:val="en-US" w:eastAsia="zh-CN"/>
        </w:rPr>
      </w:pPr>
    </w:p>
    <w:p>
      <w:pPr>
        <w:pStyle w:val="12"/>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（二）请提供贵司已获得的行业资质、资信、认证证书列表</w:t>
      </w:r>
    </w:p>
    <w:tbl>
      <w:tblPr>
        <w:tblStyle w:val="10"/>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684"/>
        <w:gridCol w:w="1686"/>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0" w:type="dxa"/>
          </w:tcPr>
          <w:p>
            <w:pPr>
              <w:spacing w:line="360" w:lineRule="auto"/>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证书名称</w:t>
            </w:r>
          </w:p>
        </w:tc>
        <w:tc>
          <w:tcPr>
            <w:tcW w:w="2684" w:type="dxa"/>
          </w:tcPr>
          <w:p>
            <w:pPr>
              <w:spacing w:line="360" w:lineRule="auto"/>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颁发机构</w:t>
            </w:r>
          </w:p>
        </w:tc>
        <w:tc>
          <w:tcPr>
            <w:tcW w:w="1686" w:type="dxa"/>
          </w:tcPr>
          <w:p>
            <w:pPr>
              <w:spacing w:line="360" w:lineRule="auto"/>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获得时间</w:t>
            </w:r>
          </w:p>
        </w:tc>
        <w:tc>
          <w:tcPr>
            <w:tcW w:w="1581" w:type="dxa"/>
          </w:tcPr>
          <w:p>
            <w:pPr>
              <w:spacing w:line="360" w:lineRule="auto"/>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0" w:type="dxa"/>
          </w:tcPr>
          <w:p>
            <w:pPr>
              <w:spacing w:line="360" w:lineRule="auto"/>
              <w:jc w:val="center"/>
              <w:rPr>
                <w:rFonts w:hint="eastAsia" w:ascii="仿宋" w:hAnsi="仿宋" w:eastAsia="仿宋"/>
                <w:sz w:val="21"/>
                <w:szCs w:val="21"/>
                <w:vertAlign w:val="baseline"/>
                <w:lang w:val="en-US" w:eastAsia="zh-CN"/>
              </w:rPr>
            </w:pPr>
          </w:p>
        </w:tc>
        <w:tc>
          <w:tcPr>
            <w:tcW w:w="2684" w:type="dxa"/>
          </w:tcPr>
          <w:p>
            <w:pPr>
              <w:spacing w:line="360" w:lineRule="auto"/>
              <w:jc w:val="center"/>
              <w:rPr>
                <w:rFonts w:hint="eastAsia" w:ascii="仿宋" w:hAnsi="仿宋" w:eastAsia="仿宋"/>
                <w:sz w:val="21"/>
                <w:szCs w:val="21"/>
                <w:vertAlign w:val="baseline"/>
                <w:lang w:val="en-US" w:eastAsia="zh-CN"/>
              </w:rPr>
            </w:pPr>
          </w:p>
        </w:tc>
        <w:tc>
          <w:tcPr>
            <w:tcW w:w="1686" w:type="dxa"/>
          </w:tcPr>
          <w:p>
            <w:pPr>
              <w:spacing w:line="360" w:lineRule="auto"/>
              <w:jc w:val="center"/>
              <w:rPr>
                <w:rFonts w:hint="eastAsia" w:ascii="仿宋" w:hAnsi="仿宋" w:eastAsia="仿宋"/>
                <w:sz w:val="21"/>
                <w:szCs w:val="21"/>
                <w:vertAlign w:val="baseline"/>
                <w:lang w:val="en-US" w:eastAsia="zh-CN"/>
              </w:rPr>
            </w:pPr>
          </w:p>
        </w:tc>
        <w:tc>
          <w:tcPr>
            <w:tcW w:w="1581" w:type="dxa"/>
          </w:tcPr>
          <w:p>
            <w:pPr>
              <w:spacing w:line="360" w:lineRule="auto"/>
              <w:jc w:val="center"/>
              <w:rPr>
                <w:rFonts w:hint="eastAsia" w:ascii="仿宋" w:hAnsi="仿宋" w:eastAsia="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0" w:type="dxa"/>
          </w:tcPr>
          <w:p>
            <w:pPr>
              <w:spacing w:line="360" w:lineRule="auto"/>
              <w:jc w:val="center"/>
              <w:rPr>
                <w:rFonts w:hint="eastAsia" w:ascii="仿宋" w:hAnsi="仿宋" w:eastAsia="仿宋"/>
                <w:sz w:val="21"/>
                <w:szCs w:val="21"/>
                <w:vertAlign w:val="baseline"/>
                <w:lang w:val="en-US" w:eastAsia="zh-CN"/>
              </w:rPr>
            </w:pPr>
          </w:p>
        </w:tc>
        <w:tc>
          <w:tcPr>
            <w:tcW w:w="2684" w:type="dxa"/>
          </w:tcPr>
          <w:p>
            <w:pPr>
              <w:spacing w:line="360" w:lineRule="auto"/>
              <w:jc w:val="center"/>
              <w:rPr>
                <w:rFonts w:hint="eastAsia" w:ascii="仿宋" w:hAnsi="仿宋" w:eastAsia="仿宋"/>
                <w:sz w:val="21"/>
                <w:szCs w:val="21"/>
                <w:vertAlign w:val="baseline"/>
                <w:lang w:val="en-US" w:eastAsia="zh-CN"/>
              </w:rPr>
            </w:pPr>
          </w:p>
        </w:tc>
        <w:tc>
          <w:tcPr>
            <w:tcW w:w="1686" w:type="dxa"/>
          </w:tcPr>
          <w:p>
            <w:pPr>
              <w:spacing w:line="360" w:lineRule="auto"/>
              <w:jc w:val="center"/>
              <w:rPr>
                <w:rFonts w:hint="eastAsia" w:ascii="仿宋" w:hAnsi="仿宋" w:eastAsia="仿宋"/>
                <w:sz w:val="21"/>
                <w:szCs w:val="21"/>
                <w:vertAlign w:val="baseline"/>
                <w:lang w:val="en-US" w:eastAsia="zh-CN"/>
              </w:rPr>
            </w:pPr>
          </w:p>
        </w:tc>
        <w:tc>
          <w:tcPr>
            <w:tcW w:w="1581" w:type="dxa"/>
          </w:tcPr>
          <w:p>
            <w:pPr>
              <w:spacing w:line="360" w:lineRule="auto"/>
              <w:jc w:val="center"/>
              <w:rPr>
                <w:rFonts w:hint="eastAsia" w:ascii="仿宋" w:hAnsi="仿宋" w:eastAsia="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0" w:type="dxa"/>
          </w:tcPr>
          <w:p>
            <w:pPr>
              <w:spacing w:line="360" w:lineRule="auto"/>
              <w:jc w:val="center"/>
              <w:rPr>
                <w:rFonts w:hint="eastAsia" w:ascii="仿宋" w:hAnsi="仿宋" w:eastAsia="仿宋"/>
                <w:sz w:val="21"/>
                <w:szCs w:val="21"/>
                <w:vertAlign w:val="baseline"/>
                <w:lang w:val="en-US" w:eastAsia="zh-CN"/>
              </w:rPr>
            </w:pPr>
          </w:p>
        </w:tc>
        <w:tc>
          <w:tcPr>
            <w:tcW w:w="2684" w:type="dxa"/>
          </w:tcPr>
          <w:p>
            <w:pPr>
              <w:spacing w:line="360" w:lineRule="auto"/>
              <w:jc w:val="center"/>
              <w:rPr>
                <w:rFonts w:hint="eastAsia" w:ascii="仿宋" w:hAnsi="仿宋" w:eastAsia="仿宋"/>
                <w:sz w:val="21"/>
                <w:szCs w:val="21"/>
                <w:vertAlign w:val="baseline"/>
                <w:lang w:val="en-US" w:eastAsia="zh-CN"/>
              </w:rPr>
            </w:pPr>
          </w:p>
        </w:tc>
        <w:tc>
          <w:tcPr>
            <w:tcW w:w="1686" w:type="dxa"/>
          </w:tcPr>
          <w:p>
            <w:pPr>
              <w:spacing w:line="360" w:lineRule="auto"/>
              <w:jc w:val="center"/>
              <w:rPr>
                <w:rFonts w:hint="eastAsia" w:ascii="仿宋" w:hAnsi="仿宋" w:eastAsia="仿宋"/>
                <w:sz w:val="21"/>
                <w:szCs w:val="21"/>
                <w:vertAlign w:val="baseline"/>
                <w:lang w:val="en-US" w:eastAsia="zh-CN"/>
              </w:rPr>
            </w:pPr>
          </w:p>
        </w:tc>
        <w:tc>
          <w:tcPr>
            <w:tcW w:w="1581" w:type="dxa"/>
          </w:tcPr>
          <w:p>
            <w:pPr>
              <w:spacing w:line="360" w:lineRule="auto"/>
              <w:jc w:val="center"/>
              <w:rPr>
                <w:rFonts w:hint="eastAsia" w:ascii="仿宋" w:hAnsi="仿宋" w:eastAsia="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0" w:type="dxa"/>
          </w:tcPr>
          <w:p>
            <w:pPr>
              <w:spacing w:line="360" w:lineRule="auto"/>
              <w:jc w:val="center"/>
              <w:rPr>
                <w:rFonts w:hint="eastAsia" w:ascii="仿宋" w:hAnsi="仿宋" w:eastAsia="仿宋"/>
                <w:sz w:val="21"/>
                <w:szCs w:val="21"/>
                <w:vertAlign w:val="baseline"/>
                <w:lang w:val="en-US" w:eastAsia="zh-CN"/>
              </w:rPr>
            </w:pPr>
          </w:p>
        </w:tc>
        <w:tc>
          <w:tcPr>
            <w:tcW w:w="2684" w:type="dxa"/>
          </w:tcPr>
          <w:p>
            <w:pPr>
              <w:spacing w:line="360" w:lineRule="auto"/>
              <w:jc w:val="center"/>
              <w:rPr>
                <w:rFonts w:hint="eastAsia" w:ascii="仿宋" w:hAnsi="仿宋" w:eastAsia="仿宋"/>
                <w:sz w:val="21"/>
                <w:szCs w:val="21"/>
                <w:vertAlign w:val="baseline"/>
                <w:lang w:val="en-US" w:eastAsia="zh-CN"/>
              </w:rPr>
            </w:pPr>
          </w:p>
        </w:tc>
        <w:tc>
          <w:tcPr>
            <w:tcW w:w="1686" w:type="dxa"/>
          </w:tcPr>
          <w:p>
            <w:pPr>
              <w:spacing w:line="360" w:lineRule="auto"/>
              <w:jc w:val="center"/>
              <w:rPr>
                <w:rFonts w:hint="eastAsia" w:ascii="仿宋" w:hAnsi="仿宋" w:eastAsia="仿宋"/>
                <w:sz w:val="21"/>
                <w:szCs w:val="21"/>
                <w:vertAlign w:val="baseline"/>
                <w:lang w:val="en-US" w:eastAsia="zh-CN"/>
              </w:rPr>
            </w:pPr>
          </w:p>
        </w:tc>
        <w:tc>
          <w:tcPr>
            <w:tcW w:w="1581" w:type="dxa"/>
          </w:tcPr>
          <w:p>
            <w:pPr>
              <w:spacing w:line="360" w:lineRule="auto"/>
              <w:jc w:val="center"/>
              <w:rPr>
                <w:rFonts w:hint="eastAsia" w:ascii="仿宋" w:hAnsi="仿宋" w:eastAsia="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0" w:type="dxa"/>
          </w:tcPr>
          <w:p>
            <w:pPr>
              <w:spacing w:line="360" w:lineRule="auto"/>
              <w:jc w:val="center"/>
              <w:rPr>
                <w:rFonts w:hint="eastAsia" w:ascii="仿宋" w:hAnsi="仿宋" w:eastAsia="仿宋"/>
                <w:sz w:val="21"/>
                <w:szCs w:val="21"/>
                <w:vertAlign w:val="baseline"/>
                <w:lang w:val="en-US" w:eastAsia="zh-CN"/>
              </w:rPr>
            </w:pPr>
          </w:p>
        </w:tc>
        <w:tc>
          <w:tcPr>
            <w:tcW w:w="2684" w:type="dxa"/>
          </w:tcPr>
          <w:p>
            <w:pPr>
              <w:spacing w:line="360" w:lineRule="auto"/>
              <w:jc w:val="center"/>
              <w:rPr>
                <w:rFonts w:hint="eastAsia" w:ascii="仿宋" w:hAnsi="仿宋" w:eastAsia="仿宋"/>
                <w:sz w:val="21"/>
                <w:szCs w:val="21"/>
                <w:vertAlign w:val="baseline"/>
                <w:lang w:val="en-US" w:eastAsia="zh-CN"/>
              </w:rPr>
            </w:pPr>
          </w:p>
        </w:tc>
        <w:tc>
          <w:tcPr>
            <w:tcW w:w="1686" w:type="dxa"/>
          </w:tcPr>
          <w:p>
            <w:pPr>
              <w:spacing w:line="360" w:lineRule="auto"/>
              <w:jc w:val="center"/>
              <w:rPr>
                <w:rFonts w:hint="eastAsia" w:ascii="仿宋" w:hAnsi="仿宋" w:eastAsia="仿宋"/>
                <w:sz w:val="21"/>
                <w:szCs w:val="21"/>
                <w:vertAlign w:val="baseline"/>
                <w:lang w:val="en-US" w:eastAsia="zh-CN"/>
              </w:rPr>
            </w:pPr>
          </w:p>
        </w:tc>
        <w:tc>
          <w:tcPr>
            <w:tcW w:w="1581" w:type="dxa"/>
          </w:tcPr>
          <w:p>
            <w:pPr>
              <w:spacing w:line="360" w:lineRule="auto"/>
              <w:jc w:val="center"/>
              <w:rPr>
                <w:rFonts w:hint="eastAsia" w:ascii="仿宋" w:hAnsi="仿宋" w:eastAsia="仿宋"/>
                <w:sz w:val="21"/>
                <w:szCs w:val="21"/>
                <w:vertAlign w:val="baseline"/>
                <w:lang w:val="en-US" w:eastAsia="zh-CN"/>
              </w:rPr>
            </w:pPr>
          </w:p>
        </w:tc>
      </w:tr>
    </w:tbl>
    <w:p>
      <w:pPr>
        <w:pStyle w:val="12"/>
        <w:rPr>
          <w:rFonts w:hint="eastAsia" w:ascii="仿宋" w:hAnsi="仿宋" w:eastAsia="仿宋"/>
          <w:sz w:val="21"/>
          <w:szCs w:val="21"/>
          <w:lang w:val="en-US" w:eastAsia="zh-CN"/>
        </w:rPr>
      </w:pPr>
      <w:r>
        <w:rPr>
          <w:rFonts w:hint="eastAsia" w:ascii="仿宋" w:hAnsi="仿宋" w:eastAsia="仿宋"/>
          <w:sz w:val="21"/>
          <w:szCs w:val="21"/>
          <w:lang w:val="en-US" w:eastAsia="zh-CN"/>
        </w:rPr>
        <w:t>（若行数不够，请自行添加）</w:t>
      </w:r>
    </w:p>
    <w:p>
      <w:pPr>
        <w:pStyle w:val="12"/>
        <w:rPr>
          <w:rFonts w:hint="eastAsia" w:ascii="仿宋" w:hAnsi="仿宋" w:eastAsia="仿宋"/>
          <w:sz w:val="21"/>
          <w:szCs w:val="21"/>
          <w:lang w:val="en-US" w:eastAsia="zh-CN"/>
        </w:rPr>
      </w:pPr>
    </w:p>
    <w:p>
      <w:pPr>
        <w:pStyle w:val="12"/>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（三）请提供企业行业资质、资信、认证证书扫描件：</w:t>
      </w:r>
    </w:p>
    <w:p/>
    <w:p/>
    <w:p/>
    <w:p/>
    <w:p>
      <w:pPr>
        <w:pStyle w:val="12"/>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三、根据本项目规模，请提供贵司拟投入的服务团队规划：</w:t>
      </w:r>
    </w:p>
    <w:tbl>
      <w:tblPr>
        <w:tblStyle w:val="10"/>
        <w:tblW w:w="8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442"/>
        <w:gridCol w:w="712"/>
        <w:gridCol w:w="666"/>
        <w:gridCol w:w="834"/>
        <w:gridCol w:w="784"/>
        <w:gridCol w:w="785"/>
        <w:gridCol w:w="972"/>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6" w:type="dxa"/>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b/>
                <w:bCs/>
                <w:sz w:val="22"/>
                <w:szCs w:val="22"/>
                <w:u w:val="none"/>
                <w:vertAlign w:val="baseline"/>
                <w:lang w:val="en-US" w:eastAsia="zh-CN"/>
              </w:rPr>
            </w:pPr>
            <w:r>
              <w:rPr>
                <w:rFonts w:hint="eastAsia" w:ascii="仿宋" w:hAnsi="仿宋" w:eastAsia="仿宋"/>
                <w:b/>
                <w:bCs/>
                <w:sz w:val="22"/>
                <w:szCs w:val="22"/>
                <w:u w:val="none"/>
                <w:vertAlign w:val="baseline"/>
                <w:lang w:val="en-US" w:eastAsia="zh-CN"/>
              </w:rPr>
              <w:t>序号</w:t>
            </w:r>
          </w:p>
        </w:tc>
        <w:tc>
          <w:tcPr>
            <w:tcW w:w="1442" w:type="dxa"/>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b/>
                <w:bCs/>
                <w:sz w:val="22"/>
                <w:szCs w:val="22"/>
                <w:u w:val="none"/>
                <w:vertAlign w:val="baseline"/>
                <w:lang w:val="en-US" w:eastAsia="zh-CN"/>
              </w:rPr>
            </w:pPr>
            <w:r>
              <w:rPr>
                <w:rFonts w:hint="eastAsia" w:ascii="仿宋" w:hAnsi="仿宋" w:eastAsia="仿宋"/>
                <w:b/>
                <w:bCs/>
                <w:sz w:val="22"/>
                <w:szCs w:val="22"/>
                <w:u w:val="none"/>
                <w:vertAlign w:val="baseline"/>
                <w:lang w:val="en-US" w:eastAsia="zh-CN"/>
              </w:rPr>
              <w:t>岗位</w:t>
            </w:r>
          </w:p>
        </w:tc>
        <w:tc>
          <w:tcPr>
            <w:tcW w:w="712" w:type="dxa"/>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b/>
                <w:bCs/>
                <w:sz w:val="22"/>
                <w:szCs w:val="22"/>
                <w:u w:val="none"/>
                <w:vertAlign w:val="baseline"/>
                <w:lang w:val="en-US" w:eastAsia="zh-CN"/>
              </w:rPr>
            </w:pPr>
            <w:r>
              <w:rPr>
                <w:rFonts w:hint="eastAsia" w:ascii="仿宋" w:hAnsi="仿宋" w:eastAsia="仿宋"/>
                <w:b/>
                <w:bCs/>
                <w:sz w:val="22"/>
                <w:szCs w:val="22"/>
                <w:u w:val="none"/>
                <w:vertAlign w:val="baseline"/>
                <w:lang w:val="en-US" w:eastAsia="zh-CN"/>
              </w:rPr>
              <w:t>人数（人）</w:t>
            </w:r>
          </w:p>
        </w:tc>
        <w:tc>
          <w:tcPr>
            <w:tcW w:w="5805" w:type="dxa"/>
            <w:gridSpan w:val="6"/>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b/>
                <w:bCs/>
                <w:sz w:val="22"/>
                <w:szCs w:val="22"/>
                <w:u w:val="none"/>
                <w:vertAlign w:val="baseline"/>
                <w:lang w:val="en-US" w:eastAsia="zh-CN"/>
              </w:rPr>
            </w:pPr>
            <w:r>
              <w:rPr>
                <w:rFonts w:hint="eastAsia" w:ascii="仿宋" w:hAnsi="仿宋" w:eastAsia="仿宋"/>
                <w:b/>
                <w:bCs/>
                <w:sz w:val="22"/>
                <w:szCs w:val="22"/>
                <w:u w:val="none"/>
                <w:vertAlign w:val="baseline"/>
                <w:lang w:val="en-US" w:eastAsia="zh-CN"/>
              </w:rPr>
              <w:t>人员须具备的条件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6"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b/>
                <w:bCs/>
                <w:sz w:val="22"/>
                <w:szCs w:val="22"/>
                <w:u w:val="none"/>
                <w:vertAlign w:val="baseline"/>
                <w:lang w:val="en-US" w:eastAsia="zh-CN"/>
              </w:rPr>
            </w:pPr>
          </w:p>
        </w:tc>
        <w:tc>
          <w:tcPr>
            <w:tcW w:w="1442"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b/>
                <w:bCs/>
                <w:sz w:val="22"/>
                <w:szCs w:val="22"/>
                <w:u w:val="none"/>
                <w:vertAlign w:val="baseline"/>
                <w:lang w:val="en-US" w:eastAsia="zh-CN"/>
              </w:rPr>
            </w:pPr>
          </w:p>
        </w:tc>
        <w:tc>
          <w:tcPr>
            <w:tcW w:w="712"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b/>
                <w:bCs/>
                <w:sz w:val="22"/>
                <w:szCs w:val="22"/>
                <w:u w:val="none"/>
                <w:vertAlign w:val="baseline"/>
                <w:lang w:val="en-US" w:eastAsia="zh-CN"/>
              </w:rPr>
            </w:pPr>
          </w:p>
        </w:tc>
        <w:tc>
          <w:tcPr>
            <w:tcW w:w="66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b/>
                <w:bCs/>
                <w:sz w:val="22"/>
                <w:szCs w:val="22"/>
                <w:u w:val="none"/>
                <w:vertAlign w:val="baseline"/>
                <w:lang w:val="en-US" w:eastAsia="zh-CN"/>
              </w:rPr>
            </w:pPr>
            <w:r>
              <w:rPr>
                <w:rFonts w:hint="eastAsia" w:ascii="仿宋" w:hAnsi="仿宋" w:eastAsia="仿宋"/>
                <w:b/>
                <w:bCs/>
                <w:sz w:val="22"/>
                <w:szCs w:val="22"/>
                <w:u w:val="none"/>
                <w:vertAlign w:val="baseline"/>
                <w:lang w:val="en-US" w:eastAsia="zh-CN"/>
              </w:rPr>
              <w:t>学历</w:t>
            </w:r>
          </w:p>
        </w:tc>
        <w:tc>
          <w:tcPr>
            <w:tcW w:w="83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b/>
                <w:bCs/>
                <w:sz w:val="22"/>
                <w:szCs w:val="22"/>
                <w:u w:val="none"/>
                <w:vertAlign w:val="baseline"/>
                <w:lang w:val="en-US" w:eastAsia="zh-CN"/>
              </w:rPr>
            </w:pPr>
            <w:r>
              <w:rPr>
                <w:rFonts w:hint="eastAsia" w:ascii="仿宋" w:hAnsi="仿宋" w:eastAsia="仿宋"/>
                <w:b/>
                <w:bCs/>
                <w:sz w:val="22"/>
                <w:szCs w:val="22"/>
                <w:u w:val="none"/>
                <w:vertAlign w:val="baseline"/>
                <w:lang w:val="en-US" w:eastAsia="zh-CN"/>
              </w:rPr>
              <w:t>专业</w:t>
            </w:r>
          </w:p>
        </w:tc>
        <w:tc>
          <w:tcPr>
            <w:tcW w:w="78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b/>
                <w:bCs/>
                <w:sz w:val="22"/>
                <w:szCs w:val="22"/>
                <w:u w:val="none"/>
                <w:vertAlign w:val="baseline"/>
                <w:lang w:val="en-US" w:eastAsia="zh-CN"/>
              </w:rPr>
            </w:pPr>
            <w:r>
              <w:rPr>
                <w:rFonts w:hint="eastAsia" w:ascii="仿宋" w:hAnsi="仿宋" w:eastAsia="仿宋"/>
                <w:b/>
                <w:bCs/>
                <w:sz w:val="22"/>
                <w:szCs w:val="22"/>
                <w:u w:val="none"/>
                <w:vertAlign w:val="baseline"/>
                <w:lang w:val="en-US" w:eastAsia="zh-CN"/>
              </w:rPr>
              <w:t>职称</w:t>
            </w:r>
          </w:p>
        </w:tc>
        <w:tc>
          <w:tcPr>
            <w:tcW w:w="78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b/>
                <w:bCs/>
                <w:sz w:val="22"/>
                <w:szCs w:val="22"/>
                <w:u w:val="none"/>
                <w:vertAlign w:val="baseline"/>
                <w:lang w:val="en-US" w:eastAsia="zh-CN"/>
              </w:rPr>
            </w:pPr>
            <w:r>
              <w:rPr>
                <w:rFonts w:hint="eastAsia" w:ascii="仿宋" w:hAnsi="仿宋" w:eastAsia="仿宋"/>
                <w:b/>
                <w:bCs/>
                <w:sz w:val="22"/>
                <w:szCs w:val="22"/>
                <w:u w:val="none"/>
                <w:vertAlign w:val="baseline"/>
                <w:lang w:val="en-US" w:eastAsia="zh-CN"/>
              </w:rPr>
              <w:t>职称对应专业</w:t>
            </w:r>
          </w:p>
        </w:tc>
        <w:tc>
          <w:tcPr>
            <w:tcW w:w="97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b/>
                <w:bCs/>
                <w:sz w:val="22"/>
                <w:szCs w:val="22"/>
                <w:u w:val="none"/>
                <w:vertAlign w:val="baseline"/>
                <w:lang w:val="en-US" w:eastAsia="zh-CN"/>
              </w:rPr>
            </w:pPr>
            <w:r>
              <w:rPr>
                <w:rFonts w:hint="eastAsia" w:ascii="仿宋" w:hAnsi="仿宋" w:eastAsia="仿宋"/>
                <w:b/>
                <w:bCs/>
                <w:sz w:val="22"/>
                <w:szCs w:val="22"/>
                <w:u w:val="none"/>
                <w:vertAlign w:val="baseline"/>
                <w:lang w:val="en-US" w:eastAsia="zh-CN"/>
              </w:rPr>
              <w:t>维修培训合格证书</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b/>
                <w:bCs/>
                <w:sz w:val="22"/>
                <w:szCs w:val="22"/>
                <w:u w:val="none"/>
                <w:vertAlign w:val="baseline"/>
                <w:lang w:val="en-US" w:eastAsia="zh-CN"/>
              </w:rPr>
            </w:pPr>
            <w:r>
              <w:rPr>
                <w:rFonts w:hint="eastAsia" w:ascii="仿宋" w:hAnsi="仿宋" w:eastAsia="仿宋"/>
                <w:b/>
                <w:bCs/>
                <w:sz w:val="22"/>
                <w:szCs w:val="22"/>
                <w:u w:val="none"/>
                <w:vertAlign w:val="baseline"/>
                <w:lang w:val="en-US" w:eastAsia="zh-CN"/>
              </w:rPr>
              <w:t>同类项目经验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sz w:val="22"/>
                <w:szCs w:val="22"/>
                <w:u w:val="none"/>
                <w:vertAlign w:val="baseline"/>
                <w:lang w:val="en-US" w:eastAsia="zh-CN"/>
              </w:rPr>
            </w:pPr>
            <w:r>
              <w:rPr>
                <w:rFonts w:hint="eastAsia" w:ascii="仿宋" w:hAnsi="仿宋" w:eastAsia="仿宋" w:cs="仿宋"/>
                <w:color w:val="auto"/>
                <w:sz w:val="22"/>
                <w:szCs w:val="22"/>
                <w:lang w:val="en-US" w:eastAsia="zh-CN"/>
              </w:rPr>
              <w:t>1</w:t>
            </w:r>
          </w:p>
        </w:tc>
        <w:tc>
          <w:tcPr>
            <w:tcW w:w="144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2"/>
                <w:szCs w:val="22"/>
                <w:u w:val="none"/>
                <w:vertAlign w:val="baseline"/>
                <w:lang w:val="en-US" w:eastAsia="zh-CN"/>
              </w:rPr>
            </w:pPr>
            <w:r>
              <w:rPr>
                <w:rFonts w:hint="eastAsia" w:ascii="仿宋" w:hAnsi="仿宋" w:eastAsia="仿宋" w:cs="仿宋"/>
                <w:sz w:val="22"/>
                <w:szCs w:val="22"/>
                <w:u w:val="none"/>
                <w:vertAlign w:val="baseline"/>
                <w:lang w:val="en-US" w:eastAsia="zh-CN"/>
              </w:rPr>
              <w:t>项目负责人</w:t>
            </w:r>
          </w:p>
        </w:tc>
        <w:tc>
          <w:tcPr>
            <w:tcW w:w="71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66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83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78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78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97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176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r>
              <w:rPr>
                <w:rFonts w:hint="eastAsia" w:ascii="仿宋" w:hAnsi="仿宋" w:eastAsia="仿宋"/>
                <w:sz w:val="22"/>
                <w:szCs w:val="22"/>
                <w:u w:val="none"/>
                <w:vertAlign w:val="baseline"/>
                <w:lang w:val="en-US" w:eastAsia="zh-CN"/>
              </w:rPr>
              <w:t>（请注意：须提供以项目主管或项目经理身份负责管理过的医疗设备维保项目经验）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sz w:val="22"/>
                <w:szCs w:val="22"/>
                <w:u w:val="none"/>
                <w:vertAlign w:val="baseline"/>
                <w:lang w:val="en-US" w:eastAsia="zh-CN"/>
              </w:rPr>
            </w:pPr>
            <w:r>
              <w:rPr>
                <w:rFonts w:hint="eastAsia" w:ascii="仿宋" w:hAnsi="仿宋" w:eastAsia="仿宋" w:cs="仿宋"/>
                <w:color w:val="auto"/>
                <w:sz w:val="22"/>
                <w:szCs w:val="22"/>
                <w:lang w:val="en-US" w:eastAsia="zh-CN"/>
              </w:rPr>
              <w:t>2</w:t>
            </w:r>
          </w:p>
        </w:tc>
        <w:tc>
          <w:tcPr>
            <w:tcW w:w="144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2"/>
                <w:szCs w:val="22"/>
                <w:u w:val="none"/>
                <w:vertAlign w:val="baseline"/>
                <w:lang w:val="en-US" w:eastAsia="zh-CN"/>
              </w:rPr>
            </w:pPr>
            <w:r>
              <w:rPr>
                <w:rFonts w:hint="eastAsia" w:ascii="仿宋" w:hAnsi="仿宋" w:eastAsia="仿宋" w:cs="仿宋"/>
                <w:sz w:val="22"/>
                <w:szCs w:val="22"/>
                <w:u w:val="none"/>
                <w:vertAlign w:val="baseline"/>
                <w:lang w:val="en-US" w:eastAsia="zh-CN"/>
              </w:rPr>
              <w:t>设备维修人员</w:t>
            </w:r>
          </w:p>
        </w:tc>
        <w:tc>
          <w:tcPr>
            <w:tcW w:w="71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66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83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78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78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97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176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r>
              <w:rPr>
                <w:rFonts w:hint="eastAsia" w:ascii="仿宋" w:hAnsi="仿宋" w:eastAsia="仿宋"/>
                <w:sz w:val="22"/>
                <w:szCs w:val="22"/>
                <w:u w:val="none"/>
                <w:vertAlign w:val="baseline"/>
                <w:lang w:val="en-US" w:eastAsia="zh-CN"/>
              </w:rPr>
              <w:t>（请提供拟投入该岗位人员所能达到的最低同类工作经验年限）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sz w:val="22"/>
                <w:szCs w:val="22"/>
                <w:u w:val="none"/>
                <w:vertAlign w:val="baseline"/>
                <w:lang w:val="en-US" w:eastAsia="zh-CN"/>
              </w:rPr>
            </w:pPr>
            <w:r>
              <w:rPr>
                <w:rFonts w:hint="eastAsia" w:ascii="仿宋" w:hAnsi="仿宋" w:eastAsia="仿宋" w:cs="仿宋"/>
                <w:color w:val="auto"/>
                <w:sz w:val="22"/>
                <w:szCs w:val="22"/>
                <w:lang w:val="en-US" w:eastAsia="zh-CN"/>
              </w:rPr>
              <w:t>3</w:t>
            </w:r>
          </w:p>
        </w:tc>
        <w:tc>
          <w:tcPr>
            <w:tcW w:w="144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2"/>
                <w:szCs w:val="22"/>
                <w:u w:val="none"/>
                <w:vertAlign w:val="baseline"/>
                <w:lang w:val="en-US" w:eastAsia="zh-CN"/>
              </w:rPr>
            </w:pPr>
            <w:r>
              <w:rPr>
                <w:rFonts w:hint="eastAsia" w:ascii="仿宋" w:hAnsi="仿宋" w:eastAsia="仿宋" w:cs="仿宋"/>
                <w:sz w:val="22"/>
                <w:szCs w:val="22"/>
                <w:u w:val="none"/>
                <w:vertAlign w:val="baseline"/>
                <w:lang w:val="en-US" w:eastAsia="zh-CN"/>
              </w:rPr>
              <w:t>血液透析维修保养工程师</w:t>
            </w:r>
          </w:p>
        </w:tc>
        <w:tc>
          <w:tcPr>
            <w:tcW w:w="71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66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83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78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78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97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1764"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theme="minorBidi"/>
                <w:kern w:val="2"/>
                <w:sz w:val="22"/>
                <w:szCs w:val="22"/>
                <w:u w:val="none"/>
                <w:vertAlign w:val="baseline"/>
                <w:lang w:val="en-US" w:eastAsia="zh-CN" w:bidi="ar-SA"/>
              </w:rPr>
            </w:pPr>
            <w:r>
              <w:rPr>
                <w:rFonts w:hint="eastAsia" w:ascii="仿宋" w:hAnsi="仿宋" w:eastAsia="仿宋"/>
                <w:sz w:val="22"/>
                <w:szCs w:val="22"/>
                <w:u w:val="none"/>
                <w:vertAlign w:val="baseline"/>
                <w:lang w:val="en-US" w:eastAsia="zh-CN"/>
              </w:rPr>
              <w:t>（请提供拟投入该岗位人员所能达到的最低同类工作经验年限）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w:t>
            </w:r>
          </w:p>
        </w:tc>
        <w:tc>
          <w:tcPr>
            <w:tcW w:w="144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2"/>
                <w:szCs w:val="22"/>
                <w:u w:val="none"/>
                <w:vertAlign w:val="baseline"/>
                <w:lang w:val="en-US" w:eastAsia="zh-CN"/>
              </w:rPr>
            </w:pPr>
            <w:r>
              <w:rPr>
                <w:rFonts w:hint="eastAsia" w:ascii="仿宋" w:hAnsi="仿宋" w:eastAsia="仿宋" w:cs="仿宋"/>
                <w:sz w:val="22"/>
                <w:szCs w:val="22"/>
                <w:u w:val="none"/>
                <w:vertAlign w:val="baseline"/>
                <w:lang w:val="en-US" w:eastAsia="zh-CN"/>
              </w:rPr>
              <w:t>工程师</w:t>
            </w:r>
          </w:p>
        </w:tc>
        <w:tc>
          <w:tcPr>
            <w:tcW w:w="71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66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83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78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78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97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1764"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theme="minorBidi"/>
                <w:kern w:val="2"/>
                <w:sz w:val="22"/>
                <w:szCs w:val="22"/>
                <w:u w:val="none"/>
                <w:vertAlign w:val="baseline"/>
                <w:lang w:val="en-US" w:eastAsia="zh-CN" w:bidi="ar-SA"/>
              </w:rPr>
            </w:pPr>
            <w:r>
              <w:rPr>
                <w:rFonts w:hint="eastAsia" w:ascii="仿宋" w:hAnsi="仿宋" w:eastAsia="仿宋"/>
                <w:sz w:val="22"/>
                <w:szCs w:val="22"/>
                <w:u w:val="none"/>
                <w:vertAlign w:val="baseline"/>
                <w:lang w:val="en-US" w:eastAsia="zh-CN"/>
              </w:rPr>
              <w:t>（请提供拟投入该岗位人员所能达到的最低同类工作经验年限）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2"/>
                <w:szCs w:val="22"/>
                <w:lang w:val="en-US" w:eastAsia="zh-CN"/>
              </w:rPr>
            </w:pPr>
          </w:p>
        </w:tc>
        <w:tc>
          <w:tcPr>
            <w:tcW w:w="144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2"/>
                <w:szCs w:val="22"/>
                <w:u w:val="none"/>
                <w:vertAlign w:val="baseline"/>
                <w:lang w:val="en-US" w:eastAsia="zh-CN"/>
              </w:rPr>
            </w:pPr>
          </w:p>
        </w:tc>
        <w:tc>
          <w:tcPr>
            <w:tcW w:w="71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66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83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78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78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97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sz w:val="22"/>
                <w:szCs w:val="22"/>
                <w:u w:val="none"/>
                <w:vertAlign w:val="baseline"/>
                <w:lang w:val="en-US" w:eastAsia="zh-CN"/>
              </w:rPr>
            </w:pPr>
          </w:p>
        </w:tc>
        <w:tc>
          <w:tcPr>
            <w:tcW w:w="1764"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sz w:val="22"/>
                <w:szCs w:val="22"/>
                <w:u w:val="none"/>
                <w:vertAlign w:val="baseline"/>
                <w:lang w:val="en-US" w:eastAsia="zh-CN"/>
              </w:rPr>
            </w:pPr>
          </w:p>
        </w:tc>
      </w:tr>
    </w:tbl>
    <w:p>
      <w:pPr>
        <w:pStyle w:val="12"/>
        <w:rPr>
          <w:rFonts w:hint="eastAsia" w:ascii="仿宋" w:hAnsi="仿宋" w:eastAsia="仿宋"/>
          <w:sz w:val="21"/>
          <w:szCs w:val="21"/>
          <w:lang w:val="en-US" w:eastAsia="zh-CN"/>
        </w:rPr>
      </w:pPr>
      <w:r>
        <w:rPr>
          <w:rFonts w:hint="eastAsia" w:ascii="仿宋" w:hAnsi="仿宋" w:eastAsia="仿宋"/>
          <w:sz w:val="21"/>
          <w:szCs w:val="21"/>
          <w:lang w:val="en-US" w:eastAsia="zh-CN"/>
        </w:rPr>
        <w:t>（若行数不够，请自行添加）</w:t>
      </w:r>
    </w:p>
    <w:p>
      <w:pPr>
        <w:pStyle w:val="12"/>
        <w:rPr>
          <w:rFonts w:hint="eastAsia" w:ascii="仿宋" w:hAnsi="仿宋" w:eastAsia="仿宋"/>
          <w:sz w:val="21"/>
          <w:szCs w:val="21"/>
          <w:lang w:val="en-US" w:eastAsia="zh-CN"/>
        </w:rPr>
      </w:pPr>
    </w:p>
    <w:p>
      <w:pPr>
        <w:pStyle w:val="12"/>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四、公司质控、检测、测量设备配备情况</w:t>
      </w:r>
    </w:p>
    <w:p>
      <w:pPr>
        <w:pStyle w:val="12"/>
        <w:rPr>
          <w:rFonts w:hint="eastAsia" w:ascii="仿宋" w:hAnsi="仿宋" w:eastAsia="仿宋"/>
          <w:sz w:val="21"/>
          <w:szCs w:val="21"/>
          <w:lang w:val="en-US" w:eastAsia="zh-CN"/>
        </w:rPr>
      </w:pPr>
    </w:p>
    <w:p>
      <w:pPr>
        <w:rPr>
          <w:rFonts w:hint="default"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（一）能否对监护仪和除颤仪和呼吸机和麻醉机进行检测，并提供数据模板；</w:t>
      </w:r>
    </w:p>
    <w:p>
      <w:pPr>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（二）请提供贵公司拟投入本项目的质控、检测、测量设备清单</w:t>
      </w:r>
    </w:p>
    <w:tbl>
      <w:tblPr>
        <w:tblStyle w:val="10"/>
        <w:tblW w:w="8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1560"/>
        <w:gridCol w:w="1064"/>
        <w:gridCol w:w="1908"/>
        <w:gridCol w:w="3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pStyle w:val="12"/>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序号</w:t>
            </w:r>
          </w:p>
        </w:tc>
        <w:tc>
          <w:tcPr>
            <w:tcW w:w="1560" w:type="dxa"/>
            <w:vAlign w:val="center"/>
          </w:tcPr>
          <w:p>
            <w:pPr>
              <w:pStyle w:val="12"/>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设备名称</w:t>
            </w:r>
          </w:p>
        </w:tc>
        <w:tc>
          <w:tcPr>
            <w:tcW w:w="1064" w:type="dxa"/>
            <w:vAlign w:val="center"/>
          </w:tcPr>
          <w:p>
            <w:pPr>
              <w:pStyle w:val="12"/>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数量（台）</w:t>
            </w:r>
          </w:p>
        </w:tc>
        <w:tc>
          <w:tcPr>
            <w:tcW w:w="1908" w:type="dxa"/>
            <w:vAlign w:val="center"/>
          </w:tcPr>
          <w:p>
            <w:pPr>
              <w:pStyle w:val="12"/>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是否定期由第三方检测机构定期校准</w:t>
            </w:r>
          </w:p>
        </w:tc>
        <w:tc>
          <w:tcPr>
            <w:tcW w:w="3472" w:type="dxa"/>
            <w:vAlign w:val="center"/>
          </w:tcPr>
          <w:p>
            <w:pPr>
              <w:pStyle w:val="12"/>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设备用途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pStyle w:val="12"/>
              <w:jc w:val="center"/>
              <w:rPr>
                <w:rFonts w:hint="default" w:ascii="仿宋" w:hAnsi="仿宋" w:eastAsia="仿宋"/>
                <w:sz w:val="21"/>
                <w:szCs w:val="21"/>
                <w:vertAlign w:val="baseline"/>
                <w:lang w:val="en-US" w:eastAsia="zh-CN"/>
              </w:rPr>
            </w:pPr>
          </w:p>
        </w:tc>
        <w:tc>
          <w:tcPr>
            <w:tcW w:w="1560" w:type="dxa"/>
            <w:vAlign w:val="center"/>
          </w:tcPr>
          <w:p>
            <w:pPr>
              <w:pStyle w:val="12"/>
              <w:jc w:val="center"/>
              <w:rPr>
                <w:rFonts w:hint="default" w:ascii="仿宋" w:hAnsi="仿宋" w:eastAsia="仿宋"/>
                <w:sz w:val="21"/>
                <w:szCs w:val="21"/>
                <w:vertAlign w:val="baseline"/>
                <w:lang w:val="en-US" w:eastAsia="zh-CN"/>
              </w:rPr>
            </w:pPr>
          </w:p>
        </w:tc>
        <w:tc>
          <w:tcPr>
            <w:tcW w:w="1064" w:type="dxa"/>
            <w:vAlign w:val="center"/>
          </w:tcPr>
          <w:p>
            <w:pPr>
              <w:pStyle w:val="12"/>
              <w:jc w:val="center"/>
              <w:rPr>
                <w:rFonts w:hint="default" w:ascii="仿宋" w:hAnsi="仿宋" w:eastAsia="仿宋"/>
                <w:sz w:val="21"/>
                <w:szCs w:val="21"/>
                <w:vertAlign w:val="baseline"/>
                <w:lang w:val="en-US" w:eastAsia="zh-CN"/>
              </w:rPr>
            </w:pPr>
          </w:p>
        </w:tc>
        <w:tc>
          <w:tcPr>
            <w:tcW w:w="1908" w:type="dxa"/>
            <w:vAlign w:val="center"/>
          </w:tcPr>
          <w:p>
            <w:pPr>
              <w:pStyle w:val="12"/>
              <w:jc w:val="center"/>
              <w:rPr>
                <w:rFonts w:hint="default" w:ascii="仿宋" w:hAnsi="仿宋" w:eastAsia="仿宋"/>
                <w:sz w:val="21"/>
                <w:szCs w:val="21"/>
                <w:vertAlign w:val="baseline"/>
                <w:lang w:val="en-US" w:eastAsia="zh-CN"/>
              </w:rPr>
            </w:pPr>
          </w:p>
        </w:tc>
        <w:tc>
          <w:tcPr>
            <w:tcW w:w="3472" w:type="dxa"/>
            <w:vAlign w:val="center"/>
          </w:tcPr>
          <w:p>
            <w:pPr>
              <w:pStyle w:val="12"/>
              <w:jc w:val="center"/>
              <w:rPr>
                <w:rFonts w:hint="default" w:ascii="仿宋" w:hAnsi="仿宋" w:eastAsia="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pStyle w:val="12"/>
              <w:jc w:val="center"/>
              <w:rPr>
                <w:rFonts w:hint="default" w:ascii="仿宋" w:hAnsi="仿宋" w:eastAsia="仿宋"/>
                <w:sz w:val="21"/>
                <w:szCs w:val="21"/>
                <w:vertAlign w:val="baseline"/>
                <w:lang w:val="en-US" w:eastAsia="zh-CN"/>
              </w:rPr>
            </w:pPr>
          </w:p>
        </w:tc>
        <w:tc>
          <w:tcPr>
            <w:tcW w:w="1560" w:type="dxa"/>
            <w:vAlign w:val="center"/>
          </w:tcPr>
          <w:p>
            <w:pPr>
              <w:pStyle w:val="12"/>
              <w:jc w:val="center"/>
              <w:rPr>
                <w:rFonts w:hint="default" w:ascii="仿宋" w:hAnsi="仿宋" w:eastAsia="仿宋"/>
                <w:sz w:val="21"/>
                <w:szCs w:val="21"/>
                <w:vertAlign w:val="baseline"/>
                <w:lang w:val="en-US" w:eastAsia="zh-CN"/>
              </w:rPr>
            </w:pPr>
          </w:p>
        </w:tc>
        <w:tc>
          <w:tcPr>
            <w:tcW w:w="1064" w:type="dxa"/>
            <w:vAlign w:val="center"/>
          </w:tcPr>
          <w:p>
            <w:pPr>
              <w:pStyle w:val="12"/>
              <w:jc w:val="center"/>
              <w:rPr>
                <w:rFonts w:hint="default" w:ascii="仿宋" w:hAnsi="仿宋" w:eastAsia="仿宋"/>
                <w:sz w:val="21"/>
                <w:szCs w:val="21"/>
                <w:vertAlign w:val="baseline"/>
                <w:lang w:val="en-US" w:eastAsia="zh-CN"/>
              </w:rPr>
            </w:pPr>
          </w:p>
        </w:tc>
        <w:tc>
          <w:tcPr>
            <w:tcW w:w="1908" w:type="dxa"/>
            <w:vAlign w:val="center"/>
          </w:tcPr>
          <w:p>
            <w:pPr>
              <w:pStyle w:val="12"/>
              <w:jc w:val="center"/>
              <w:rPr>
                <w:rFonts w:hint="default" w:ascii="仿宋" w:hAnsi="仿宋" w:eastAsia="仿宋"/>
                <w:sz w:val="21"/>
                <w:szCs w:val="21"/>
                <w:vertAlign w:val="baseline"/>
                <w:lang w:val="en-US" w:eastAsia="zh-CN"/>
              </w:rPr>
            </w:pPr>
          </w:p>
        </w:tc>
        <w:tc>
          <w:tcPr>
            <w:tcW w:w="3472" w:type="dxa"/>
            <w:vAlign w:val="center"/>
          </w:tcPr>
          <w:p>
            <w:pPr>
              <w:pStyle w:val="12"/>
              <w:jc w:val="center"/>
              <w:rPr>
                <w:rFonts w:hint="default" w:ascii="仿宋" w:hAnsi="仿宋" w:eastAsia="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pStyle w:val="12"/>
              <w:jc w:val="center"/>
              <w:rPr>
                <w:rFonts w:hint="default" w:ascii="仿宋" w:hAnsi="仿宋" w:eastAsia="仿宋"/>
                <w:sz w:val="21"/>
                <w:szCs w:val="21"/>
                <w:vertAlign w:val="baseline"/>
                <w:lang w:val="en-US" w:eastAsia="zh-CN"/>
              </w:rPr>
            </w:pPr>
          </w:p>
        </w:tc>
        <w:tc>
          <w:tcPr>
            <w:tcW w:w="1560" w:type="dxa"/>
            <w:vAlign w:val="center"/>
          </w:tcPr>
          <w:p>
            <w:pPr>
              <w:pStyle w:val="12"/>
              <w:jc w:val="center"/>
              <w:rPr>
                <w:rFonts w:hint="default" w:ascii="仿宋" w:hAnsi="仿宋" w:eastAsia="仿宋"/>
                <w:sz w:val="21"/>
                <w:szCs w:val="21"/>
                <w:vertAlign w:val="baseline"/>
                <w:lang w:val="en-US" w:eastAsia="zh-CN"/>
              </w:rPr>
            </w:pPr>
          </w:p>
        </w:tc>
        <w:tc>
          <w:tcPr>
            <w:tcW w:w="1064" w:type="dxa"/>
            <w:vAlign w:val="center"/>
          </w:tcPr>
          <w:p>
            <w:pPr>
              <w:pStyle w:val="12"/>
              <w:jc w:val="center"/>
              <w:rPr>
                <w:rFonts w:hint="default" w:ascii="仿宋" w:hAnsi="仿宋" w:eastAsia="仿宋"/>
                <w:sz w:val="21"/>
                <w:szCs w:val="21"/>
                <w:vertAlign w:val="baseline"/>
                <w:lang w:val="en-US" w:eastAsia="zh-CN"/>
              </w:rPr>
            </w:pPr>
          </w:p>
        </w:tc>
        <w:tc>
          <w:tcPr>
            <w:tcW w:w="1908" w:type="dxa"/>
            <w:vAlign w:val="center"/>
          </w:tcPr>
          <w:p>
            <w:pPr>
              <w:pStyle w:val="12"/>
              <w:jc w:val="center"/>
              <w:rPr>
                <w:rFonts w:hint="default" w:ascii="仿宋" w:hAnsi="仿宋" w:eastAsia="仿宋"/>
                <w:sz w:val="21"/>
                <w:szCs w:val="21"/>
                <w:vertAlign w:val="baseline"/>
                <w:lang w:val="en-US" w:eastAsia="zh-CN"/>
              </w:rPr>
            </w:pPr>
          </w:p>
        </w:tc>
        <w:tc>
          <w:tcPr>
            <w:tcW w:w="3472" w:type="dxa"/>
            <w:vAlign w:val="center"/>
          </w:tcPr>
          <w:p>
            <w:pPr>
              <w:pStyle w:val="12"/>
              <w:jc w:val="center"/>
              <w:rPr>
                <w:rFonts w:hint="default" w:ascii="仿宋" w:hAnsi="仿宋" w:eastAsia="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pStyle w:val="12"/>
              <w:jc w:val="center"/>
              <w:rPr>
                <w:rFonts w:hint="default" w:ascii="仿宋" w:hAnsi="仿宋" w:eastAsia="仿宋"/>
                <w:sz w:val="21"/>
                <w:szCs w:val="21"/>
                <w:vertAlign w:val="baseline"/>
                <w:lang w:val="en-US" w:eastAsia="zh-CN"/>
              </w:rPr>
            </w:pPr>
          </w:p>
        </w:tc>
        <w:tc>
          <w:tcPr>
            <w:tcW w:w="1560" w:type="dxa"/>
            <w:vAlign w:val="center"/>
          </w:tcPr>
          <w:p>
            <w:pPr>
              <w:pStyle w:val="12"/>
              <w:jc w:val="center"/>
              <w:rPr>
                <w:rFonts w:hint="default" w:ascii="仿宋" w:hAnsi="仿宋" w:eastAsia="仿宋"/>
                <w:sz w:val="21"/>
                <w:szCs w:val="21"/>
                <w:vertAlign w:val="baseline"/>
                <w:lang w:val="en-US" w:eastAsia="zh-CN"/>
              </w:rPr>
            </w:pPr>
          </w:p>
        </w:tc>
        <w:tc>
          <w:tcPr>
            <w:tcW w:w="1064" w:type="dxa"/>
            <w:vAlign w:val="center"/>
          </w:tcPr>
          <w:p>
            <w:pPr>
              <w:pStyle w:val="12"/>
              <w:jc w:val="center"/>
              <w:rPr>
                <w:rFonts w:hint="default" w:ascii="仿宋" w:hAnsi="仿宋" w:eastAsia="仿宋"/>
                <w:sz w:val="21"/>
                <w:szCs w:val="21"/>
                <w:vertAlign w:val="baseline"/>
                <w:lang w:val="en-US" w:eastAsia="zh-CN"/>
              </w:rPr>
            </w:pPr>
          </w:p>
        </w:tc>
        <w:tc>
          <w:tcPr>
            <w:tcW w:w="1908" w:type="dxa"/>
            <w:vAlign w:val="center"/>
          </w:tcPr>
          <w:p>
            <w:pPr>
              <w:pStyle w:val="12"/>
              <w:jc w:val="center"/>
              <w:rPr>
                <w:rFonts w:hint="default" w:ascii="仿宋" w:hAnsi="仿宋" w:eastAsia="仿宋"/>
                <w:sz w:val="21"/>
                <w:szCs w:val="21"/>
                <w:vertAlign w:val="baseline"/>
                <w:lang w:val="en-US" w:eastAsia="zh-CN"/>
              </w:rPr>
            </w:pPr>
          </w:p>
        </w:tc>
        <w:tc>
          <w:tcPr>
            <w:tcW w:w="3472" w:type="dxa"/>
            <w:vAlign w:val="center"/>
          </w:tcPr>
          <w:p>
            <w:pPr>
              <w:pStyle w:val="12"/>
              <w:jc w:val="center"/>
              <w:rPr>
                <w:rFonts w:hint="default" w:ascii="仿宋" w:hAnsi="仿宋" w:eastAsia="仿宋"/>
                <w:sz w:val="21"/>
                <w:szCs w:val="21"/>
                <w:vertAlign w:val="baseline"/>
                <w:lang w:val="en-US" w:eastAsia="zh-CN"/>
              </w:rPr>
            </w:pPr>
          </w:p>
        </w:tc>
      </w:tr>
    </w:tbl>
    <w:p>
      <w:pPr>
        <w:pStyle w:val="12"/>
        <w:rPr>
          <w:rFonts w:hint="eastAsia" w:ascii="仿宋" w:hAnsi="仿宋" w:eastAsia="仿宋"/>
          <w:sz w:val="21"/>
          <w:szCs w:val="21"/>
          <w:lang w:val="en-US" w:eastAsia="zh-CN"/>
        </w:rPr>
      </w:pPr>
      <w:r>
        <w:rPr>
          <w:rFonts w:hint="eastAsia" w:ascii="仿宋" w:hAnsi="仿宋" w:eastAsia="仿宋"/>
          <w:sz w:val="21"/>
          <w:szCs w:val="21"/>
          <w:lang w:val="en-US" w:eastAsia="zh-CN"/>
        </w:rPr>
        <w:t>（若行数不够，请自行添加）</w:t>
      </w:r>
    </w:p>
    <w:p>
      <w:pPr>
        <w:pStyle w:val="12"/>
        <w:rPr>
          <w:rFonts w:hint="default" w:ascii="仿宋" w:hAnsi="仿宋" w:eastAsia="仿宋"/>
          <w:sz w:val="21"/>
          <w:szCs w:val="21"/>
          <w:lang w:val="en-US" w:eastAsia="zh-CN"/>
        </w:rPr>
      </w:pPr>
    </w:p>
    <w:p>
      <w:pPr>
        <w:pStyle w:val="12"/>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五、公司同类项目业绩情况</w:t>
      </w:r>
    </w:p>
    <w:p>
      <w:pPr>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（一）请提供贵司自2022年6月至今所完成的或正在实施的医疗设备运维及质控管理服务项目：</w:t>
      </w:r>
    </w:p>
    <w:tbl>
      <w:tblPr>
        <w:tblStyle w:val="10"/>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792"/>
        <w:gridCol w:w="2453"/>
        <w:gridCol w:w="1658"/>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项目名称</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业主单位名称</w:t>
            </w:r>
          </w:p>
        </w:tc>
        <w:tc>
          <w:tcPr>
            <w:tcW w:w="24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服务内容</w:t>
            </w:r>
          </w:p>
        </w:tc>
        <w:tc>
          <w:tcPr>
            <w:tcW w:w="16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合同签订时间（或中标时间）</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用户满意度评价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24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6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24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6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24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6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24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6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1"/>
                <w:szCs w:val="21"/>
                <w:vertAlign w:val="baseline"/>
                <w:lang w:val="en-US" w:eastAsia="zh-CN"/>
              </w:rPr>
            </w:pPr>
          </w:p>
        </w:tc>
      </w:tr>
    </w:tbl>
    <w:p>
      <w:pPr>
        <w:pStyle w:val="12"/>
        <w:rPr>
          <w:rFonts w:hint="eastAsia" w:ascii="仿宋" w:hAnsi="仿宋" w:eastAsia="仿宋"/>
          <w:sz w:val="21"/>
          <w:szCs w:val="21"/>
          <w:lang w:val="en-US" w:eastAsia="zh-CN"/>
        </w:rPr>
      </w:pPr>
      <w:r>
        <w:rPr>
          <w:rFonts w:hint="eastAsia" w:ascii="仿宋" w:hAnsi="仿宋" w:eastAsia="仿宋"/>
          <w:sz w:val="21"/>
          <w:szCs w:val="21"/>
          <w:lang w:val="en-US" w:eastAsia="zh-CN"/>
        </w:rPr>
        <w:t>（若行数不够，请自行添加）</w:t>
      </w:r>
    </w:p>
    <w:p>
      <w:pPr>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（二）请提供以上业绩合同复印件或中标通知书扫描件：</w:t>
      </w:r>
    </w:p>
    <w:p>
      <w:pPr>
        <w:rPr>
          <w:rFonts w:hint="eastAsia" w:ascii="方正楷体_GB2312" w:hAnsi="方正楷体_GB2312" w:eastAsia="方正楷体_GB2312" w:cs="方正楷体_GB2312"/>
          <w:sz w:val="28"/>
          <w:szCs w:val="28"/>
          <w:lang w:val="en-US" w:eastAsia="zh-CN"/>
        </w:rPr>
      </w:pPr>
    </w:p>
    <w:p>
      <w:pPr>
        <w:jc w:val="left"/>
        <w:rPr>
          <w:rFonts w:hint="eastAsia" w:ascii="宋体" w:hAnsi="宋体" w:cs="宋体"/>
          <w:b/>
          <w:bCs/>
          <w:color w:val="3F3F3F"/>
          <w:kern w:val="0"/>
          <w:szCs w:val="21"/>
        </w:rPr>
      </w:pPr>
    </w:p>
    <w:p>
      <w:pPr>
        <w:pStyle w:val="12"/>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六、请根据实际情况填写贵公司对本项目招标参数的响应情况</w:t>
      </w:r>
    </w:p>
    <w:p>
      <w:pPr>
        <w:ind w:left="0" w:leftChars="0" w:firstLine="0" w:firstLineChars="0"/>
        <w:jc w:val="center"/>
        <w:rPr>
          <w:rFonts w:hint="eastAsia" w:ascii="仿宋" w:hAnsi="仿宋" w:eastAsia="仿宋" w:cs="仿宋"/>
          <w:b/>
          <w:bCs/>
          <w:color w:val="3F3F3F"/>
          <w:kern w:val="0"/>
          <w:szCs w:val="21"/>
        </w:rPr>
      </w:pPr>
      <w:r>
        <w:rPr>
          <w:rFonts w:hint="eastAsia" w:ascii="仿宋" w:hAnsi="仿宋" w:eastAsia="仿宋" w:cs="仿宋"/>
          <w:b/>
          <w:bCs/>
          <w:color w:val="3F3F3F"/>
          <w:kern w:val="0"/>
          <w:sz w:val="36"/>
          <w:szCs w:val="36"/>
          <w:lang w:val="en-US" w:eastAsia="zh-CN"/>
        </w:rPr>
        <w:t>招标</w:t>
      </w:r>
      <w:r>
        <w:rPr>
          <w:rFonts w:hint="eastAsia" w:ascii="仿宋" w:hAnsi="仿宋" w:eastAsia="仿宋" w:cs="仿宋"/>
          <w:b/>
          <w:bCs/>
          <w:color w:val="3F3F3F"/>
          <w:kern w:val="0"/>
          <w:sz w:val="36"/>
          <w:szCs w:val="36"/>
        </w:rPr>
        <w:t>参数列表</w:t>
      </w:r>
    </w:p>
    <w:tbl>
      <w:tblPr>
        <w:tblStyle w:val="9"/>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970"/>
        <w:gridCol w:w="4436"/>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blHeader/>
          <w:jc w:val="center"/>
        </w:trPr>
        <w:tc>
          <w:tcPr>
            <w:tcW w:w="1290" w:type="dxa"/>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b/>
                <w:bCs/>
                <w:color w:val="3F3F3F"/>
                <w:kern w:val="0"/>
                <w:sz w:val="22"/>
              </w:rPr>
              <w:t>序号</w:t>
            </w:r>
          </w:p>
        </w:tc>
        <w:tc>
          <w:tcPr>
            <w:tcW w:w="540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3F3F3F"/>
                <w:kern w:val="0"/>
                <w:sz w:val="22"/>
              </w:rPr>
              <w:t>需求</w:t>
            </w:r>
          </w:p>
        </w:tc>
        <w:tc>
          <w:tcPr>
            <w:tcW w:w="16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3F3F3F"/>
                <w:kern w:val="0"/>
                <w:sz w:val="22"/>
                <w:lang w:eastAsia="zh-CN"/>
              </w:rPr>
              <w:t>是否</w:t>
            </w:r>
            <w:r>
              <w:rPr>
                <w:rFonts w:hint="eastAsia" w:ascii="仿宋" w:hAnsi="仿宋" w:eastAsia="仿宋" w:cs="仿宋"/>
                <w:b/>
                <w:bCs/>
                <w:color w:val="3F3F3F"/>
                <w:kern w:val="0"/>
                <w:sz w:val="22"/>
                <w:lang w:val="en-US" w:eastAsia="zh-CN"/>
              </w:rPr>
              <w:t>能完全响应</w:t>
            </w:r>
            <w:r>
              <w:rPr>
                <w:rFonts w:hint="eastAsia" w:ascii="仿宋" w:hAnsi="仿宋" w:eastAsia="仿宋" w:cs="仿宋"/>
                <w:b/>
                <w:bCs/>
                <w:color w:val="3F3F3F"/>
                <w:kern w:val="0"/>
                <w:sz w:val="22"/>
                <w:lang w:eastAsia="zh-CN"/>
              </w:rPr>
              <w:t>（若</w:t>
            </w:r>
            <w:r>
              <w:rPr>
                <w:rFonts w:hint="eastAsia" w:ascii="仿宋" w:hAnsi="仿宋" w:eastAsia="仿宋" w:cs="仿宋"/>
                <w:b/>
                <w:bCs/>
                <w:color w:val="3F3F3F"/>
                <w:kern w:val="0"/>
                <w:sz w:val="22"/>
                <w:lang w:val="en-US" w:eastAsia="zh-CN"/>
              </w:rPr>
              <w:t>有修改意见</w:t>
            </w:r>
            <w:r>
              <w:rPr>
                <w:rFonts w:hint="eastAsia" w:ascii="仿宋" w:hAnsi="仿宋" w:eastAsia="仿宋" w:cs="仿宋"/>
                <w:b/>
                <w:bCs/>
                <w:color w:val="3F3F3F"/>
                <w:kern w:val="0"/>
                <w:sz w:val="22"/>
                <w:lang w:eastAsia="zh-CN"/>
              </w:rPr>
              <w:t>，请在</w:t>
            </w:r>
            <w:r>
              <w:rPr>
                <w:rFonts w:hint="eastAsia" w:ascii="仿宋" w:hAnsi="仿宋" w:eastAsia="仿宋" w:cs="仿宋"/>
                <w:b/>
                <w:bCs/>
                <w:color w:val="3F3F3F"/>
                <w:kern w:val="0"/>
                <w:sz w:val="22"/>
                <w:lang w:val="en-US" w:eastAsia="zh-CN"/>
              </w:rPr>
              <w:t>此列</w:t>
            </w:r>
            <w:r>
              <w:rPr>
                <w:rFonts w:hint="eastAsia" w:ascii="仿宋" w:hAnsi="仿宋" w:eastAsia="仿宋" w:cs="仿宋"/>
                <w:b/>
                <w:bCs/>
                <w:color w:val="3F3F3F"/>
                <w:kern w:val="0"/>
                <w:sz w:val="22"/>
                <w:lang w:eastAsia="zh-CN"/>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jc w:val="center"/>
        </w:trPr>
        <w:tc>
          <w:tcPr>
            <w:tcW w:w="1290" w:type="dxa"/>
            <w:tcBorders>
              <w:top w:val="single" w:color="auto" w:sz="4" w:space="0"/>
              <w:left w:val="single" w:color="auto" w:sz="4" w:space="0"/>
              <w:right w:val="single" w:color="auto" w:sz="4" w:space="0"/>
            </w:tcBorders>
            <w:shd w:val="clear" w:color="auto" w:fill="auto"/>
            <w:vAlign w:val="center"/>
          </w:tcPr>
          <w:p>
            <w:pPr>
              <w:spacing w:after="78"/>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用途</w:t>
            </w:r>
          </w:p>
        </w:tc>
        <w:tc>
          <w:tcPr>
            <w:tcW w:w="54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78"/>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随着医院业务不断发展，管理要求不断精益求精，医院医疗设备日常的支援服务响应能力，已无法满足医院日益增长的服务需求，同时《国家三级公立医院绩效考核指标》对医疗设备质量控制要求逐步提高，要求对急救、生命支持类设备开展预防性维护保养及质量控制工作。综上所述为满足以上业务需求，并且解决三级甲等医院评审人员紧张及缺乏规范化管理问题，医院采取向社会购买服务的方式，合理整合社会资源，以此提高设备科管理效率。</w:t>
            </w:r>
          </w:p>
        </w:tc>
        <w:tc>
          <w:tcPr>
            <w:tcW w:w="1699"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rFonts w:hint="eastAsia" w:ascii="仿宋" w:hAnsi="仿宋" w:eastAsia="仿宋" w:cs="仿宋"/>
                <w:b/>
                <w:bCs/>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78"/>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服务内容</w:t>
            </w:r>
          </w:p>
        </w:tc>
        <w:tc>
          <w:tcPr>
            <w:tcW w:w="54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numPr>
                <w:ilvl w:val="255"/>
                <w:numId w:val="0"/>
              </w:numPr>
              <w:spacing w:after="78"/>
              <w:ind w:left="0" w:leftChars="0" w:firstLine="0" w:firstLineChars="0"/>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1.设备科日常维修响应工作</w:t>
            </w:r>
            <w:r>
              <w:rPr>
                <w:rFonts w:hint="eastAsia" w:ascii="仿宋" w:hAnsi="仿宋" w:eastAsia="仿宋" w:cs="仿宋"/>
                <w:color w:val="000000" w:themeColor="text1"/>
                <w:sz w:val="22"/>
                <w:szCs w:val="22"/>
                <w:lang w:eastAsia="zh-CN"/>
                <w14:textFill>
                  <w14:solidFill>
                    <w14:schemeClr w14:val="tx1"/>
                  </w14:solidFill>
                </w14:textFill>
              </w:rPr>
              <w:t>；</w:t>
            </w:r>
          </w:p>
          <w:p>
            <w:pPr>
              <w:numPr>
                <w:ilvl w:val="255"/>
                <w:numId w:val="0"/>
              </w:numPr>
              <w:spacing w:after="78"/>
              <w:ind w:left="0" w:leftChars="0" w:firstLine="0" w:firstLineChars="0"/>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2.全院医疗设备巡查工作</w:t>
            </w:r>
            <w:r>
              <w:rPr>
                <w:rFonts w:hint="eastAsia" w:ascii="仿宋" w:hAnsi="仿宋" w:eastAsia="仿宋" w:cs="仿宋"/>
                <w:color w:val="000000" w:themeColor="text1"/>
                <w:sz w:val="22"/>
                <w:szCs w:val="22"/>
                <w:lang w:eastAsia="zh-CN"/>
                <w14:textFill>
                  <w14:solidFill>
                    <w14:schemeClr w14:val="tx1"/>
                  </w14:solidFill>
                </w14:textFill>
              </w:rPr>
              <w:t>；</w:t>
            </w:r>
          </w:p>
          <w:p>
            <w:pPr>
              <w:numPr>
                <w:ilvl w:val="255"/>
                <w:numId w:val="0"/>
              </w:numPr>
              <w:spacing w:after="78"/>
              <w:ind w:left="0" w:leftChars="0" w:firstLine="0" w:firstLineChars="0"/>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3.全院医疗设备保养工作</w:t>
            </w:r>
            <w:r>
              <w:rPr>
                <w:rFonts w:hint="eastAsia" w:ascii="仿宋" w:hAnsi="仿宋" w:eastAsia="仿宋" w:cs="仿宋"/>
                <w:color w:val="000000" w:themeColor="text1"/>
                <w:sz w:val="22"/>
                <w:szCs w:val="22"/>
                <w:lang w:eastAsia="zh-CN"/>
                <w14:textFill>
                  <w14:solidFill>
                    <w14:schemeClr w14:val="tx1"/>
                  </w14:solidFill>
                </w14:textFill>
              </w:rPr>
              <w:t>；</w:t>
            </w:r>
          </w:p>
          <w:p>
            <w:pPr>
              <w:numPr>
                <w:ilvl w:val="255"/>
                <w:numId w:val="0"/>
              </w:numPr>
              <w:spacing w:after="78"/>
              <w:ind w:left="0" w:leftChars="0" w:firstLine="0" w:firstLineChars="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4.全院生命支持类设备的质量控制工作</w:t>
            </w:r>
            <w:r>
              <w:rPr>
                <w:rFonts w:hint="eastAsia" w:ascii="仿宋" w:hAnsi="仿宋" w:eastAsia="仿宋" w:cs="仿宋"/>
                <w:color w:val="000000" w:themeColor="text1"/>
                <w:sz w:val="22"/>
                <w:szCs w:val="22"/>
                <w:lang w:eastAsia="zh-CN"/>
                <w14:textFill>
                  <w14:solidFill>
                    <w14:schemeClr w14:val="tx1"/>
                  </w14:solidFill>
                </w14:textFill>
              </w:rPr>
              <w:t>；</w:t>
            </w:r>
            <w:r>
              <w:rPr>
                <w:rFonts w:hint="eastAsia" w:ascii="仿宋" w:hAnsi="仿宋" w:eastAsia="仿宋" w:cs="仿宋"/>
                <w:color w:val="000000" w:themeColor="text1"/>
                <w:sz w:val="22"/>
                <w:szCs w:val="22"/>
                <w14:textFill>
                  <w14:solidFill>
                    <w14:schemeClr w14:val="tx1"/>
                  </w14:solidFill>
                </w14:textFill>
              </w:rPr>
              <w:t xml:space="preserve"> </w:t>
            </w:r>
          </w:p>
          <w:p>
            <w:pPr>
              <w:numPr>
                <w:ilvl w:val="255"/>
                <w:numId w:val="0"/>
              </w:numPr>
              <w:spacing w:after="78"/>
              <w:ind w:left="0" w:leftChars="0" w:firstLine="0" w:firstLineChars="0"/>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5.设备使用培训、培训计划、培训档案的记录</w:t>
            </w:r>
            <w:r>
              <w:rPr>
                <w:rFonts w:hint="eastAsia" w:ascii="仿宋" w:hAnsi="仿宋" w:eastAsia="仿宋" w:cs="仿宋"/>
                <w:color w:val="000000" w:themeColor="text1"/>
                <w:sz w:val="22"/>
                <w:szCs w:val="22"/>
                <w:lang w:eastAsia="zh-CN"/>
                <w14:textFill>
                  <w14:solidFill>
                    <w14:schemeClr w14:val="tx1"/>
                  </w14:solidFill>
                </w14:textFill>
              </w:rPr>
              <w:t>；</w:t>
            </w:r>
          </w:p>
          <w:p>
            <w:pPr>
              <w:numPr>
                <w:ilvl w:val="255"/>
                <w:numId w:val="0"/>
              </w:numPr>
              <w:spacing w:after="78"/>
              <w:ind w:left="0" w:leftChars="0" w:firstLine="0" w:firstLineChars="0"/>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6.协助设备搬迁和调试</w:t>
            </w:r>
            <w:r>
              <w:rPr>
                <w:rFonts w:hint="eastAsia" w:ascii="仿宋" w:hAnsi="仿宋" w:eastAsia="仿宋" w:cs="仿宋"/>
                <w:color w:val="000000" w:themeColor="text1"/>
                <w:sz w:val="22"/>
                <w:szCs w:val="22"/>
                <w:lang w:eastAsia="zh-CN"/>
                <w14:textFill>
                  <w14:solidFill>
                    <w14:schemeClr w14:val="tx1"/>
                  </w14:solidFill>
                </w14:textFill>
              </w:rPr>
              <w:t>；</w:t>
            </w:r>
          </w:p>
          <w:p>
            <w:pPr>
              <w:numPr>
                <w:ilvl w:val="255"/>
                <w:numId w:val="0"/>
              </w:numPr>
              <w:spacing w:after="78"/>
              <w:ind w:left="0" w:leftChars="0" w:firstLine="0" w:firstLineChars="0"/>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7.协助不良事件上报</w:t>
            </w:r>
            <w:r>
              <w:rPr>
                <w:rFonts w:hint="eastAsia" w:ascii="仿宋" w:hAnsi="仿宋" w:eastAsia="仿宋" w:cs="仿宋"/>
                <w:color w:val="000000" w:themeColor="text1"/>
                <w:sz w:val="22"/>
                <w:szCs w:val="22"/>
                <w:lang w:eastAsia="zh-CN"/>
                <w14:textFill>
                  <w14:solidFill>
                    <w14:schemeClr w14:val="tx1"/>
                  </w14:solidFill>
                </w14:textFill>
              </w:rPr>
              <w:t>；</w:t>
            </w:r>
          </w:p>
          <w:p>
            <w:pPr>
              <w:numPr>
                <w:ilvl w:val="255"/>
                <w:numId w:val="0"/>
              </w:numPr>
              <w:spacing w:after="78"/>
              <w:ind w:left="0" w:leftChars="0" w:firstLine="0" w:firstLineChars="0"/>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8.协助医疗设备的计量</w:t>
            </w:r>
            <w:r>
              <w:rPr>
                <w:rFonts w:hint="eastAsia" w:ascii="仿宋" w:hAnsi="仿宋" w:eastAsia="仿宋" w:cs="仿宋"/>
                <w:color w:val="000000" w:themeColor="text1"/>
                <w:sz w:val="22"/>
                <w:szCs w:val="22"/>
                <w:lang w:eastAsia="zh-CN"/>
                <w14:textFill>
                  <w14:solidFill>
                    <w14:schemeClr w14:val="tx1"/>
                  </w14:solidFill>
                </w14:textFill>
              </w:rPr>
              <w:t>；</w:t>
            </w:r>
          </w:p>
          <w:p>
            <w:pPr>
              <w:numPr>
                <w:ilvl w:val="255"/>
                <w:numId w:val="0"/>
              </w:numPr>
              <w:spacing w:after="78"/>
              <w:ind w:left="0" w:leftChars="0" w:firstLine="0" w:firstLineChars="0"/>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9.协助设备科绩效考核工作</w:t>
            </w:r>
            <w:r>
              <w:rPr>
                <w:rFonts w:hint="eastAsia" w:ascii="仿宋" w:hAnsi="仿宋" w:eastAsia="仿宋" w:cs="仿宋"/>
                <w:color w:val="000000" w:themeColor="text1"/>
                <w:sz w:val="22"/>
                <w:szCs w:val="22"/>
                <w:lang w:eastAsia="zh-CN"/>
                <w14:textFill>
                  <w14:solidFill>
                    <w14:schemeClr w14:val="tx1"/>
                  </w14:solidFill>
                </w14:textFill>
              </w:rPr>
              <w:t>；</w:t>
            </w:r>
          </w:p>
          <w:p>
            <w:pPr>
              <w:numPr>
                <w:ilvl w:val="255"/>
                <w:numId w:val="0"/>
              </w:numPr>
              <w:spacing w:after="78"/>
              <w:ind w:left="0" w:leftChars="0" w:firstLine="0" w:firstLineChars="0"/>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10.全院医疗设备安装验收工作</w:t>
            </w:r>
            <w:r>
              <w:rPr>
                <w:rFonts w:hint="eastAsia" w:ascii="仿宋" w:hAnsi="仿宋" w:eastAsia="仿宋" w:cs="仿宋"/>
                <w:color w:val="000000" w:themeColor="text1"/>
                <w:sz w:val="22"/>
                <w:szCs w:val="22"/>
                <w:lang w:val="en-US" w:eastAsia="zh-CN"/>
                <w14:textFill>
                  <w14:solidFill>
                    <w14:schemeClr w14:val="tx1"/>
                  </w14:solidFill>
                </w14:textFill>
              </w:rPr>
              <w:t>等。</w:t>
            </w:r>
          </w:p>
        </w:tc>
        <w:tc>
          <w:tcPr>
            <w:tcW w:w="1699"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78"/>
              <w:jc w:val="left"/>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商务参数</w:t>
            </w:r>
          </w:p>
        </w:tc>
        <w:tc>
          <w:tcPr>
            <w:tcW w:w="5406" w:type="dxa"/>
            <w:gridSpan w:val="2"/>
            <w:tcBorders>
              <w:top w:val="single" w:color="auto" w:sz="4" w:space="0"/>
              <w:left w:val="single" w:color="auto" w:sz="4" w:space="0"/>
              <w:bottom w:val="single" w:color="auto" w:sz="4" w:space="0"/>
              <w:right w:val="single" w:color="auto" w:sz="4" w:space="0"/>
            </w:tcBorders>
            <w:shd w:val="clear" w:color="auto" w:fill="auto"/>
            <w:vAlign w:val="center"/>
          </w:tcPr>
          <w:tbl>
            <w:tblPr>
              <w:tblStyle w:val="9"/>
              <w:tblW w:w="7766" w:type="dxa"/>
              <w:jc w:val="center"/>
              <w:tblLayout w:type="fixed"/>
              <w:tblCellMar>
                <w:top w:w="0" w:type="dxa"/>
                <w:left w:w="108" w:type="dxa"/>
                <w:bottom w:w="0" w:type="dxa"/>
                <w:right w:w="108" w:type="dxa"/>
              </w:tblCellMar>
            </w:tblPr>
            <w:tblGrid>
              <w:gridCol w:w="7766"/>
            </w:tblGrid>
            <w:tr>
              <w:trPr>
                <w:trHeight w:val="2538" w:hRule="atLeast"/>
                <w:jc w:val="center"/>
              </w:trPr>
              <w:tc>
                <w:tcPr>
                  <w:tcW w:w="7766" w:type="dxa"/>
                </w:tcPr>
                <w:p>
                  <w:pPr>
                    <w:adjustRightInd w:val="0"/>
                    <w:snapToGrid w:val="0"/>
                    <w:spacing w:line="360" w:lineRule="auto"/>
                    <w:ind w:left="1260" w:leftChars="600" w:right="1249" w:rightChars="595" w:firstLine="420" w:firstLineChars="190"/>
                    <w:rPr>
                      <w:rFonts w:hint="eastAsia" w:ascii="仿宋" w:hAnsi="仿宋" w:eastAsia="仿宋" w:cs="仿宋"/>
                      <w:color w:val="auto"/>
                      <w:sz w:val="22"/>
                      <w:szCs w:val="22"/>
                    </w:rPr>
                  </w:pPr>
                  <w:r>
                    <w:rPr>
                      <w:rFonts w:hint="eastAsia" w:ascii="仿宋" w:hAnsi="仿宋" w:eastAsia="仿宋" w:cs="仿宋"/>
                      <w:b/>
                      <w:bCs/>
                      <w:color w:val="auto"/>
                      <w:sz w:val="22"/>
                      <w:szCs w:val="22"/>
                    </w:rPr>
                    <w:t>（一）项目服务期限</w:t>
                  </w:r>
                  <w:r>
                    <w:rPr>
                      <w:rFonts w:hint="eastAsia" w:ascii="仿宋" w:hAnsi="仿宋" w:eastAsia="仿宋" w:cs="仿宋"/>
                      <w:color w:val="auto"/>
                      <w:sz w:val="22"/>
                      <w:szCs w:val="22"/>
                    </w:rPr>
                    <w:t xml:space="preserve"> </w:t>
                  </w:r>
                </w:p>
                <w:p>
                  <w:pPr>
                    <w:adjustRightInd w:val="0"/>
                    <w:snapToGrid w:val="0"/>
                    <w:spacing w:line="360" w:lineRule="auto"/>
                    <w:ind w:left="1260" w:leftChars="600" w:right="1249" w:rightChars="595" w:firstLine="418" w:firstLineChars="19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rPr>
                    <w:t>自服务合同签订后开始提供为期12个月的全院设备维修保养服务。</w:t>
                  </w:r>
                  <w:r>
                    <w:rPr>
                      <w:rFonts w:hint="eastAsia" w:ascii="仿宋" w:hAnsi="仿宋" w:eastAsia="仿宋" w:cs="仿宋"/>
                      <w:color w:val="auto"/>
                      <w:sz w:val="22"/>
                      <w:szCs w:val="22"/>
                      <w:lang w:val="en-US" w:eastAsia="zh-CN"/>
                    </w:rPr>
                    <w:t>在服务期限内实行考核制度，在一年服务期限届满前【3】个月，采购人组织年度综合考核，考核评价为优且符合深圳市政府有关规定的，采购人按照考核结果经院内审批决定是否与中标人续签合同，如年度考核结果达不到优，采购人不再续约，中标人无条件接受采购人的考核结果。合同一年一签，但本项目总服务期最长不超过三十六个月。</w:t>
                  </w:r>
                </w:p>
                <w:p>
                  <w:pPr>
                    <w:adjustRightInd w:val="0"/>
                    <w:snapToGrid w:val="0"/>
                    <w:spacing w:line="360" w:lineRule="auto"/>
                    <w:ind w:left="1260" w:leftChars="600" w:right="1249" w:rightChars="595" w:firstLine="420" w:firstLineChars="190"/>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rPr>
                    <w:t>（二）正常</w:t>
                  </w:r>
                  <w:r>
                    <w:rPr>
                      <w:rFonts w:hint="eastAsia" w:ascii="仿宋" w:hAnsi="仿宋" w:eastAsia="仿宋" w:cs="仿宋"/>
                      <w:b/>
                      <w:bCs/>
                      <w:color w:val="auto"/>
                      <w:sz w:val="22"/>
                      <w:szCs w:val="22"/>
                      <w:lang w:val="en-US" w:eastAsia="zh-CN"/>
                    </w:rPr>
                    <w:t>服务时间</w:t>
                  </w:r>
                </w:p>
                <w:p>
                  <w:pPr>
                    <w:adjustRightInd w:val="0"/>
                    <w:snapToGrid w:val="0"/>
                    <w:spacing w:line="360" w:lineRule="auto"/>
                    <w:ind w:left="1260" w:leftChars="600" w:right="1249" w:rightChars="595" w:firstLine="418" w:firstLineChars="190"/>
                    <w:rPr>
                      <w:rFonts w:hint="eastAsia" w:ascii="仿宋" w:hAnsi="仿宋" w:eastAsia="仿宋" w:cs="仿宋"/>
                      <w:color w:val="auto"/>
                      <w:sz w:val="22"/>
                      <w:szCs w:val="22"/>
                    </w:rPr>
                  </w:pPr>
                  <w:r>
                    <w:rPr>
                      <w:rFonts w:hint="eastAsia" w:ascii="仿宋" w:hAnsi="仿宋" w:eastAsia="仿宋" w:cs="仿宋"/>
                      <w:color w:val="auto"/>
                      <w:sz w:val="22"/>
                      <w:szCs w:val="22"/>
                    </w:rPr>
                    <w:t>除</w:t>
                  </w:r>
                  <w:r>
                    <w:rPr>
                      <w:rFonts w:hint="eastAsia" w:ascii="仿宋" w:hAnsi="仿宋" w:eastAsia="仿宋" w:cs="仿宋"/>
                      <w:color w:val="auto"/>
                      <w:sz w:val="22"/>
                      <w:szCs w:val="22"/>
                      <w:lang w:val="en-US" w:eastAsia="zh-CN"/>
                    </w:rPr>
                    <w:t>采购人明确书面同意</w:t>
                  </w:r>
                  <w:r>
                    <w:rPr>
                      <w:rFonts w:hint="eastAsia" w:ascii="仿宋" w:hAnsi="仿宋" w:eastAsia="仿宋" w:cs="仿宋"/>
                      <w:color w:val="auto"/>
                      <w:sz w:val="22"/>
                      <w:szCs w:val="22"/>
                    </w:rPr>
                    <w:t>外，在</w:t>
                  </w:r>
                  <w:r>
                    <w:rPr>
                      <w:rFonts w:hint="eastAsia" w:ascii="仿宋" w:hAnsi="仿宋" w:eastAsia="仿宋" w:cs="仿宋"/>
                      <w:color w:val="auto"/>
                      <w:sz w:val="22"/>
                      <w:szCs w:val="22"/>
                      <w:lang w:val="en-US" w:eastAsia="zh-CN"/>
                    </w:rPr>
                    <w:t>以下约定的</w:t>
                  </w:r>
                  <w:r>
                    <w:rPr>
                      <w:rFonts w:hint="eastAsia" w:ascii="仿宋" w:hAnsi="仿宋" w:eastAsia="仿宋" w:cs="仿宋"/>
                      <w:color w:val="auto"/>
                      <w:sz w:val="22"/>
                      <w:szCs w:val="22"/>
                    </w:rPr>
                    <w:t>时间内提供的维修服务不需额外费用。</w:t>
                  </w:r>
                </w:p>
                <w:p>
                  <w:pPr>
                    <w:adjustRightInd w:val="0"/>
                    <w:snapToGrid w:val="0"/>
                    <w:spacing w:line="360" w:lineRule="auto"/>
                    <w:ind w:left="1260" w:leftChars="600" w:right="1249" w:rightChars="595" w:firstLine="418" w:firstLineChars="190"/>
                    <w:rPr>
                      <w:rFonts w:hint="eastAsia" w:ascii="仿宋" w:hAnsi="仿宋" w:eastAsia="仿宋" w:cs="仿宋"/>
                      <w:color w:val="auto"/>
                      <w:sz w:val="22"/>
                      <w:szCs w:val="22"/>
                    </w:rPr>
                  </w:pPr>
                  <w:r>
                    <w:rPr>
                      <w:rFonts w:hint="eastAsia" w:ascii="仿宋" w:hAnsi="仿宋" w:eastAsia="仿宋" w:cs="仿宋"/>
                      <w:color w:val="auto"/>
                      <w:sz w:val="22"/>
                      <w:szCs w:val="22"/>
                    </w:rPr>
                    <w:t>1、07:45 - 17:15 星期一至星期五，除法定假期之外；</w:t>
                  </w:r>
                </w:p>
                <w:p>
                  <w:pPr>
                    <w:adjustRightInd w:val="0"/>
                    <w:snapToGrid w:val="0"/>
                    <w:spacing w:line="360" w:lineRule="auto"/>
                    <w:ind w:left="1260" w:leftChars="600" w:right="1249" w:rightChars="595" w:firstLine="418" w:firstLineChars="190"/>
                    <w:rPr>
                      <w:rFonts w:hint="eastAsia" w:ascii="仿宋" w:hAnsi="仿宋" w:eastAsia="仿宋" w:cs="仿宋"/>
                      <w:color w:val="auto"/>
                      <w:sz w:val="22"/>
                      <w:szCs w:val="22"/>
                    </w:rPr>
                  </w:pPr>
                  <w:r>
                    <w:rPr>
                      <w:rFonts w:hint="eastAsia" w:ascii="仿宋" w:hAnsi="仿宋" w:eastAsia="仿宋" w:cs="仿宋"/>
                      <w:color w:val="auto"/>
                      <w:sz w:val="22"/>
                      <w:szCs w:val="22"/>
                    </w:rPr>
                    <w:t>2、</w:t>
                  </w:r>
                  <w:r>
                    <w:rPr>
                      <w:rFonts w:hint="eastAsia" w:ascii="仿宋" w:hAnsi="仿宋" w:eastAsia="仿宋" w:cs="仿宋"/>
                      <w:color w:val="auto"/>
                      <w:sz w:val="22"/>
                      <w:szCs w:val="22"/>
                      <w:lang w:val="en-US" w:eastAsia="zh-CN"/>
                    </w:rPr>
                    <w:t>提供全年7×24小时</w:t>
                  </w:r>
                  <w:r>
                    <w:rPr>
                      <w:rFonts w:hint="eastAsia" w:ascii="仿宋" w:hAnsi="仿宋" w:eastAsia="仿宋" w:cs="仿宋"/>
                      <w:color w:val="auto"/>
                      <w:sz w:val="22"/>
                      <w:szCs w:val="22"/>
                    </w:rPr>
                    <w:t>工程师</w:t>
                  </w:r>
                  <w:r>
                    <w:rPr>
                      <w:rFonts w:hint="eastAsia" w:ascii="仿宋" w:hAnsi="仿宋" w:eastAsia="仿宋" w:cs="仿宋"/>
                      <w:color w:val="auto"/>
                      <w:sz w:val="22"/>
                      <w:szCs w:val="22"/>
                      <w:lang w:val="en-US" w:eastAsia="zh-CN"/>
                    </w:rPr>
                    <w:t>在岗现场</w:t>
                  </w:r>
                  <w:r>
                    <w:rPr>
                      <w:rFonts w:hint="eastAsia" w:ascii="仿宋" w:hAnsi="仿宋" w:eastAsia="仿宋" w:cs="仿宋"/>
                      <w:color w:val="auto"/>
                      <w:sz w:val="22"/>
                      <w:szCs w:val="22"/>
                    </w:rPr>
                    <w:t>值班</w:t>
                  </w:r>
                  <w:r>
                    <w:rPr>
                      <w:rFonts w:hint="eastAsia" w:ascii="仿宋" w:hAnsi="仿宋" w:eastAsia="仿宋" w:cs="仿宋"/>
                      <w:color w:val="auto"/>
                      <w:sz w:val="22"/>
                      <w:szCs w:val="22"/>
                      <w:lang w:val="en-US" w:eastAsia="zh-CN"/>
                    </w:rPr>
                    <w:t>服务，及时响应临床维修需求</w:t>
                  </w:r>
                  <w:r>
                    <w:rPr>
                      <w:rFonts w:hint="eastAsia" w:ascii="仿宋" w:hAnsi="仿宋" w:eastAsia="仿宋" w:cs="仿宋"/>
                      <w:color w:val="auto"/>
                      <w:sz w:val="22"/>
                      <w:szCs w:val="22"/>
                    </w:rPr>
                    <w:t>。</w:t>
                  </w:r>
                </w:p>
                <w:p>
                  <w:pPr>
                    <w:adjustRightInd w:val="0"/>
                    <w:snapToGrid w:val="0"/>
                    <w:spacing w:line="360" w:lineRule="auto"/>
                    <w:ind w:left="1260" w:leftChars="600" w:right="1249" w:rightChars="595" w:firstLine="420" w:firstLineChars="190"/>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rPr>
                    <w:t>（三）</w:t>
                  </w:r>
                  <w:r>
                    <w:rPr>
                      <w:rFonts w:hint="eastAsia" w:ascii="仿宋" w:hAnsi="仿宋" w:eastAsia="仿宋" w:cs="仿宋"/>
                      <w:b/>
                      <w:bCs/>
                      <w:color w:val="auto"/>
                      <w:sz w:val="22"/>
                      <w:szCs w:val="22"/>
                      <w:lang w:val="en-US" w:eastAsia="zh-CN"/>
                    </w:rPr>
                    <w:t>质量要求</w:t>
                  </w:r>
                </w:p>
                <w:p>
                  <w:pPr>
                    <w:adjustRightInd w:val="0"/>
                    <w:snapToGrid w:val="0"/>
                    <w:spacing w:line="360" w:lineRule="auto"/>
                    <w:ind w:left="1260" w:leftChars="600" w:right="1249" w:rightChars="595" w:firstLine="418" w:firstLineChars="190"/>
                    <w:rPr>
                      <w:rFonts w:hint="eastAsia" w:ascii="仿宋" w:hAnsi="仿宋" w:eastAsia="仿宋" w:cs="仿宋"/>
                      <w:color w:val="auto"/>
                      <w:sz w:val="22"/>
                      <w:szCs w:val="22"/>
                    </w:rPr>
                  </w:pPr>
                  <w:r>
                    <w:rPr>
                      <w:rFonts w:hint="eastAsia" w:ascii="仿宋" w:hAnsi="仿宋" w:eastAsia="仿宋" w:cs="仿宋"/>
                      <w:color w:val="auto"/>
                      <w:sz w:val="22"/>
                      <w:szCs w:val="22"/>
                    </w:rPr>
                    <w:t>1、全院设备的正常运行时间不应少于总正常工作时间的95%</w:t>
                  </w:r>
                  <w:r>
                    <w:rPr>
                      <w:rFonts w:hint="eastAsia" w:ascii="仿宋" w:hAnsi="仿宋" w:eastAsia="仿宋" w:cs="仿宋"/>
                      <w:color w:val="auto"/>
                      <w:sz w:val="22"/>
                      <w:szCs w:val="22"/>
                      <w:lang w:val="en-US" w:eastAsia="zh-CN"/>
                    </w:rPr>
                    <w:t>且设备完好率达到95%</w:t>
                  </w:r>
                  <w:r>
                    <w:rPr>
                      <w:rFonts w:hint="eastAsia" w:ascii="仿宋" w:hAnsi="仿宋" w:eastAsia="仿宋" w:cs="仿宋"/>
                      <w:color w:val="auto"/>
                      <w:sz w:val="22"/>
                      <w:szCs w:val="22"/>
                    </w:rPr>
                    <w:t>；</w:t>
                  </w:r>
                </w:p>
                <w:p>
                  <w:pPr>
                    <w:adjustRightInd w:val="0"/>
                    <w:snapToGrid w:val="0"/>
                    <w:spacing w:line="360" w:lineRule="auto"/>
                    <w:ind w:left="1260" w:leftChars="600" w:right="1249" w:rightChars="595" w:firstLine="418" w:firstLineChars="190"/>
                    <w:rPr>
                      <w:rFonts w:hint="eastAsia" w:ascii="仿宋" w:hAnsi="仿宋" w:eastAsia="仿宋" w:cs="仿宋"/>
                      <w:color w:val="auto"/>
                      <w:sz w:val="22"/>
                      <w:szCs w:val="22"/>
                      <w:lang w:eastAsia="zh-CN"/>
                    </w:rPr>
                  </w:pPr>
                  <w:r>
                    <w:rPr>
                      <w:rFonts w:hint="eastAsia" w:ascii="仿宋" w:hAnsi="仿宋" w:eastAsia="仿宋" w:cs="仿宋"/>
                      <w:color w:val="auto"/>
                      <w:sz w:val="22"/>
                      <w:szCs w:val="22"/>
                    </w:rPr>
                    <w:t>2、中标人必须按照技术要求内容，提供相应服务报告作为采购人履约评价报告一部分</w:t>
                  </w:r>
                  <w:r>
                    <w:rPr>
                      <w:rFonts w:hint="eastAsia" w:ascii="仿宋" w:hAnsi="仿宋" w:eastAsia="仿宋" w:cs="仿宋"/>
                      <w:color w:val="auto"/>
                      <w:sz w:val="22"/>
                      <w:szCs w:val="22"/>
                      <w:lang w:eastAsia="zh-CN"/>
                    </w:rPr>
                    <w:t>；</w:t>
                  </w:r>
                </w:p>
                <w:p>
                  <w:pPr>
                    <w:adjustRightInd w:val="0"/>
                    <w:snapToGrid w:val="0"/>
                    <w:spacing w:line="360" w:lineRule="auto"/>
                    <w:ind w:left="1260" w:leftChars="600" w:right="1249" w:rightChars="595" w:firstLine="418" w:firstLineChars="190"/>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3、中标人提供的服务需满足招标文件要求，并且采购人设备维修、维护完毕后，需达到质量运行稳定可靠，设备的性能、精度应完全符合出厂工艺要求和国家/行业质量标准，充分满足甲方使用要求。</w:t>
                  </w:r>
                </w:p>
                <w:p>
                  <w:pPr>
                    <w:pStyle w:val="6"/>
                    <w:adjustRightInd w:val="0"/>
                    <w:snapToGrid w:val="0"/>
                    <w:spacing w:line="360" w:lineRule="auto"/>
                    <w:ind w:left="1260" w:leftChars="600" w:right="1249" w:rightChars="595" w:firstLine="420" w:firstLineChars="190"/>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eastAsia="zh-CN"/>
                    </w:rPr>
                    <w:t>（</w:t>
                  </w:r>
                  <w:r>
                    <w:rPr>
                      <w:rFonts w:hint="eastAsia" w:ascii="仿宋" w:hAnsi="仿宋" w:eastAsia="仿宋" w:cs="仿宋"/>
                      <w:b/>
                      <w:bCs/>
                      <w:color w:val="auto"/>
                      <w:sz w:val="22"/>
                      <w:szCs w:val="22"/>
                      <w:lang w:val="en-US" w:eastAsia="zh-CN"/>
                    </w:rPr>
                    <w:t>四</w:t>
                  </w:r>
                  <w:r>
                    <w:rPr>
                      <w:rFonts w:hint="eastAsia" w:ascii="仿宋" w:hAnsi="仿宋" w:eastAsia="仿宋" w:cs="仿宋"/>
                      <w:b/>
                      <w:bCs/>
                      <w:color w:val="auto"/>
                      <w:sz w:val="22"/>
                      <w:szCs w:val="22"/>
                      <w:lang w:eastAsia="zh-CN"/>
                    </w:rPr>
                    <w:t>）</w:t>
                  </w:r>
                  <w:r>
                    <w:rPr>
                      <w:rFonts w:hint="eastAsia" w:ascii="仿宋" w:hAnsi="仿宋" w:eastAsia="仿宋" w:cs="仿宋"/>
                      <w:b/>
                      <w:bCs/>
                      <w:color w:val="auto"/>
                      <w:sz w:val="22"/>
                      <w:szCs w:val="22"/>
                      <w:lang w:val="en-US" w:eastAsia="zh-CN"/>
                    </w:rPr>
                    <w:t>服务承诺</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乙方提供具有相应从业资格和一定工作经验的技术团队，驻场工作人员不少于12名（包含项目负责人），有一个完善且固定的项目驻场团队及项目负责人。提供全年7*8.5小时（7：45-17：15）的服务，有4名可进行医疗质控检测的工程师和至少2名具有血液透析设备维护保养类证书的工程师，在医院提供全职驻场维护服务。驻点工程师原则上按照医院规定时间上下班07:45 - 17:15 星期一至星期五；另外乙方提供全年7×24小时工程师在岗现场值班服务，随时响应甲方需求。</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2、乙方工作人员必须身体健康 (向甲方提供工作员工有效期内的健康证) 、遵纪守法、无不良行为倾向，在上岗前须进行安全教育和与岗位相关的业务技能培训。</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3、乙方服务人员应严格遵守甲方有关法规和政府内部规章制度，不得擅自翻阅、复制、传播所接触的用户资料或数据。乙方和维护服务人员在上岗前可与甲方签署保密协议书，保证不向外露用户设备数据或用作其他用途。</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4、乙方无条件接受甲方每季度的考核监督考评。</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5、乙方不得参与甲方单位内部除本项目外的其他维修、保养相关的业务。</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6、乙方为提供驻场人员的防护物资(包括口罩、手套) ，做好安全防护工作。乙方须对驻场人员的人身安全负责，凡任何由于乙方驻场人员违章操作造成的安全事故，甲方概不负责。</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7、乙方根据科室需要联系厂家进行操作培训；</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8、乙方协助甲方定期进行医疗设备实物盘点清查；</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9、乙方全力配合甲方接受各级部门检查；</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10、乙方协助甲方进行医疗设备档案整理以及信息系统的档案维护；</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11、乙方如因特殊情况，乙方需及时增加人员支持甲方工作；</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12、服务标准及目标：根据甲方医院的需求，提供符合国家/行业技术规范的运维及质控、维护保养及维修等服务，并通过专业医疗设备管理系统的使用，提高医院的设备管理水平，保证医疗设备的安全使用，加强规范资产管理。</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13、乙方全面负责甲方所属设备的日常维修、定期保养、质控、检测等工作，职责如下：</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13.1 乙方建立设备巡检服务，每个季度完成一次设备巡检，并及时记录巡检报告。</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13.2乙方派驻技术人员协助完成医院医疗设备清单资料收集、整理、完善、查漏补缺工作。</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13.3乙方派驻技术人员完成医院所有设备维修响应及日常维修事项。</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13.4乙方派驻技术人员定期完成对医院设备预防性维护保养服务，保证设备正常安全使用。</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13.5乙方派驻技术人员负责处理故障排查，接到科室报修电话无法通过远程排除故障的，紧急情况必须在10分钟内到达现场进行紧急响应，一般维修响应在2小时内到达现场。日常维修项目需在报修后4小时内维修完成恢复正常，较大维修项目由甲方决定承担维修任务的单位。13.6乙方派驻技术人员负责对设备进行质量检测，整理设备检测记录并提供给甲方。</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13.7乙方提供医疗设备的预防性维护（PM）检测，按照医疗设备行业标准，填写报告单，并建立设备档案。</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13.8乙方通过设备管理软件的长期跟踪管理能力向医院提供相关设备运行情况及相关事件的各类统计数据、指标。</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13.9乙方技术服务人员应严格遵守甲方有关法规和政府内部规章制度，不得擅自翻阅、复制、传播所接触的用户资料或数据，乙方的维护服务人员不得泄露用户/医院设备中信息及数据或用作其他用途，甲方保留追究乙方泄秘/失密的法律责任。</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13.10乙方需按合同约定提供年度、季度巡查及预防性维护保养计划，并保证计划完成率达到100%。</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13.11乙方技术人员在工作过程中需符合国家相关技术规范标准和质量要求。</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13.12未征得甲方同意，乙方不得随意调整或拆卸设备，不得随便更改相关的设置。</w:t>
                  </w:r>
                </w:p>
                <w:p>
                  <w:pPr>
                    <w:pStyle w:val="6"/>
                    <w:adjustRightInd w:val="0"/>
                    <w:snapToGrid w:val="0"/>
                    <w:spacing w:line="360" w:lineRule="auto"/>
                    <w:ind w:left="1260" w:leftChars="600" w:right="1249" w:rightChars="595" w:firstLine="418" w:firstLineChars="19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13.13乙方及技术人员严格遵守法律法规及深圳市儿童医院发布实施的信息安全管理制度和技术防范措施，保证不擅自收集、泄露、复制/下载、查阅和传播任何个人/患者信息及隐私、原始数据（包括技术数据、医疗数据等）及相关信息，也不得以任何形式泄露、转让给第三方或用于本项目之外的用途。</w:t>
                  </w:r>
                </w:p>
                <w:p>
                  <w:pPr>
                    <w:numPr>
                      <w:ilvl w:val="0"/>
                      <w:numId w:val="2"/>
                    </w:numPr>
                    <w:ind w:left="1260" w:leftChars="600" w:right="1249" w:rightChars="595" w:firstLine="418" w:firstLineChars="190"/>
                    <w:contextualSpacing/>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中标人派驻技术人员负责处理故障排查，接到科室报修电话无法通过远程排除故障的，紧急情况必须在10分钟内到达现场进行紧急响应，一般维修响应在2小时内到达现场。日常维修项目需在报修后4小时内维修完成恢复正常，较大维修项目由采购人决定承担维修任务的单位。</w:t>
                  </w:r>
                </w:p>
                <w:p>
                  <w:pPr>
                    <w:pStyle w:val="6"/>
                    <w:adjustRightInd w:val="0"/>
                    <w:snapToGrid w:val="0"/>
                    <w:spacing w:line="360" w:lineRule="auto"/>
                    <w:ind w:left="1260" w:leftChars="600" w:right="1249" w:rightChars="595" w:firstLine="420" w:firstLineChars="190"/>
                    <w:rPr>
                      <w:rFonts w:hint="eastAsia" w:ascii="仿宋" w:hAnsi="仿宋" w:eastAsia="仿宋" w:cs="仿宋"/>
                      <w:b/>
                      <w:bCs/>
                      <w:color w:val="auto"/>
                      <w:sz w:val="22"/>
                      <w:szCs w:val="22"/>
                    </w:rPr>
                  </w:pPr>
                  <w:r>
                    <w:rPr>
                      <w:rFonts w:hint="eastAsia" w:ascii="仿宋" w:hAnsi="仿宋" w:eastAsia="仿宋" w:cs="仿宋"/>
                      <w:b/>
                      <w:bCs/>
                      <w:color w:val="auto"/>
                      <w:sz w:val="22"/>
                      <w:szCs w:val="22"/>
                    </w:rPr>
                    <w:t>（</w:t>
                  </w:r>
                  <w:r>
                    <w:rPr>
                      <w:rFonts w:hint="eastAsia" w:ascii="仿宋" w:hAnsi="仿宋" w:eastAsia="仿宋" w:cs="仿宋"/>
                      <w:b/>
                      <w:bCs/>
                      <w:color w:val="auto"/>
                      <w:sz w:val="22"/>
                      <w:szCs w:val="22"/>
                      <w:lang w:val="en-US" w:eastAsia="zh-CN"/>
                    </w:rPr>
                    <w:t>五</w:t>
                  </w:r>
                  <w:r>
                    <w:rPr>
                      <w:rFonts w:hint="eastAsia" w:ascii="仿宋" w:hAnsi="仿宋" w:eastAsia="仿宋" w:cs="仿宋"/>
                      <w:b/>
                      <w:bCs/>
                      <w:color w:val="auto"/>
                      <w:sz w:val="22"/>
                      <w:szCs w:val="22"/>
                    </w:rPr>
                    <w:t>）服务费用</w:t>
                  </w:r>
                </w:p>
                <w:p>
                  <w:pPr>
                    <w:pStyle w:val="6"/>
                    <w:adjustRightInd w:val="0"/>
                    <w:snapToGrid w:val="0"/>
                    <w:spacing w:line="360" w:lineRule="auto"/>
                    <w:ind w:left="1260" w:leftChars="600" w:right="1249" w:rightChars="595" w:firstLine="418" w:firstLineChars="19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1、本项目预算金额为：</w:t>
                  </w:r>
                  <w:r>
                    <w:rPr>
                      <w:rFonts w:hint="eastAsia" w:ascii="仿宋" w:hAnsi="仿宋" w:eastAsia="仿宋" w:cs="仿宋"/>
                      <w:color w:val="auto"/>
                      <w:sz w:val="22"/>
                      <w:szCs w:val="22"/>
                      <w:highlight w:val="none"/>
                      <w:lang w:val="en-US" w:eastAsia="zh-CN"/>
                    </w:rPr>
                    <w:t>178.6万</w:t>
                  </w:r>
                  <w:r>
                    <w:rPr>
                      <w:rFonts w:hint="eastAsia" w:ascii="仿宋" w:hAnsi="仿宋" w:eastAsia="仿宋" w:cs="仿宋"/>
                      <w:color w:val="auto"/>
                      <w:sz w:val="22"/>
                      <w:szCs w:val="22"/>
                      <w:highlight w:val="none"/>
                    </w:rPr>
                    <w:t>元整（￥</w:t>
                  </w:r>
                  <w:r>
                    <w:rPr>
                      <w:rFonts w:hint="eastAsia" w:ascii="仿宋" w:hAnsi="仿宋" w:eastAsia="仿宋" w:cs="仿宋"/>
                      <w:color w:val="auto"/>
                      <w:sz w:val="22"/>
                      <w:szCs w:val="22"/>
                      <w:highlight w:val="none"/>
                      <w:lang w:val="en-US" w:eastAsia="zh-CN"/>
                    </w:rPr>
                    <w:t>1,786,000</w:t>
                  </w:r>
                  <w:r>
                    <w:rPr>
                      <w:rFonts w:hint="eastAsia" w:ascii="仿宋" w:hAnsi="仿宋" w:eastAsia="仿宋" w:cs="仿宋"/>
                      <w:color w:val="auto"/>
                      <w:sz w:val="22"/>
                      <w:szCs w:val="22"/>
                      <w:highlight w:val="none"/>
                    </w:rPr>
                    <w:t>元）人民币；</w:t>
                  </w:r>
                </w:p>
                <w:p>
                  <w:pPr>
                    <w:pStyle w:val="2"/>
                    <w:tabs>
                      <w:tab w:val="left" w:pos="540"/>
                    </w:tabs>
                    <w:adjustRightInd w:val="0"/>
                    <w:snapToGrid w:val="0"/>
                    <w:spacing w:line="360" w:lineRule="auto"/>
                    <w:ind w:left="1260" w:leftChars="600" w:right="1249" w:rightChars="595" w:firstLine="418" w:firstLineChars="190"/>
                    <w:rPr>
                      <w:rFonts w:hint="eastAsia" w:ascii="仿宋" w:hAnsi="仿宋" w:eastAsia="仿宋" w:cs="仿宋"/>
                      <w:color w:val="auto"/>
                      <w:sz w:val="22"/>
                      <w:szCs w:val="22"/>
                    </w:rPr>
                  </w:pPr>
                  <w:r>
                    <w:rPr>
                      <w:rFonts w:hint="eastAsia" w:ascii="仿宋" w:hAnsi="仿宋" w:eastAsia="仿宋" w:cs="仿宋"/>
                      <w:color w:val="auto"/>
                      <w:sz w:val="22"/>
                      <w:szCs w:val="22"/>
                    </w:rPr>
                    <w:t>2、合同签订起收到中标人提供的发票后</w:t>
                  </w:r>
                  <w:r>
                    <w:rPr>
                      <w:rFonts w:hint="eastAsia" w:ascii="仿宋" w:hAnsi="仿宋" w:eastAsia="仿宋" w:cs="仿宋"/>
                      <w:color w:val="auto"/>
                      <w:sz w:val="22"/>
                      <w:szCs w:val="22"/>
                      <w:lang w:val="en-US" w:eastAsia="zh-CN"/>
                    </w:rPr>
                    <w:t>30</w:t>
                  </w:r>
                  <w:r>
                    <w:rPr>
                      <w:rFonts w:hint="eastAsia" w:ascii="仿宋" w:hAnsi="仿宋" w:eastAsia="仿宋" w:cs="仿宋"/>
                      <w:color w:val="auto"/>
                      <w:sz w:val="22"/>
                      <w:szCs w:val="22"/>
                    </w:rPr>
                    <w:t>日内支付合同总额</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0%；合同服务开始6个月后收到中标人提供的发票且经采购人验收合格（以验收报告为准）后支付合同总额30%；合同服务结束且经采购人验收合格（以验收报告为准）、收到中标人提供的发票后支付合同总额</w:t>
                  </w: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0%。</w:t>
                  </w:r>
                </w:p>
                <w:p>
                  <w:pPr>
                    <w:pStyle w:val="2"/>
                    <w:tabs>
                      <w:tab w:val="left" w:pos="540"/>
                    </w:tabs>
                    <w:adjustRightInd w:val="0"/>
                    <w:snapToGrid w:val="0"/>
                    <w:spacing w:line="360" w:lineRule="auto"/>
                    <w:ind w:left="1260" w:leftChars="600" w:right="1249" w:rightChars="595" w:firstLine="418" w:firstLineChars="19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合同生效且收到中标人提供的有效发票后30日内支付合同总额30%；中标人提供合同项下服务已满2个季度且收到中标人提供的有效发票，并且经采购人验收合格（季度考核得分高于80分为依据）后采购人支付合同总额30%，如该期间中标人季度考核得分等于或低于80分，需按合同规定扣减相应季度服务费，扣减后的余额再由采购人一次性支付；合同服务器结束且经采购人验收合格（以中标人出具的年度验收报告为准）并收到中标人提供的发票后采购人支付合同总额的剩余40%，如该期间中标人季度考核得分等于或低于80分，扣减相应季度服务费，扣减后的余额再由采购人一次性支付。</w:t>
                  </w:r>
                </w:p>
                <w:p>
                  <w:pPr>
                    <w:ind w:left="1260" w:leftChars="600" w:right="1249" w:rightChars="595" w:firstLine="420" w:firstLineChars="190"/>
                    <w:contextualSpacing/>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b/>
                      <w:bCs/>
                      <w:color w:val="000000" w:themeColor="text1"/>
                      <w:sz w:val="22"/>
                      <w:szCs w:val="22"/>
                      <w:lang w:eastAsia="zh-CN"/>
                      <w14:textFill>
                        <w14:solidFill>
                          <w14:schemeClr w14:val="tx1"/>
                        </w14:solidFill>
                      </w14:textFill>
                    </w:rPr>
                    <w:t>（</w:t>
                  </w:r>
                  <w:r>
                    <w:rPr>
                      <w:rFonts w:hint="eastAsia" w:ascii="仿宋" w:hAnsi="仿宋" w:eastAsia="仿宋" w:cs="仿宋"/>
                      <w:b/>
                      <w:bCs/>
                      <w:color w:val="000000" w:themeColor="text1"/>
                      <w:sz w:val="22"/>
                      <w:szCs w:val="22"/>
                      <w:lang w:val="en-US" w:eastAsia="zh-CN"/>
                      <w14:textFill>
                        <w14:solidFill>
                          <w14:schemeClr w14:val="tx1"/>
                        </w14:solidFill>
                      </w14:textFill>
                    </w:rPr>
                    <w:t>六</w:t>
                  </w:r>
                  <w:r>
                    <w:rPr>
                      <w:rFonts w:hint="eastAsia" w:ascii="仿宋" w:hAnsi="仿宋" w:eastAsia="仿宋" w:cs="仿宋"/>
                      <w:b/>
                      <w:bCs/>
                      <w:color w:val="000000" w:themeColor="text1"/>
                      <w:sz w:val="22"/>
                      <w:szCs w:val="22"/>
                      <w:lang w:eastAsia="zh-CN"/>
                      <w14:textFill>
                        <w14:solidFill>
                          <w14:schemeClr w14:val="tx1"/>
                        </w14:solidFill>
                      </w14:textFill>
                    </w:rPr>
                    <w:t>）</w:t>
                  </w:r>
                  <w:r>
                    <w:rPr>
                      <w:rFonts w:hint="eastAsia" w:ascii="仿宋" w:hAnsi="仿宋" w:eastAsia="仿宋" w:cs="仿宋"/>
                      <w:b/>
                      <w:bCs/>
                      <w:color w:val="000000" w:themeColor="text1"/>
                      <w:sz w:val="22"/>
                      <w:szCs w:val="22"/>
                      <w:lang w:val="en-US" w:eastAsia="zh-CN"/>
                      <w14:textFill>
                        <w14:solidFill>
                          <w14:schemeClr w14:val="tx1"/>
                        </w14:solidFill>
                      </w14:textFill>
                    </w:rPr>
                    <w:t>其他：</w:t>
                  </w:r>
                </w:p>
                <w:p>
                  <w:pPr>
                    <w:pStyle w:val="2"/>
                    <w:numPr>
                      <w:ilvl w:val="0"/>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保密义务</w:t>
                  </w:r>
                  <w:r>
                    <w:rPr>
                      <w:rFonts w:hint="eastAsia" w:ascii="仿宋" w:hAnsi="仿宋" w:eastAsia="仿宋" w:cs="仿宋"/>
                      <w:color w:val="auto"/>
                      <w:kern w:val="0"/>
                      <w:sz w:val="22"/>
                      <w:szCs w:val="22"/>
                    </w:rPr>
                    <w:tab/>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采购人、中标人双方在采购和履行合同过程中所获悉的所有信息都属于保密的内容，采购人中标人双方均有保密义务。</w:t>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采购人、中标人双方</w:t>
                  </w:r>
                  <w:r>
                    <w:rPr>
                      <w:rFonts w:hint="eastAsia" w:ascii="仿宋" w:hAnsi="仿宋" w:eastAsia="仿宋" w:cs="仿宋"/>
                      <w:sz w:val="22"/>
                      <w:szCs w:val="22"/>
                    </w:rPr>
                    <w:t>均应严格保守对方的商业秘密，未事先征得对方书面同意，任何一方不得向合同之外的任何第三方披露或泄露包括合同在内的所有信息、所有在本服务过程中所获得的对方的商业/技术秘密、数据和信息，也不得将上述商业/技术秘密、数据和信息用于除本项目之外的其他任何目的。信息接收方应妥善保管披露方的信息，不论本合同是否变更、解除、终止，保密条款在保密期内均有效。违反上述保密条款造成对方秘密泄露的，守约方可依法追究违约方的法律责任。</w:t>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未经</w:t>
                  </w:r>
                  <w:r>
                    <w:rPr>
                      <w:rFonts w:hint="eastAsia" w:ascii="仿宋" w:hAnsi="仿宋" w:eastAsia="仿宋" w:cs="仿宋"/>
                      <w:color w:val="auto"/>
                      <w:kern w:val="0"/>
                      <w:sz w:val="22"/>
                      <w:szCs w:val="22"/>
                      <w:lang w:val="en-US" w:eastAsia="zh-CN"/>
                    </w:rPr>
                    <w:t>采购人</w:t>
                  </w:r>
                  <w:r>
                    <w:rPr>
                      <w:rFonts w:hint="eastAsia" w:ascii="仿宋" w:hAnsi="仿宋" w:eastAsia="仿宋" w:cs="仿宋"/>
                      <w:color w:val="auto"/>
                      <w:kern w:val="0"/>
                      <w:sz w:val="22"/>
                      <w:szCs w:val="22"/>
                    </w:rPr>
                    <w:t>事先书面同意，</w:t>
                  </w:r>
                  <w:r>
                    <w:rPr>
                      <w:rFonts w:hint="eastAsia" w:ascii="仿宋" w:hAnsi="仿宋" w:eastAsia="仿宋" w:cs="仿宋"/>
                      <w:color w:val="auto"/>
                      <w:kern w:val="0"/>
                      <w:sz w:val="22"/>
                      <w:szCs w:val="22"/>
                      <w:lang w:val="en-US" w:eastAsia="zh-CN"/>
                    </w:rPr>
                    <w:t>中标人</w:t>
                  </w:r>
                  <w:r>
                    <w:rPr>
                      <w:rFonts w:hint="eastAsia" w:ascii="仿宋" w:hAnsi="仿宋" w:eastAsia="仿宋" w:cs="仿宋"/>
                      <w:color w:val="auto"/>
                      <w:kern w:val="0"/>
                      <w:sz w:val="22"/>
                      <w:szCs w:val="22"/>
                    </w:rPr>
                    <w:t>不得将由</w:t>
                  </w:r>
                  <w:r>
                    <w:rPr>
                      <w:rFonts w:hint="eastAsia" w:ascii="仿宋" w:hAnsi="仿宋" w:eastAsia="仿宋" w:cs="仿宋"/>
                      <w:color w:val="auto"/>
                      <w:kern w:val="0"/>
                      <w:sz w:val="22"/>
                      <w:szCs w:val="22"/>
                      <w:lang w:val="en-US" w:eastAsia="zh-CN"/>
                    </w:rPr>
                    <w:t>采购人</w:t>
                  </w:r>
                  <w:r>
                    <w:rPr>
                      <w:rFonts w:hint="eastAsia" w:ascii="仿宋" w:hAnsi="仿宋" w:eastAsia="仿宋" w:cs="仿宋"/>
                      <w:color w:val="auto"/>
                      <w:kern w:val="0"/>
                      <w:sz w:val="22"/>
                      <w:szCs w:val="22"/>
                    </w:rPr>
                    <w:t>为合同提供的条文、规格、计划、图纸、模型、样品或资料以及服务过程中获悉的信息及数据提供给与合同无关的任何第三方，不得将其用于履行合同之外的其它用途。即使向与履行合同有关的人员提供，也应注意保密并限于履行合同所必需的范围。</w:t>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除了合同本身之外，上款所列举的任何数据及信息均是</w:t>
                  </w:r>
                  <w:r>
                    <w:rPr>
                      <w:rFonts w:hint="eastAsia" w:ascii="仿宋" w:hAnsi="仿宋" w:eastAsia="仿宋" w:cs="仿宋"/>
                      <w:color w:val="auto"/>
                      <w:kern w:val="0"/>
                      <w:sz w:val="22"/>
                      <w:szCs w:val="22"/>
                      <w:lang w:val="en-US" w:eastAsia="zh-CN"/>
                    </w:rPr>
                    <w:t>采购人</w:t>
                  </w:r>
                  <w:r>
                    <w:rPr>
                      <w:rFonts w:hint="eastAsia" w:ascii="仿宋" w:hAnsi="仿宋" w:eastAsia="仿宋" w:cs="仿宋"/>
                      <w:color w:val="auto"/>
                      <w:kern w:val="0"/>
                      <w:sz w:val="22"/>
                      <w:szCs w:val="22"/>
                    </w:rPr>
                    <w:t>的财产。</w:t>
                  </w:r>
                  <w:r>
                    <w:rPr>
                      <w:rFonts w:hint="eastAsia" w:ascii="仿宋" w:hAnsi="仿宋" w:eastAsia="仿宋" w:cs="仿宋"/>
                      <w:color w:val="auto"/>
                      <w:kern w:val="0"/>
                      <w:sz w:val="22"/>
                      <w:szCs w:val="22"/>
                      <w:lang w:val="en-US" w:eastAsia="zh-CN"/>
                    </w:rPr>
                    <w:t>中标人</w:t>
                  </w:r>
                  <w:r>
                    <w:rPr>
                      <w:rFonts w:hint="eastAsia" w:ascii="仿宋" w:hAnsi="仿宋" w:eastAsia="仿宋" w:cs="仿宋"/>
                      <w:color w:val="auto"/>
                      <w:kern w:val="0"/>
                      <w:sz w:val="22"/>
                      <w:szCs w:val="22"/>
                    </w:rPr>
                    <w:t>在完成合同服务后应将这些全部销毁并提供销毁证明给</w:t>
                  </w:r>
                  <w:r>
                    <w:rPr>
                      <w:rFonts w:hint="eastAsia" w:ascii="仿宋" w:hAnsi="仿宋" w:eastAsia="仿宋" w:cs="仿宋"/>
                      <w:color w:val="auto"/>
                      <w:kern w:val="0"/>
                      <w:sz w:val="22"/>
                      <w:szCs w:val="22"/>
                      <w:lang w:val="en-US" w:eastAsia="zh-CN"/>
                    </w:rPr>
                    <w:t>采购人</w:t>
                  </w:r>
                  <w:r>
                    <w:rPr>
                      <w:rFonts w:hint="eastAsia" w:ascii="仿宋" w:hAnsi="仿宋" w:eastAsia="仿宋" w:cs="仿宋"/>
                      <w:color w:val="auto"/>
                      <w:kern w:val="0"/>
                      <w:sz w:val="22"/>
                      <w:szCs w:val="22"/>
                    </w:rPr>
                    <w:t>。</w:t>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rPr>
                    <w:t>中标人</w:t>
                  </w:r>
                  <w:r>
                    <w:rPr>
                      <w:rFonts w:hint="eastAsia" w:ascii="仿宋" w:hAnsi="仿宋" w:eastAsia="仿宋" w:cs="仿宋"/>
                      <w:color w:val="auto"/>
                      <w:kern w:val="0"/>
                      <w:sz w:val="22"/>
                      <w:szCs w:val="22"/>
                    </w:rPr>
                    <w:t>应要求技术服务人员在上岗前应签署保密协议或承诺书，保证不向外泄露</w:t>
                  </w:r>
                  <w:r>
                    <w:rPr>
                      <w:rFonts w:hint="eastAsia" w:ascii="仿宋" w:hAnsi="仿宋" w:eastAsia="仿宋" w:cs="仿宋"/>
                      <w:color w:val="auto"/>
                      <w:kern w:val="0"/>
                      <w:sz w:val="22"/>
                      <w:szCs w:val="22"/>
                      <w:lang w:val="en-US" w:eastAsia="zh-CN"/>
                    </w:rPr>
                    <w:t>采购人</w:t>
                  </w:r>
                  <w:r>
                    <w:rPr>
                      <w:rFonts w:hint="eastAsia" w:ascii="仿宋" w:hAnsi="仿宋" w:eastAsia="仿宋" w:cs="仿宋"/>
                      <w:color w:val="auto"/>
                      <w:kern w:val="0"/>
                      <w:sz w:val="22"/>
                      <w:szCs w:val="22"/>
                    </w:rPr>
                    <w:t>的设备数据、信息或将获悉的数据及相关信息用作本项目之外的用途。</w:t>
                  </w:r>
                  <w:r>
                    <w:rPr>
                      <w:rFonts w:hint="eastAsia" w:ascii="仿宋" w:hAnsi="仿宋" w:eastAsia="仿宋" w:cs="仿宋"/>
                      <w:color w:val="auto"/>
                      <w:kern w:val="0"/>
                      <w:sz w:val="22"/>
                      <w:szCs w:val="22"/>
                      <w:lang w:val="en-US" w:eastAsia="zh-CN"/>
                    </w:rPr>
                    <w:t>中标人</w:t>
                  </w:r>
                  <w:r>
                    <w:rPr>
                      <w:rFonts w:hint="eastAsia" w:ascii="仿宋" w:hAnsi="仿宋" w:eastAsia="仿宋" w:cs="仿宋"/>
                      <w:color w:val="auto"/>
                      <w:kern w:val="0"/>
                      <w:sz w:val="22"/>
                      <w:szCs w:val="22"/>
                    </w:rPr>
                    <w:t>为此承担连带责任。</w:t>
                  </w:r>
                </w:p>
                <w:p>
                  <w:pPr>
                    <w:pStyle w:val="2"/>
                    <w:numPr>
                      <w:ilvl w:val="0"/>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合同的变更</w:t>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在合同履行过程中，采购人、中标人双方可就合同履行的时间、地点和方式等协商进行变更。协商一致后，双方应签订书面的补充协议。</w:t>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在不改变合同其他条款的前提下，采购人有权在合同价款改变正负百分之十的范围内追加或减少与合同标的相同的货物或服务，并就此与中标人签订补充合同，中标人不得拒绝。</w:t>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除了双方签署书面协议，并成为合同不可分割的一部分之外，合同条件不得有任何变更。</w:t>
                  </w:r>
                </w:p>
                <w:p>
                  <w:pPr>
                    <w:pStyle w:val="2"/>
                    <w:numPr>
                      <w:ilvl w:val="0"/>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合同转让和分包</w:t>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中标人不得以任何形式部分或全部转让其应履行的合同义务。</w:t>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除非在投标文件中提出的分包项目和建议的分包人，中标人不得采用分包方式履行合同。</w:t>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在合同实施过程中，除非中标人违约，采购人不得指定分包人。</w:t>
                  </w:r>
                </w:p>
                <w:p>
                  <w:pPr>
                    <w:pStyle w:val="2"/>
                    <w:numPr>
                      <w:ilvl w:val="0"/>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解决争议的方法</w:t>
                  </w:r>
                  <w:r>
                    <w:rPr>
                      <w:rFonts w:hint="eastAsia" w:ascii="仿宋" w:hAnsi="仿宋" w:eastAsia="仿宋" w:cs="仿宋"/>
                      <w:color w:val="auto"/>
                      <w:kern w:val="0"/>
                      <w:sz w:val="22"/>
                      <w:szCs w:val="22"/>
                    </w:rPr>
                    <w:tab/>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合同各方应通过友好协商，解决在执行合同过程中所发生的或与合同有关的一切争端。</w:t>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如协商不能解决，任一方可向采购人所在地的人民法院提起诉讼。</w:t>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在诉讼期间，除正在进行诉讼的部分外，合同的其他部分应继续执行。</w:t>
                  </w:r>
                </w:p>
                <w:p>
                  <w:pPr>
                    <w:pStyle w:val="2"/>
                    <w:numPr>
                      <w:ilvl w:val="0"/>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合同语言</w:t>
                  </w:r>
                  <w:r>
                    <w:rPr>
                      <w:rFonts w:hint="eastAsia" w:ascii="仿宋" w:hAnsi="仿宋" w:eastAsia="仿宋" w:cs="仿宋"/>
                      <w:color w:val="auto"/>
                      <w:kern w:val="0"/>
                      <w:sz w:val="22"/>
                      <w:szCs w:val="22"/>
                    </w:rPr>
                    <w:tab/>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合同以及双方来往的与合同有关的信件、传真和其它文件应用中文书写。</w:t>
                  </w:r>
                </w:p>
                <w:p>
                  <w:pPr>
                    <w:pStyle w:val="2"/>
                    <w:numPr>
                      <w:ilvl w:val="0"/>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法律适用</w:t>
                  </w:r>
                  <w:r>
                    <w:rPr>
                      <w:rFonts w:hint="eastAsia" w:ascii="仿宋" w:hAnsi="仿宋" w:eastAsia="仿宋" w:cs="仿宋"/>
                      <w:color w:val="auto"/>
                      <w:kern w:val="0"/>
                      <w:sz w:val="22"/>
                      <w:szCs w:val="22"/>
                    </w:rPr>
                    <w:tab/>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合同适用中华人民共和国现行法律、行政法规和规章，如合同条款与法律、行政法规和规章不一致的，按照法律、行政法规和规章修改合同。</w:t>
                  </w:r>
                </w:p>
                <w:p>
                  <w:pPr>
                    <w:pStyle w:val="2"/>
                    <w:numPr>
                      <w:ilvl w:val="0"/>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通知</w:t>
                  </w:r>
                  <w:r>
                    <w:rPr>
                      <w:rFonts w:hint="eastAsia" w:ascii="仿宋" w:hAnsi="仿宋" w:eastAsia="仿宋" w:cs="仿宋"/>
                      <w:color w:val="auto"/>
                      <w:kern w:val="0"/>
                      <w:sz w:val="22"/>
                      <w:szCs w:val="22"/>
                    </w:rPr>
                    <w:tab/>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合同一方给另一方的通知均应采用书面形式，传真或快递送到对方的地址和办理签收手续。</w:t>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通知以送到之日或通知书中规定的生效之日起生效，两者中以较迟之日为准。</w:t>
                  </w:r>
                </w:p>
                <w:p>
                  <w:pPr>
                    <w:pStyle w:val="2"/>
                    <w:numPr>
                      <w:ilvl w:val="0"/>
                      <w:numId w:val="3"/>
                    </w:numPr>
                    <w:adjustRightInd w:val="0"/>
                    <w:snapToGrid w:val="0"/>
                    <w:spacing w:line="360" w:lineRule="auto"/>
                    <w:ind w:left="1260" w:leftChars="600" w:right="1249" w:rightChars="595" w:firstLine="420" w:firstLineChars="190"/>
                    <w:rPr>
                      <w:rFonts w:hint="eastAsia" w:ascii="仿宋" w:hAnsi="仿宋" w:eastAsia="仿宋" w:cs="仿宋"/>
                      <w:color w:val="auto"/>
                      <w:kern w:val="0"/>
                      <w:sz w:val="22"/>
                      <w:szCs w:val="22"/>
                    </w:rPr>
                  </w:pPr>
                  <w:r>
                    <w:rPr>
                      <w:rFonts w:hint="eastAsia" w:ascii="仿宋" w:hAnsi="仿宋" w:eastAsia="仿宋" w:cs="仿宋"/>
                      <w:b/>
                      <w:bCs/>
                      <w:color w:val="auto"/>
                      <w:sz w:val="22"/>
                      <w:szCs w:val="22"/>
                    </w:rPr>
                    <w:t>★</w:t>
                  </w:r>
                  <w:r>
                    <w:rPr>
                      <w:rFonts w:hint="eastAsia" w:ascii="仿宋" w:hAnsi="仿宋" w:eastAsia="仿宋" w:cs="仿宋"/>
                      <w:color w:val="auto"/>
                      <w:kern w:val="0"/>
                      <w:sz w:val="22"/>
                      <w:szCs w:val="22"/>
                    </w:rPr>
                    <w:t>知识产权</w:t>
                  </w:r>
                  <w:r>
                    <w:rPr>
                      <w:rFonts w:hint="eastAsia" w:ascii="仿宋" w:hAnsi="仿宋" w:eastAsia="仿宋" w:cs="仿宋"/>
                      <w:color w:val="auto"/>
                      <w:kern w:val="0"/>
                      <w:sz w:val="22"/>
                      <w:szCs w:val="22"/>
                    </w:rPr>
                    <w:tab/>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中标人应保证采购人在使用该货物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bCs/>
                      <w:color w:val="auto"/>
                      <w:kern w:val="0"/>
                      <w:sz w:val="22"/>
                      <w:szCs w:val="22"/>
                    </w:rPr>
                    <w:t>除第三人依法享有知识产权的除外，中标人实施本项目所形成成果的知识产权归采购人所有，未经采购人许可，中标人不得随意使用</w:t>
                  </w:r>
                  <w:r>
                    <w:rPr>
                      <w:rFonts w:hint="eastAsia" w:ascii="仿宋" w:hAnsi="仿宋" w:eastAsia="仿宋" w:cs="仿宋"/>
                      <w:color w:val="auto"/>
                      <w:kern w:val="0"/>
                      <w:sz w:val="22"/>
                      <w:szCs w:val="22"/>
                    </w:rPr>
                    <w:t>。</w:t>
                  </w:r>
                </w:p>
                <w:p>
                  <w:pPr>
                    <w:pStyle w:val="2"/>
                    <w:numPr>
                      <w:ilvl w:val="0"/>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合同解除和终止</w:t>
                  </w:r>
                  <w:r>
                    <w:rPr>
                      <w:rFonts w:hint="eastAsia" w:ascii="仿宋" w:hAnsi="仿宋" w:eastAsia="仿宋" w:cs="仿宋"/>
                      <w:color w:val="auto"/>
                      <w:kern w:val="0"/>
                      <w:sz w:val="22"/>
                      <w:szCs w:val="22"/>
                    </w:rPr>
                    <w:tab/>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如果中标人未能在协议规定的限期或采购人同意延长的限期内提供部分或全部货物/服务，采购人可向中标人发出书面的违约通知书，提出终止部份或全部协议。采购人可在任何时候出于自身的便利向中标人发出书面通知终止部分合同，采购人在合同总价中扣除该终止部分货物/服务的价款，并不再对中标人作出额外赔偿。</w:t>
                  </w:r>
                </w:p>
                <w:p>
                  <w:pPr>
                    <w:pStyle w:val="2"/>
                    <w:numPr>
                      <w:ilvl w:val="0"/>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税费</w:t>
                  </w:r>
                  <w:r>
                    <w:rPr>
                      <w:rFonts w:hint="eastAsia" w:ascii="仿宋" w:hAnsi="仿宋" w:eastAsia="仿宋" w:cs="仿宋"/>
                      <w:color w:val="auto"/>
                      <w:kern w:val="0"/>
                      <w:sz w:val="22"/>
                      <w:szCs w:val="22"/>
                    </w:rPr>
                    <w:tab/>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中国政府根据现行税法向中标人征收的与合同有关的一切税费均由中标人负责。</w:t>
                  </w:r>
                </w:p>
                <w:p>
                  <w:pPr>
                    <w:pStyle w:val="2"/>
                    <w:numPr>
                      <w:ilvl w:val="0"/>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rPr>
                    <w:t>违约责任与赔偿损失</w:t>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中标人提供的服务不符合采购文件、投标文件或合同规定的，</w:t>
                  </w:r>
                  <w:r>
                    <w:rPr>
                      <w:rFonts w:hint="eastAsia" w:ascii="仿宋" w:hAnsi="仿宋" w:eastAsia="仿宋" w:cs="仿宋"/>
                      <w:color w:val="auto"/>
                      <w:kern w:val="0"/>
                      <w:sz w:val="22"/>
                      <w:szCs w:val="22"/>
                      <w:lang w:val="en-US" w:eastAsia="zh-CN"/>
                    </w:rPr>
                    <w:t>采购人</w:t>
                  </w:r>
                  <w:r>
                    <w:rPr>
                      <w:rFonts w:hint="eastAsia" w:ascii="仿宋" w:hAnsi="仿宋" w:eastAsia="仿宋" w:cs="仿宋"/>
                      <w:color w:val="auto"/>
                      <w:kern w:val="0"/>
                      <w:sz w:val="22"/>
                      <w:szCs w:val="22"/>
                    </w:rPr>
                    <w:t>有权拒收，并且中标人须向</w:t>
                  </w:r>
                  <w:r>
                    <w:rPr>
                      <w:rFonts w:hint="eastAsia" w:ascii="仿宋" w:hAnsi="仿宋" w:eastAsia="仿宋" w:cs="仿宋"/>
                      <w:color w:val="auto"/>
                      <w:kern w:val="0"/>
                      <w:sz w:val="22"/>
                      <w:szCs w:val="22"/>
                      <w:lang w:val="en-US" w:eastAsia="zh-CN"/>
                    </w:rPr>
                    <w:t>采购人</w:t>
                  </w:r>
                  <w:r>
                    <w:rPr>
                      <w:rFonts w:hint="eastAsia" w:ascii="仿宋" w:hAnsi="仿宋" w:eastAsia="仿宋" w:cs="仿宋"/>
                      <w:color w:val="auto"/>
                      <w:kern w:val="0"/>
                      <w:sz w:val="22"/>
                      <w:szCs w:val="22"/>
                    </w:rPr>
                    <w:t>支付合同总价5%的违约金。中标人在服务期内累计出现3次未及时到现场维修，</w:t>
                  </w:r>
                  <w:r>
                    <w:rPr>
                      <w:rFonts w:hint="eastAsia" w:ascii="仿宋" w:hAnsi="仿宋" w:eastAsia="仿宋" w:cs="仿宋"/>
                      <w:color w:val="auto"/>
                      <w:kern w:val="0"/>
                      <w:sz w:val="22"/>
                      <w:szCs w:val="22"/>
                      <w:lang w:val="en-US" w:eastAsia="zh-CN"/>
                    </w:rPr>
                    <w:t>采购人</w:t>
                  </w:r>
                  <w:r>
                    <w:rPr>
                      <w:rFonts w:hint="eastAsia" w:ascii="仿宋" w:hAnsi="仿宋" w:eastAsia="仿宋" w:cs="仿宋"/>
                      <w:color w:val="auto"/>
                      <w:kern w:val="0"/>
                      <w:sz w:val="22"/>
                      <w:szCs w:val="22"/>
                    </w:rPr>
                    <w:t>有权单方解除合同，并视情节轻重要求中标人支付人民币10000-50000元/次的违约金。</w:t>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rPr>
                    <w:t>中标人</w:t>
                  </w:r>
                  <w:r>
                    <w:rPr>
                      <w:rFonts w:hint="eastAsia" w:ascii="仿宋" w:hAnsi="仿宋" w:eastAsia="仿宋" w:cs="仿宋"/>
                      <w:color w:val="auto"/>
                      <w:kern w:val="0"/>
                      <w:sz w:val="22"/>
                      <w:szCs w:val="22"/>
                    </w:rPr>
                    <w:t>未能按合同规定按时按质完成维保、质检以及维修等服务或</w:t>
                  </w:r>
                  <w:r>
                    <w:rPr>
                      <w:rFonts w:hint="eastAsia" w:ascii="仿宋" w:hAnsi="仿宋" w:eastAsia="仿宋" w:cs="仿宋"/>
                      <w:color w:val="auto"/>
                      <w:kern w:val="0"/>
                      <w:sz w:val="22"/>
                      <w:szCs w:val="22"/>
                      <w:lang w:val="en-US" w:eastAsia="zh-CN"/>
                    </w:rPr>
                    <w:t>中标人</w:t>
                  </w:r>
                  <w:r>
                    <w:rPr>
                      <w:rFonts w:hint="eastAsia" w:ascii="仿宋" w:hAnsi="仿宋" w:eastAsia="仿宋" w:cs="仿宋"/>
                      <w:color w:val="auto"/>
                      <w:kern w:val="0"/>
                      <w:sz w:val="22"/>
                      <w:szCs w:val="22"/>
                    </w:rPr>
                    <w:t>不能满足</w:t>
                  </w:r>
                  <w:r>
                    <w:rPr>
                      <w:rFonts w:hint="eastAsia" w:ascii="仿宋" w:hAnsi="仿宋" w:eastAsia="仿宋" w:cs="仿宋"/>
                      <w:color w:val="auto"/>
                      <w:kern w:val="0"/>
                      <w:sz w:val="22"/>
                      <w:szCs w:val="22"/>
                      <w:lang w:val="en-US" w:eastAsia="zh-CN"/>
                    </w:rPr>
                    <w:t>采购人</w:t>
                  </w:r>
                  <w:r>
                    <w:rPr>
                      <w:rFonts w:hint="eastAsia" w:ascii="仿宋" w:hAnsi="仿宋" w:eastAsia="仿宋" w:cs="仿宋"/>
                      <w:color w:val="auto"/>
                      <w:kern w:val="0"/>
                      <w:sz w:val="22"/>
                      <w:szCs w:val="22"/>
                    </w:rPr>
                    <w:t>业务需求的，从逾期之日起按合同金额3‰／日向甲方支付违约金；逾期15天以上（含15天）的，</w:t>
                  </w:r>
                  <w:r>
                    <w:rPr>
                      <w:rFonts w:hint="eastAsia" w:ascii="仿宋" w:hAnsi="仿宋" w:eastAsia="仿宋" w:cs="仿宋"/>
                      <w:color w:val="auto"/>
                      <w:kern w:val="0"/>
                      <w:sz w:val="22"/>
                      <w:szCs w:val="22"/>
                      <w:lang w:val="en-US" w:eastAsia="zh-CN"/>
                    </w:rPr>
                    <w:t>采购人</w:t>
                  </w:r>
                  <w:r>
                    <w:rPr>
                      <w:rFonts w:hint="eastAsia" w:ascii="仿宋" w:hAnsi="仿宋" w:eastAsia="仿宋" w:cs="仿宋"/>
                      <w:color w:val="auto"/>
                      <w:kern w:val="0"/>
                      <w:sz w:val="22"/>
                      <w:szCs w:val="22"/>
                    </w:rPr>
                    <w:t>有权终止合同，要求</w:t>
                  </w:r>
                  <w:r>
                    <w:rPr>
                      <w:rFonts w:hint="eastAsia" w:ascii="仿宋" w:hAnsi="仿宋" w:eastAsia="仿宋" w:cs="仿宋"/>
                      <w:color w:val="auto"/>
                      <w:kern w:val="0"/>
                      <w:sz w:val="22"/>
                      <w:szCs w:val="22"/>
                      <w:lang w:val="en-US" w:eastAsia="zh-CN"/>
                    </w:rPr>
                    <w:t>中标人</w:t>
                  </w:r>
                  <w:r>
                    <w:rPr>
                      <w:rFonts w:hint="eastAsia" w:ascii="仿宋" w:hAnsi="仿宋" w:eastAsia="仿宋" w:cs="仿宋"/>
                      <w:color w:val="auto"/>
                      <w:kern w:val="0"/>
                      <w:sz w:val="22"/>
                      <w:szCs w:val="22"/>
                    </w:rPr>
                    <w:t>支付违约金，并且给</w:t>
                  </w:r>
                  <w:r>
                    <w:rPr>
                      <w:rFonts w:hint="eastAsia" w:ascii="仿宋" w:hAnsi="仿宋" w:eastAsia="仿宋" w:cs="仿宋"/>
                      <w:color w:val="auto"/>
                      <w:kern w:val="0"/>
                      <w:sz w:val="22"/>
                      <w:szCs w:val="22"/>
                      <w:lang w:val="en-US" w:eastAsia="zh-CN"/>
                    </w:rPr>
                    <w:t>采购人</w:t>
                  </w:r>
                  <w:r>
                    <w:rPr>
                      <w:rFonts w:hint="eastAsia" w:ascii="仿宋" w:hAnsi="仿宋" w:eastAsia="仿宋" w:cs="仿宋"/>
                      <w:color w:val="auto"/>
                      <w:kern w:val="0"/>
                      <w:sz w:val="22"/>
                      <w:szCs w:val="22"/>
                    </w:rPr>
                    <w:t>造成的经济损失由</w:t>
                  </w:r>
                  <w:r>
                    <w:rPr>
                      <w:rFonts w:hint="eastAsia" w:ascii="仿宋" w:hAnsi="仿宋" w:eastAsia="仿宋" w:cs="仿宋"/>
                      <w:color w:val="auto"/>
                      <w:kern w:val="0"/>
                      <w:sz w:val="22"/>
                      <w:szCs w:val="22"/>
                      <w:lang w:val="en-US" w:eastAsia="zh-CN"/>
                    </w:rPr>
                    <w:t>中标人</w:t>
                  </w:r>
                  <w:r>
                    <w:rPr>
                      <w:rFonts w:hint="eastAsia" w:ascii="仿宋" w:hAnsi="仿宋" w:eastAsia="仿宋" w:cs="仿宋"/>
                      <w:color w:val="auto"/>
                      <w:kern w:val="0"/>
                      <w:sz w:val="22"/>
                      <w:szCs w:val="22"/>
                    </w:rPr>
                    <w:t>承担赔偿责任。</w:t>
                  </w:r>
                </w:p>
                <w:p>
                  <w:pPr>
                    <w:pStyle w:val="2"/>
                    <w:numPr>
                      <w:ilvl w:val="1"/>
                      <w:numId w:val="3"/>
                    </w:numPr>
                    <w:adjustRightInd w:val="0"/>
                    <w:snapToGrid w:val="0"/>
                    <w:spacing w:line="360" w:lineRule="auto"/>
                    <w:ind w:left="1260" w:leftChars="600" w:right="1249" w:rightChars="595" w:firstLine="418" w:firstLineChars="19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因</w:t>
                  </w:r>
                  <w:r>
                    <w:rPr>
                      <w:rFonts w:hint="eastAsia" w:ascii="仿宋" w:hAnsi="仿宋" w:eastAsia="仿宋" w:cs="仿宋"/>
                      <w:color w:val="auto"/>
                      <w:kern w:val="0"/>
                      <w:sz w:val="22"/>
                      <w:szCs w:val="22"/>
                      <w:lang w:val="en-US" w:eastAsia="zh-CN"/>
                    </w:rPr>
                    <w:t>中标人</w:t>
                  </w:r>
                  <w:r>
                    <w:rPr>
                      <w:rFonts w:hint="eastAsia" w:ascii="仿宋" w:hAnsi="仿宋" w:eastAsia="仿宋" w:cs="仿宋"/>
                      <w:color w:val="auto"/>
                      <w:kern w:val="0"/>
                      <w:sz w:val="22"/>
                      <w:szCs w:val="22"/>
                    </w:rPr>
                    <w:t>及其工作人员原因造成</w:t>
                  </w:r>
                  <w:r>
                    <w:rPr>
                      <w:rFonts w:hint="eastAsia" w:ascii="仿宋" w:hAnsi="仿宋" w:eastAsia="仿宋" w:cs="仿宋"/>
                      <w:color w:val="auto"/>
                      <w:kern w:val="0"/>
                      <w:sz w:val="22"/>
                      <w:szCs w:val="22"/>
                      <w:lang w:val="en-US" w:eastAsia="zh-CN"/>
                    </w:rPr>
                    <w:t>采购人</w:t>
                  </w:r>
                  <w:r>
                    <w:rPr>
                      <w:rFonts w:hint="eastAsia" w:ascii="仿宋" w:hAnsi="仿宋" w:eastAsia="仿宋" w:cs="仿宋"/>
                      <w:color w:val="auto"/>
                      <w:kern w:val="0"/>
                      <w:sz w:val="22"/>
                      <w:szCs w:val="22"/>
                    </w:rPr>
                    <w:t>设备、设施等损坏的，由</w:t>
                  </w:r>
                  <w:r>
                    <w:rPr>
                      <w:rFonts w:hint="eastAsia" w:ascii="仿宋" w:hAnsi="仿宋" w:eastAsia="仿宋" w:cs="仿宋"/>
                      <w:color w:val="auto"/>
                      <w:kern w:val="0"/>
                      <w:sz w:val="22"/>
                      <w:szCs w:val="22"/>
                      <w:lang w:val="en-US" w:eastAsia="zh-CN"/>
                    </w:rPr>
                    <w:t>中标人</w:t>
                  </w:r>
                  <w:r>
                    <w:rPr>
                      <w:rFonts w:hint="eastAsia" w:ascii="仿宋" w:hAnsi="仿宋" w:eastAsia="仿宋" w:cs="仿宋"/>
                      <w:color w:val="auto"/>
                      <w:kern w:val="0"/>
                      <w:sz w:val="22"/>
                      <w:szCs w:val="22"/>
                    </w:rPr>
                    <w:t>负责修补且赔偿</w:t>
                  </w:r>
                  <w:r>
                    <w:rPr>
                      <w:rFonts w:hint="eastAsia" w:ascii="仿宋" w:hAnsi="仿宋" w:eastAsia="仿宋" w:cs="仿宋"/>
                      <w:color w:val="auto"/>
                      <w:kern w:val="0"/>
                      <w:sz w:val="22"/>
                      <w:szCs w:val="22"/>
                      <w:lang w:val="en-US" w:eastAsia="zh-CN"/>
                    </w:rPr>
                    <w:t>采购人</w:t>
                  </w:r>
                  <w:r>
                    <w:rPr>
                      <w:rFonts w:hint="eastAsia" w:ascii="仿宋" w:hAnsi="仿宋" w:eastAsia="仿宋" w:cs="仿宋"/>
                      <w:color w:val="auto"/>
                      <w:kern w:val="0"/>
                      <w:sz w:val="22"/>
                      <w:szCs w:val="22"/>
                    </w:rPr>
                    <w:t>损失。</w:t>
                  </w:r>
                </w:p>
                <w:p>
                  <w:pPr>
                    <w:pStyle w:val="2"/>
                    <w:ind w:left="1260" w:leftChars="600" w:right="1249" w:rightChars="595" w:firstLine="418" w:firstLineChars="190"/>
                    <w:rPr>
                      <w:rFonts w:hint="eastAsia" w:ascii="仿宋" w:hAnsi="仿宋" w:eastAsia="仿宋" w:cs="仿宋"/>
                      <w:color w:val="auto"/>
                      <w:sz w:val="22"/>
                      <w:szCs w:val="22"/>
                    </w:rPr>
                  </w:pPr>
                  <w:r>
                    <w:rPr>
                      <w:rFonts w:hint="eastAsia" w:ascii="仿宋" w:hAnsi="仿宋" w:eastAsia="仿宋" w:cs="仿宋"/>
                      <w:color w:val="auto"/>
                      <w:kern w:val="0"/>
                      <w:sz w:val="22"/>
                      <w:szCs w:val="22"/>
                    </w:rPr>
                    <w:t>因</w:t>
                  </w:r>
                  <w:r>
                    <w:rPr>
                      <w:rFonts w:hint="eastAsia" w:ascii="仿宋" w:hAnsi="仿宋" w:eastAsia="仿宋" w:cs="仿宋"/>
                      <w:color w:val="auto"/>
                      <w:kern w:val="0"/>
                      <w:sz w:val="22"/>
                      <w:szCs w:val="22"/>
                      <w:lang w:val="en-US" w:eastAsia="zh-CN"/>
                    </w:rPr>
                    <w:t>中标人</w:t>
                  </w:r>
                  <w:r>
                    <w:rPr>
                      <w:rFonts w:hint="eastAsia" w:ascii="仿宋" w:hAnsi="仿宋" w:eastAsia="仿宋" w:cs="仿宋"/>
                      <w:color w:val="auto"/>
                      <w:kern w:val="0"/>
                      <w:sz w:val="22"/>
                      <w:szCs w:val="22"/>
                    </w:rPr>
                    <w:t>日常保养和维修的工作质量问题导致</w:t>
                  </w:r>
                  <w:r>
                    <w:rPr>
                      <w:rFonts w:hint="eastAsia" w:ascii="仿宋" w:hAnsi="仿宋" w:eastAsia="仿宋" w:cs="仿宋"/>
                      <w:color w:val="auto"/>
                      <w:kern w:val="0"/>
                      <w:sz w:val="22"/>
                      <w:szCs w:val="22"/>
                      <w:lang w:val="en-US" w:eastAsia="zh-CN"/>
                    </w:rPr>
                    <w:t>采购人</w:t>
                  </w:r>
                  <w:r>
                    <w:rPr>
                      <w:rFonts w:hint="eastAsia" w:ascii="仿宋" w:hAnsi="仿宋" w:eastAsia="仿宋" w:cs="仿宋"/>
                      <w:color w:val="auto"/>
                      <w:kern w:val="0"/>
                      <w:sz w:val="22"/>
                      <w:szCs w:val="22"/>
                    </w:rPr>
                    <w:t>设备故障或影响正常使用的，由</w:t>
                  </w:r>
                  <w:r>
                    <w:rPr>
                      <w:rFonts w:hint="eastAsia" w:ascii="仿宋" w:hAnsi="仿宋" w:eastAsia="仿宋" w:cs="仿宋"/>
                      <w:color w:val="auto"/>
                      <w:kern w:val="0"/>
                      <w:sz w:val="22"/>
                      <w:szCs w:val="22"/>
                      <w:lang w:val="en-US" w:eastAsia="zh-CN"/>
                    </w:rPr>
                    <w:t>中标人</w:t>
                  </w:r>
                  <w:r>
                    <w:rPr>
                      <w:rFonts w:hint="eastAsia" w:ascii="仿宋" w:hAnsi="仿宋" w:eastAsia="仿宋" w:cs="仿宋"/>
                      <w:color w:val="auto"/>
                      <w:kern w:val="0"/>
                      <w:sz w:val="22"/>
                      <w:szCs w:val="22"/>
                    </w:rPr>
                    <w:t>承担合同总价10%违约金。如不足以赔偿</w:t>
                  </w:r>
                  <w:r>
                    <w:rPr>
                      <w:rFonts w:hint="eastAsia" w:ascii="仿宋" w:hAnsi="仿宋" w:eastAsia="仿宋" w:cs="仿宋"/>
                      <w:color w:val="auto"/>
                      <w:kern w:val="0"/>
                      <w:sz w:val="22"/>
                      <w:szCs w:val="22"/>
                      <w:lang w:val="en-US" w:eastAsia="zh-CN"/>
                    </w:rPr>
                    <w:t>采购人</w:t>
                  </w:r>
                  <w:r>
                    <w:rPr>
                      <w:rFonts w:hint="eastAsia" w:ascii="仿宋" w:hAnsi="仿宋" w:eastAsia="仿宋" w:cs="仿宋"/>
                      <w:color w:val="auto"/>
                      <w:kern w:val="0"/>
                      <w:sz w:val="22"/>
                      <w:szCs w:val="22"/>
                    </w:rPr>
                    <w:t>损失的，</w:t>
                  </w:r>
                  <w:r>
                    <w:rPr>
                      <w:rFonts w:hint="eastAsia" w:ascii="仿宋" w:hAnsi="仿宋" w:eastAsia="仿宋" w:cs="仿宋"/>
                      <w:color w:val="auto"/>
                      <w:kern w:val="0"/>
                      <w:sz w:val="22"/>
                      <w:szCs w:val="22"/>
                      <w:lang w:val="en-US" w:eastAsia="zh-CN"/>
                    </w:rPr>
                    <w:t>中标人</w:t>
                  </w:r>
                  <w:r>
                    <w:rPr>
                      <w:rFonts w:hint="eastAsia" w:ascii="仿宋" w:hAnsi="仿宋" w:eastAsia="仿宋" w:cs="仿宋"/>
                      <w:color w:val="auto"/>
                      <w:kern w:val="0"/>
                      <w:sz w:val="22"/>
                      <w:szCs w:val="22"/>
                    </w:rPr>
                    <w:t>应补足。</w:t>
                  </w:r>
                </w:p>
                <w:p>
                  <w:pPr>
                    <w:numPr>
                      <w:ilvl w:val="0"/>
                      <w:numId w:val="4"/>
                    </w:numPr>
                    <w:ind w:left="1260" w:leftChars="600" w:right="1249" w:rightChars="595" w:firstLine="420" w:firstLineChars="190"/>
                    <w:contextualSpacing/>
                    <w:rPr>
                      <w:rFonts w:hint="eastAsia" w:ascii="仿宋" w:hAnsi="仿宋" w:eastAsia="仿宋" w:cs="仿宋"/>
                      <w:b/>
                      <w:bCs/>
                      <w:sz w:val="22"/>
                      <w:szCs w:val="22"/>
                    </w:rPr>
                  </w:pPr>
                  <w:r>
                    <w:rPr>
                      <w:rFonts w:hint="eastAsia" w:ascii="仿宋" w:hAnsi="仿宋" w:eastAsia="仿宋" w:cs="仿宋"/>
                      <w:b/>
                      <w:bCs/>
                      <w:color w:val="000000" w:themeColor="text1"/>
                      <w:sz w:val="22"/>
                      <w:szCs w:val="22"/>
                      <w:lang w:val="en-US" w:eastAsia="zh-CN"/>
                      <w14:textFill>
                        <w14:solidFill>
                          <w14:schemeClr w14:val="tx1"/>
                        </w14:solidFill>
                      </w14:textFill>
                    </w:rPr>
                    <w:t>报价要求：</w:t>
                  </w:r>
                </w:p>
                <w:p>
                  <w:pPr>
                    <w:pStyle w:val="2"/>
                    <w:numPr>
                      <w:ilvl w:val="0"/>
                      <w:numId w:val="5"/>
                    </w:numPr>
                    <w:tabs>
                      <w:tab w:val="left" w:pos="540"/>
                    </w:tabs>
                    <w:adjustRightInd w:val="0"/>
                    <w:snapToGrid w:val="0"/>
                    <w:spacing w:line="360" w:lineRule="auto"/>
                    <w:ind w:left="1260" w:leftChars="600" w:right="1249" w:rightChars="595" w:firstLine="418" w:firstLineChars="190"/>
                    <w:rPr>
                      <w:rFonts w:hint="eastAsia" w:ascii="仿宋" w:hAnsi="仿宋" w:eastAsia="仿宋" w:cs="仿宋"/>
                      <w:bCs/>
                      <w:color w:val="auto"/>
                      <w:sz w:val="22"/>
                      <w:szCs w:val="22"/>
                    </w:rPr>
                  </w:pP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bCs/>
                      <w:color w:val="auto"/>
                      <w:sz w:val="22"/>
                      <w:szCs w:val="22"/>
                    </w:rPr>
                    <w:t>投标人的投标报价，应是本项目招标范围和招标文件及合同条款上所列的各项内容中所述的全部，不得以任何理由予以重复，并以投标人在投标文件中提出的综合单价或总价为依据。</w:t>
                  </w:r>
                </w:p>
                <w:p>
                  <w:pPr>
                    <w:pStyle w:val="2"/>
                    <w:numPr>
                      <w:ilvl w:val="0"/>
                      <w:numId w:val="5"/>
                    </w:numPr>
                    <w:tabs>
                      <w:tab w:val="left" w:pos="540"/>
                    </w:tabs>
                    <w:adjustRightInd w:val="0"/>
                    <w:snapToGrid w:val="0"/>
                    <w:spacing w:line="360" w:lineRule="auto"/>
                    <w:ind w:left="1260" w:leftChars="600" w:right="1249" w:rightChars="595" w:firstLine="418" w:firstLineChars="190"/>
                    <w:rPr>
                      <w:rFonts w:hint="eastAsia" w:ascii="仿宋" w:hAnsi="仿宋" w:eastAsia="仿宋" w:cs="仿宋"/>
                      <w:bCs/>
                      <w:color w:val="auto"/>
                      <w:sz w:val="22"/>
                      <w:szCs w:val="22"/>
                    </w:rPr>
                  </w:pPr>
                  <w:r>
                    <w:rPr>
                      <w:rFonts w:hint="eastAsia" w:ascii="仿宋" w:hAnsi="仿宋" w:eastAsia="仿宋" w:cs="仿宋"/>
                      <w:bCs/>
                      <w:color w:val="auto"/>
                      <w:sz w:val="22"/>
                      <w:szCs w:val="22"/>
                    </w:rPr>
                    <w:t>投标人应充分了解项目的位置、情况、道路及任何其它足以影响投标报价的情况，任何因忽视或误解项目情况而导致的索赔或服务期限延长申请将不获批准。</w:t>
                  </w:r>
                </w:p>
                <w:p>
                  <w:pPr>
                    <w:pStyle w:val="2"/>
                    <w:numPr>
                      <w:ilvl w:val="0"/>
                      <w:numId w:val="5"/>
                    </w:numPr>
                    <w:tabs>
                      <w:tab w:val="left" w:pos="540"/>
                    </w:tabs>
                    <w:adjustRightInd w:val="0"/>
                    <w:snapToGrid w:val="0"/>
                    <w:spacing w:line="360" w:lineRule="auto"/>
                    <w:ind w:left="1260" w:leftChars="600" w:right="1249" w:rightChars="595" w:firstLine="418" w:firstLineChars="190"/>
                    <w:rPr>
                      <w:rFonts w:hint="eastAsia" w:ascii="仿宋" w:hAnsi="仿宋" w:eastAsia="仿宋" w:cs="仿宋"/>
                      <w:bCs/>
                      <w:color w:val="auto"/>
                      <w:sz w:val="22"/>
                      <w:szCs w:val="22"/>
                    </w:rPr>
                  </w:pPr>
                  <w:r>
                    <w:rPr>
                      <w:rFonts w:hint="eastAsia" w:ascii="仿宋" w:hAnsi="仿宋" w:eastAsia="仿宋" w:cs="仿宋"/>
                      <w:bCs/>
                      <w:color w:val="auto"/>
                      <w:sz w:val="22"/>
                      <w:szCs w:val="22"/>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left="1260" w:leftChars="600" w:right="1249" w:rightChars="595" w:firstLine="418" w:firstLineChars="190"/>
                    <w:contextualSpacing/>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bCs/>
                      <w:color w:val="auto"/>
                      <w:sz w:val="22"/>
                      <w:szCs w:val="22"/>
                    </w:rPr>
                    <w:t>投标人须考虑本项目在实施期间的一切可能产生的费用。在项目实施过程中，如项目工作范围发生变更，由中标人和采购人双方协商解决；其余情况下，投标总价均不予调整。</w:t>
                  </w:r>
                </w:p>
              </w:tc>
            </w:tr>
          </w:tbl>
          <w:p>
            <w:pPr>
              <w:snapToGrid w:val="0"/>
              <w:spacing w:after="78"/>
              <w:jc w:val="left"/>
              <w:rPr>
                <w:rFonts w:hint="eastAsia" w:ascii="仿宋" w:hAnsi="仿宋" w:eastAsia="仿宋" w:cs="仿宋"/>
                <w:color w:val="000000" w:themeColor="text1"/>
                <w:kern w:val="2"/>
                <w:sz w:val="22"/>
                <w:szCs w:val="22"/>
                <w:lang w:val="en-US" w:eastAsia="zh-CN" w:bidi="ar-SA"/>
                <w14:textFill>
                  <w14:solidFill>
                    <w14:schemeClr w14:val="tx1"/>
                  </w14:solidFill>
                </w14:textFill>
              </w:rPr>
            </w:pPr>
          </w:p>
        </w:tc>
        <w:tc>
          <w:tcPr>
            <w:tcW w:w="1699"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290" w:type="dxa"/>
            <w:vMerge w:val="restart"/>
            <w:tcBorders>
              <w:top w:val="single" w:color="auto" w:sz="4" w:space="0"/>
              <w:left w:val="single" w:color="auto" w:sz="4" w:space="0"/>
              <w:right w:val="single" w:color="auto" w:sz="4" w:space="0"/>
            </w:tcBorders>
            <w:shd w:val="clear" w:color="auto" w:fill="auto"/>
            <w:vAlign w:val="center"/>
          </w:tcPr>
          <w:p>
            <w:pPr>
              <w:widowControl/>
              <w:spacing w:after="78"/>
              <w:jc w:val="left"/>
              <w:rPr>
                <w:rFonts w:hint="eastAsia" w:ascii="仿宋" w:hAnsi="仿宋" w:eastAsia="仿宋" w:cs="仿宋"/>
                <w:color w:val="000000" w:themeColor="text1"/>
                <w:kern w:val="0"/>
                <w:sz w:val="22"/>
                <w:szCs w:val="22"/>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技术参数</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after="78"/>
              <w:jc w:val="left"/>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2"/>
                <w:sz w:val="22"/>
                <w:szCs w:val="22"/>
                <w:lang w:val="en-US" w:eastAsia="zh-CN" w:bidi="ar-SA"/>
                <w14:textFill>
                  <w14:solidFill>
                    <w14:schemeClr w14:val="tx1"/>
                  </w14:solidFill>
                </w14:textFill>
              </w:rPr>
              <w:t>1.本项目的主要工作内容</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after="78"/>
              <w:jc w:val="left"/>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2"/>
                <w:sz w:val="22"/>
                <w:szCs w:val="22"/>
                <w:lang w:val="en-US" w:eastAsia="zh-CN" w:bidi="ar-SA"/>
                <w14:textFill>
                  <w14:solidFill>
                    <w14:schemeClr w14:val="tx1"/>
                  </w14:solidFill>
                </w14:textFill>
              </w:rPr>
              <w:t>1、提供经验丰富、技术实力雄厚的技术人员团队，为采购人提供医用设备的日常维修保养等服务,提供全年度每天24小时承担全院范围内的医疗设备和医疗器械全方位的医疗设备全生命周期的安装、验收、培训、日常管理、维修、保养、巡检、调配、计量检测送检、报废各项服务工作；</w:t>
            </w:r>
          </w:p>
          <w:p>
            <w:pPr>
              <w:snapToGrid w:val="0"/>
              <w:spacing w:after="78"/>
              <w:jc w:val="left"/>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2"/>
                <w:sz w:val="22"/>
                <w:szCs w:val="22"/>
                <w:lang w:val="en-US" w:eastAsia="zh-CN" w:bidi="ar-SA"/>
                <w14:textFill>
                  <w14:solidFill>
                    <w14:schemeClr w14:val="tx1"/>
                  </w14:solidFill>
                </w14:textFill>
              </w:rPr>
              <w:t>2、对故障设备进行维修或通知维修，保障医疗设备正常运行；采购人医疗设备规模约15亿元，本项目含未来三年科教楼、龙华院区等新建建筑医疗设备，以采购人的实际设备数据为准；</w:t>
            </w:r>
          </w:p>
          <w:p>
            <w:pPr>
              <w:snapToGrid w:val="0"/>
              <w:spacing w:after="78"/>
              <w:jc w:val="left"/>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2"/>
                <w:sz w:val="22"/>
                <w:szCs w:val="22"/>
                <w:lang w:val="en-US" w:eastAsia="zh-CN" w:bidi="ar-SA"/>
                <w14:textFill>
                  <w14:solidFill>
                    <w14:schemeClr w14:val="tx1"/>
                  </w14:solidFill>
                </w14:textFill>
              </w:rPr>
              <w:t>3、配合采购人接受各类检查、评比等事项；项目实施中配合采购人的领导，完成采购人交办的其它与项目相关的事项。</w:t>
            </w:r>
          </w:p>
        </w:tc>
        <w:tc>
          <w:tcPr>
            <w:tcW w:w="1699"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290" w:type="dxa"/>
            <w:vMerge w:val="continue"/>
            <w:tcBorders>
              <w:left w:val="single" w:color="auto" w:sz="4" w:space="0"/>
              <w:right w:val="single" w:color="auto" w:sz="4" w:space="0"/>
            </w:tcBorders>
            <w:shd w:val="clear" w:color="auto" w:fill="auto"/>
            <w:vAlign w:val="center"/>
          </w:tcPr>
          <w:p>
            <w:pPr>
              <w:widowControl/>
              <w:spacing w:after="78"/>
              <w:jc w:val="left"/>
              <w:rPr>
                <w:rFonts w:hint="eastAsia" w:ascii="仿宋" w:hAnsi="仿宋" w:eastAsia="仿宋" w:cs="仿宋"/>
                <w:color w:val="000000" w:themeColor="text1"/>
                <w:kern w:val="0"/>
                <w:sz w:val="22"/>
                <w:szCs w:val="22"/>
                <w14:textFill>
                  <w14:solidFill>
                    <w14:schemeClr w14:val="tx1"/>
                  </w14:solidFill>
                </w14:textFill>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维修要求</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1、中标人须指派</w:t>
            </w:r>
            <w:r>
              <w:rPr>
                <w:rFonts w:hint="eastAsia" w:ascii="仿宋" w:hAnsi="仿宋" w:eastAsia="仿宋" w:cs="仿宋"/>
                <w:color w:val="auto"/>
                <w:sz w:val="22"/>
                <w:szCs w:val="22"/>
                <w:lang w:val="en-US" w:eastAsia="zh-CN"/>
              </w:rPr>
              <w:t>至少【12】名</w:t>
            </w:r>
            <w:r>
              <w:rPr>
                <w:rFonts w:hint="eastAsia" w:ascii="仿宋" w:hAnsi="仿宋" w:eastAsia="仿宋" w:cs="仿宋"/>
                <w:color w:val="auto"/>
                <w:sz w:val="22"/>
                <w:szCs w:val="22"/>
              </w:rPr>
              <w:t>医疗设备维修工程师常驻医院，能提供现场维修或电话技术咨询，随时保持报修联系并对故障类型分类记录，及时排除及修复故障；</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2、维修响应：当医疗设备出现故障时，应在收到通知后即时响应，根据设备故障紧急程度要求工程师到达服务现场，设备故障且无替代产品导致临床操作服务无法进行的为紧急类，10分钟到达；其它非紧急类设备20分钟内到达；</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 xml:space="preserve">3、中标人需按采购人需求建立设备维修档案，并装订成册，按月向采购人医疗设备管理科室工作人员提交；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4、中标人每月向采购人提交设备维护维修状况分析报告，每台次设备维修时，应详细记录故障现象、原因分析、处理方案、配件更换情况等，协助采购人相关科室规范医疗设备的使用，对医疗设备使用不当的，提出整改措施，报经采购人审定备案后实施；</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5、中标人需保证各科室急救类、生命支持类设备始终保持在待用状态，设备完好率100%，对设备的完好情况和使用情况进行监管，每月向采购人提供急救类、生命支持类设备的日常维护保养情况分析报告；</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6、中标人需保证合同期内设备每年的平均开机率均在95%以上 (即每年停机时间小于18天)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7、医疗设备的报废：对达报废要求，采购人要求报废的设备；或使用多年或已经停产的设备，厂家都无法提供配件，使用科室所提交申请的报废设备，需提供初步建议，交由采购人依据医院管理制度评估后执行；</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8、维修过程如有损坏中标人需负责，临近合同期满时报修的设备需完成维修；</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9、维修人员与科室设备管理相关人员积极沟通，定期汇报设备维护情况；若有厂家或其他第三方公司对设备进行三级保养、维修更换配件等情况，需时刻跟进维护进度，并及时向科室反馈；</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10、服务期内，中标人如发生人身伤亡、财物或其他损失，无论何种原因所致，采购人均不负责；</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11、参数调校；机械部件紧固，外壳矫正；操作指引，使用培训；线路扎捆，整理；设备调配；电池充电；冰箱（超低温冰箱）除霜、除尘；</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12、配合其他部门维修响应；医疗设备寄送、接收；院外人员派工监督；医疗设备除尘、滤网清洁更换；医疗设备故障远程排查；更换备件；</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13、计量、特种设备安装拆卸，取送仪器；设备机械部分除锈、润滑；更换保险丝；接受系统报修，维修调度；日常新购设备资料的系统录入、标签制作、粘贴；买保合同、维修事件跟进监督。</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auto"/>
                <w:sz w:val="22"/>
                <w:szCs w:val="22"/>
              </w:rPr>
              <w:t>14、▲投标人需要对以上内容提供合理化建议，如对各项要求的考核表、评分表。</w:t>
            </w:r>
          </w:p>
        </w:tc>
        <w:tc>
          <w:tcPr>
            <w:tcW w:w="1699"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290" w:type="dxa"/>
            <w:vMerge w:val="continue"/>
            <w:tcBorders>
              <w:left w:val="single" w:color="auto" w:sz="4" w:space="0"/>
              <w:right w:val="single" w:color="auto" w:sz="4" w:space="0"/>
            </w:tcBorders>
            <w:shd w:val="clear" w:color="auto" w:fill="auto"/>
            <w:vAlign w:val="center"/>
          </w:tcPr>
          <w:p>
            <w:pPr>
              <w:widowControl/>
              <w:spacing w:after="78"/>
              <w:jc w:val="left"/>
              <w:rPr>
                <w:rFonts w:hint="eastAsia" w:ascii="仿宋" w:hAnsi="仿宋" w:eastAsia="仿宋" w:cs="仿宋"/>
                <w:color w:val="000000" w:themeColor="text1"/>
                <w:kern w:val="0"/>
                <w:sz w:val="22"/>
                <w:szCs w:val="22"/>
                <w14:textFill>
                  <w14:solidFill>
                    <w14:schemeClr w14:val="tx1"/>
                  </w14:solidFill>
                </w14:textFill>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保养巡检要求</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1、针对各医疗设备的安全性、重要性、使用率、故障率, 根据设备厂家建议的维护保养周期和相关监督管理部门的要求 ，按风险等级科学合理安排保养周期，对全院医疗设备实行三级保养和风险评估管理，制定高中低风险台账，结合设备维修保养手册的要求，按照高风险每年4次，中风险每年2次、低风险每年1次的频率制订出详细的保养计划，经采购人设备管理部门审查后，安排专业工程师按计划执行，进行定期预防性维护及清理工作；</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2、巡检保养要求：按采购人要求对全院特种设备、大型设备、急救类设备每月巡检一次，所有巡检工作均需做好记录由使用科室、设备科、维保工程师签字；</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3、为了确保仪器设备的正常使用，根据仪器设备的性能要求，对仪器设备进行定期除除尘和清洁，并进行性能检测，及时检查和更换易损部件，检查设备的稳压状况和接地情况是否良好等。维护保养内容应包括但不限于：</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 外观检查：外观检查首先检查仪器各按钮、开关、接头插座有无松动及错位，插头插座的接触有无氧化、生锈或接触不良，电源线有无老化，散热排风是否正常，各种接地的连接和管道的连接是否良好；</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(2) 清洁保养：是对仪器表面与内部电气部分、机械部分进行清洁，包括清洗过滤网及有关管道，对仪器有关插头插座进行消洁，防止接触不良，对必要的机械部分进行加油润滑；</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(3) 更换易损件：对己达到使用寿命及性能下降，不合要求的元器件或使用说明书中规定的要求定期更换的配件要进行及时地更换，排除设备明显的和潜在的各种故障，预防可能发生的故障扩大或造成整机故障；</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(4) 功能检查：开机检查各指示灯、指示器是否正常，通过调节、设置各个开关利按钮，进入各功能设置，以检查设备的基本功能是否正常。通过模拟测试，检查设备各项报警功能是否正常；</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(5) 性能测试校准：测试各直流电源的稳压值、电路中主要测试点电压值或波形并根据说明书的要求进行必要的校准和调整，以保证仪器各项技术指标达到标准，确保仪器在医疗诊断与治疗中的质量；</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(6) 安全检查：</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①电气安全检查：检查各种引线、插头、连接器等有无破损，接地线是否牢靠，接地电阻和漏电电流是否在允许限度内；</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②机械安全检查：检查机架是否牢固，机械运转是否正常，各连接部件有无松动、脱落或破裂现象；</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(7) 医疗设备在服务期内按计划进行定期现场校准和保养服务，并按季度提供完善的书面维护保养报告：</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①维护保养报告：详细记录维护保养内容及日期，科室人员及工程师签名；</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②保养标签：粘贴于设备侧面 (保养时间、保养工程师、下次保养时间)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③维护保养报告均录入设备资产管理系统；</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④中标人将定期对所有设备进行保养，按照高风险每年4次，中风险每年2次、低风险每年1次保养。</w:t>
            </w:r>
          </w:p>
        </w:tc>
        <w:tc>
          <w:tcPr>
            <w:tcW w:w="1699"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290" w:type="dxa"/>
            <w:vMerge w:val="continue"/>
            <w:tcBorders>
              <w:left w:val="single" w:color="auto" w:sz="4" w:space="0"/>
              <w:right w:val="single" w:color="auto" w:sz="4" w:space="0"/>
            </w:tcBorders>
            <w:shd w:val="clear" w:color="auto" w:fill="auto"/>
            <w:vAlign w:val="center"/>
          </w:tcPr>
          <w:p>
            <w:pPr>
              <w:widowControl/>
              <w:spacing w:after="78"/>
              <w:jc w:val="left"/>
              <w:rPr>
                <w:rFonts w:hint="eastAsia" w:ascii="仿宋" w:hAnsi="仿宋" w:eastAsia="仿宋" w:cs="仿宋"/>
                <w:color w:val="000000" w:themeColor="text1"/>
                <w:kern w:val="0"/>
                <w:sz w:val="22"/>
                <w:szCs w:val="22"/>
                <w14:textFill>
                  <w14:solidFill>
                    <w14:schemeClr w14:val="tx1"/>
                  </w14:solidFill>
                </w14:textFill>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计量质控要求</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1、中标人协助采购人及时联系计量院、特检院及有资质的第三方检测公司对采购人需要强检的医疗设备、特种设备及临床需求需要检定的医疗设备 (如：生化分析仪、PCR室设备等检验设备、除颤仪、血液透析机、呼吸机、电刀、生物安全柜、肝纤维扫描仪、超声、体温检测设备) 、放射设备性能和机房防护、进行计量、检定、校准、检测；第三方检测公司的资质需由采购人审核同意后方可开展检定工作，所有计量及其他检测费用均由采购人负责；</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2、计量检定报告和质控检测报告需按采购人设备管理部门要求进行归档及录入设备资产管理系统。</w:t>
            </w:r>
          </w:p>
        </w:tc>
        <w:tc>
          <w:tcPr>
            <w:tcW w:w="1699"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290" w:type="dxa"/>
            <w:vMerge w:val="continue"/>
            <w:tcBorders>
              <w:left w:val="single" w:color="auto" w:sz="4" w:space="0"/>
              <w:right w:val="single" w:color="auto" w:sz="4" w:space="0"/>
            </w:tcBorders>
            <w:shd w:val="clear" w:color="auto" w:fill="auto"/>
            <w:vAlign w:val="center"/>
          </w:tcPr>
          <w:p>
            <w:pPr>
              <w:widowControl/>
              <w:spacing w:after="78"/>
              <w:jc w:val="left"/>
              <w:rPr>
                <w:rFonts w:hint="eastAsia" w:ascii="仿宋" w:hAnsi="仿宋" w:eastAsia="仿宋" w:cs="仿宋"/>
                <w:color w:val="000000" w:themeColor="text1"/>
                <w:kern w:val="0"/>
                <w:sz w:val="22"/>
                <w:szCs w:val="22"/>
                <w14:textFill>
                  <w14:solidFill>
                    <w14:schemeClr w14:val="tx1"/>
                  </w14:solidFill>
                </w14:textFill>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完好率 、开机率要求</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1、合同期限内保证常规设备完好率95%以上，急救生命支持类设备100%完好率；</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注：开机率 (按年365天计算) 指机器在正常工作时间内，用户正常操作情况下，机器正常运行的时间效率。仪器在闲置期间，若功能正常视为正常开机状态。</w:t>
            </w:r>
          </w:p>
        </w:tc>
        <w:tc>
          <w:tcPr>
            <w:tcW w:w="1699"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290" w:type="dxa"/>
            <w:vMerge w:val="continue"/>
            <w:tcBorders>
              <w:left w:val="single" w:color="auto" w:sz="4" w:space="0"/>
              <w:right w:val="single" w:color="auto" w:sz="4" w:space="0"/>
            </w:tcBorders>
            <w:shd w:val="clear" w:color="auto" w:fill="auto"/>
            <w:vAlign w:val="center"/>
          </w:tcPr>
          <w:p>
            <w:pPr>
              <w:widowControl/>
              <w:spacing w:after="78"/>
              <w:jc w:val="left"/>
              <w:rPr>
                <w:rFonts w:hint="eastAsia" w:ascii="仿宋" w:hAnsi="仿宋" w:eastAsia="仿宋" w:cs="仿宋"/>
                <w:color w:val="000000" w:themeColor="text1"/>
                <w:kern w:val="0"/>
                <w:sz w:val="22"/>
                <w:szCs w:val="22"/>
                <w14:textFill>
                  <w14:solidFill>
                    <w14:schemeClr w14:val="tx1"/>
                  </w14:solidFill>
                </w14:textFill>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医疗器械不良事件监测要求</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1、中标人协助采购人开展不良事件监测工作，协助完成医疗器械不良事件上报；</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2、建立及时报告制度，每月需专项汇报不良事件检测情况。根据风险程度，发布风险预警，暂停或终止高风险器械的使用，并协助采购人及时向卫生行政部门和有关部门上报医疗器械临床使用安全事件，保存完整的信息资料。</w:t>
            </w:r>
          </w:p>
        </w:tc>
        <w:tc>
          <w:tcPr>
            <w:tcW w:w="1699"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290" w:type="dxa"/>
            <w:vMerge w:val="continue"/>
            <w:tcBorders>
              <w:left w:val="single" w:color="auto" w:sz="4" w:space="0"/>
              <w:right w:val="single" w:color="auto" w:sz="4" w:space="0"/>
            </w:tcBorders>
            <w:shd w:val="clear" w:color="auto" w:fill="auto"/>
            <w:vAlign w:val="center"/>
          </w:tcPr>
          <w:p>
            <w:pPr>
              <w:widowControl/>
              <w:spacing w:after="78"/>
              <w:jc w:val="left"/>
              <w:rPr>
                <w:rFonts w:hint="eastAsia" w:ascii="仿宋" w:hAnsi="仿宋" w:eastAsia="仿宋" w:cs="仿宋"/>
                <w:color w:val="000000" w:themeColor="text1"/>
                <w:kern w:val="0"/>
                <w:sz w:val="22"/>
                <w:szCs w:val="22"/>
                <w14:textFill>
                  <w14:solidFill>
                    <w14:schemeClr w14:val="tx1"/>
                  </w14:solidFill>
                </w14:textFill>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7.</w:t>
            </w:r>
            <w:r>
              <w:rPr>
                <w:rFonts w:hint="eastAsia" w:ascii="仿宋" w:hAnsi="仿宋" w:eastAsia="仿宋" w:cs="仿宋"/>
                <w:color w:val="auto"/>
                <w:sz w:val="22"/>
                <w:szCs w:val="22"/>
              </w:rPr>
              <w:t>设备安装、验收、 临床培训及考核要求</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1、针对新购设备，必须严格按合同条款或议价结果落实检查、安装、验收工作，严格把关质量，验收合格后正式交付采购人业务科室使用，填写安装验收报告；</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2、新购设备拆装、盘点验货、试用期间发现有质量问题的，要及时通报采购人设备管理部门；</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3、针对新引进设备在投入使用前，要按采购人制度要求组织足够的操作人员参加培训熟悉操作，经考核合格后才能正式操作使用。中标人工程师必须同时参加培训，主要学习开机、关机及测试/自检操作等；</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4、中标人需按采购人要求进行医疗设备档案整理以及信息系统的档案维护；</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5、针对急救生命支持类设备，协助采购人组织院级专题培训，并按采购人要求提交培训计划，培训考核成绩，培训总结等资料，并整理培训档案以及信息系统的档案维护。</w:t>
            </w:r>
            <w:r>
              <w:rPr>
                <w:rFonts w:hint="eastAsia" w:ascii="仿宋" w:hAnsi="仿宋" w:eastAsia="仿宋" w:cs="仿宋"/>
                <w:color w:val="auto"/>
                <w:sz w:val="22"/>
                <w:szCs w:val="22"/>
              </w:rPr>
              <w:br w:type="textWrapping"/>
            </w:r>
            <w:r>
              <w:rPr>
                <w:rFonts w:hint="eastAsia" w:ascii="仿宋" w:hAnsi="仿宋" w:eastAsia="仿宋" w:cs="仿宋"/>
                <w:color w:val="auto"/>
                <w:sz w:val="22"/>
                <w:szCs w:val="22"/>
              </w:rPr>
              <w:t>6、▲投标人需要对以上内容提供合理化建议，如对各项要求的考核表、评分表。</w:t>
            </w:r>
          </w:p>
        </w:tc>
        <w:tc>
          <w:tcPr>
            <w:tcW w:w="1699"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290" w:type="dxa"/>
            <w:vMerge w:val="continue"/>
            <w:tcBorders>
              <w:left w:val="single" w:color="auto" w:sz="4" w:space="0"/>
              <w:right w:val="single" w:color="auto" w:sz="4" w:space="0"/>
            </w:tcBorders>
            <w:shd w:val="clear" w:color="auto" w:fill="auto"/>
            <w:vAlign w:val="center"/>
          </w:tcPr>
          <w:p>
            <w:pPr>
              <w:widowControl/>
              <w:spacing w:after="78"/>
              <w:jc w:val="left"/>
              <w:rPr>
                <w:rFonts w:hint="eastAsia" w:ascii="仿宋" w:hAnsi="仿宋" w:eastAsia="仿宋" w:cs="仿宋"/>
                <w:color w:val="000000" w:themeColor="text1"/>
                <w:kern w:val="0"/>
                <w:sz w:val="22"/>
                <w:szCs w:val="22"/>
                <w14:textFill>
                  <w14:solidFill>
                    <w14:schemeClr w14:val="tx1"/>
                  </w14:solidFill>
                </w14:textFill>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8.</w:t>
            </w:r>
            <w:r>
              <w:rPr>
                <w:rFonts w:hint="eastAsia" w:ascii="仿宋" w:hAnsi="仿宋" w:eastAsia="仿宋" w:cs="仿宋"/>
                <w:color w:val="auto"/>
                <w:sz w:val="22"/>
                <w:szCs w:val="22"/>
              </w:rPr>
              <w:t>服务要求</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1、中标人项目负责人及项目组成员应服从采购人的工作安排，遵守采购人的工作纪律及各项规章制度；</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2、中标人项目负责人及项目组成员应及时向采购人项目主管人员汇报工作进度，请示工作中碰到的问题，遇到问题时不得擅自决定解决方案，及时汇报和沟通；</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3、中标人应按采购人需求，提供的相关技术人员应确保满足采购人的要求</w:t>
            </w:r>
            <w:r>
              <w:rPr>
                <w:rFonts w:hint="eastAsia" w:ascii="仿宋" w:hAnsi="仿宋" w:eastAsia="仿宋" w:cs="仿宋"/>
                <w:color w:val="auto"/>
                <w:sz w:val="22"/>
                <w:szCs w:val="22"/>
                <w:lang w:val="en-US" w:eastAsia="zh-CN"/>
              </w:rPr>
              <w:t>且具有工程师任职资格</w:t>
            </w:r>
            <w:r>
              <w:rPr>
                <w:rFonts w:hint="eastAsia" w:ascii="仿宋" w:hAnsi="仿宋" w:eastAsia="仿宋" w:cs="仿宋"/>
                <w:color w:val="auto"/>
                <w:sz w:val="22"/>
                <w:szCs w:val="22"/>
              </w:rPr>
              <w:t>。</w:t>
            </w:r>
          </w:p>
        </w:tc>
        <w:tc>
          <w:tcPr>
            <w:tcW w:w="1699"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vMerge w:val="continue"/>
            <w:tcBorders>
              <w:left w:val="single" w:color="auto" w:sz="4" w:space="0"/>
              <w:right w:val="single" w:color="auto" w:sz="4" w:space="0"/>
            </w:tcBorders>
            <w:shd w:val="clear" w:color="auto" w:fill="auto"/>
            <w:vAlign w:val="center"/>
          </w:tcPr>
          <w:p>
            <w:pPr>
              <w:widowControl/>
              <w:spacing w:after="78"/>
              <w:jc w:val="left"/>
              <w:rPr>
                <w:rFonts w:hint="eastAsia" w:ascii="仿宋" w:hAnsi="仿宋" w:eastAsia="仿宋" w:cs="仿宋"/>
                <w:color w:val="000000" w:themeColor="text1"/>
                <w:kern w:val="0"/>
                <w:sz w:val="22"/>
                <w:szCs w:val="22"/>
                <w14:textFill>
                  <w14:solidFill>
                    <w14:schemeClr w14:val="tx1"/>
                  </w14:solidFill>
                </w14:textFill>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9.</w:t>
            </w:r>
            <w:r>
              <w:rPr>
                <w:rFonts w:hint="eastAsia" w:ascii="仿宋" w:hAnsi="仿宋" w:eastAsia="仿宋" w:cs="仿宋"/>
                <w:color w:val="auto"/>
                <w:sz w:val="22"/>
                <w:szCs w:val="22"/>
              </w:rPr>
              <w:t>关健时期保障要求</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中标人需要负责关健时期的技术保障，提供技术支持，对于异常设备提前汇报并协助提供解决方案和措施。</w:t>
            </w:r>
          </w:p>
        </w:tc>
        <w:tc>
          <w:tcPr>
            <w:tcW w:w="1699"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vMerge w:val="continue"/>
            <w:tcBorders>
              <w:left w:val="single" w:color="auto" w:sz="4" w:space="0"/>
              <w:right w:val="single" w:color="auto" w:sz="4" w:space="0"/>
            </w:tcBorders>
            <w:shd w:val="clear" w:color="auto" w:fill="auto"/>
            <w:vAlign w:val="center"/>
          </w:tcPr>
          <w:p>
            <w:pPr>
              <w:widowControl/>
              <w:spacing w:after="78"/>
              <w:jc w:val="left"/>
              <w:rPr>
                <w:rFonts w:hint="eastAsia" w:ascii="仿宋" w:hAnsi="仿宋" w:eastAsia="仿宋" w:cs="仿宋"/>
                <w:color w:val="000000" w:themeColor="text1"/>
                <w:kern w:val="0"/>
                <w:sz w:val="22"/>
                <w:szCs w:val="22"/>
                <w14:textFill>
                  <w14:solidFill>
                    <w14:schemeClr w14:val="tx1"/>
                  </w14:solidFill>
                </w14:textFill>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rPr>
              <w:t>组织实施要求</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为确保本次招标项目管理规范、实施有力，中标人应成立项目组，按采购人要求完成项目的实施。中标人要按国家及深圳的有关法规、设计标准、技术规范，以及约定的工作内容、技术标准、工作进度和成果要求进行工作，在规定时间内完成采购人的服务要求，并对服务质量负责；</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2、中标人要配合采购人实施、完成采购人交付的各项任务，并对项目各工作阶段向采购人汇报，并提供相应的技术咨询服务。对所提交的各阶段工作进展文件，中标人须按照采购人提供的书面审查或审批意见进行修改完善。</w:t>
            </w:r>
          </w:p>
        </w:tc>
        <w:tc>
          <w:tcPr>
            <w:tcW w:w="1699"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vMerge w:val="continue"/>
            <w:tcBorders>
              <w:left w:val="single" w:color="auto" w:sz="4" w:space="0"/>
              <w:right w:val="single" w:color="auto" w:sz="4" w:space="0"/>
            </w:tcBorders>
            <w:shd w:val="clear" w:color="auto" w:fill="auto"/>
            <w:vAlign w:val="center"/>
          </w:tcPr>
          <w:p>
            <w:pPr>
              <w:widowControl/>
              <w:spacing w:after="78"/>
              <w:jc w:val="left"/>
              <w:rPr>
                <w:rFonts w:hint="eastAsia" w:ascii="仿宋" w:hAnsi="仿宋" w:eastAsia="仿宋" w:cs="仿宋"/>
                <w:color w:val="000000" w:themeColor="text1"/>
                <w:kern w:val="0"/>
                <w:sz w:val="22"/>
                <w:szCs w:val="22"/>
                <w14:textFill>
                  <w14:solidFill>
                    <w14:schemeClr w14:val="tx1"/>
                  </w14:solidFill>
                </w14:textFill>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11.</w:t>
            </w:r>
            <w:r>
              <w:rPr>
                <w:rFonts w:hint="eastAsia" w:ascii="仿宋" w:hAnsi="仿宋" w:eastAsia="仿宋" w:cs="仿宋"/>
                <w:color w:val="auto"/>
                <w:sz w:val="22"/>
                <w:szCs w:val="22"/>
              </w:rPr>
              <w:t>履约时项目人员安排要求</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1、为使项目按质、按量、按时、有序实施，中标人需提供具有相应从业资格和一定工作经验的技术团队，</w:t>
            </w:r>
            <w:r>
              <w:rPr>
                <w:rFonts w:hint="eastAsia" w:ascii="仿宋" w:hAnsi="仿宋" w:eastAsia="仿宋" w:cs="仿宋"/>
                <w:color w:val="FF0000"/>
                <w:sz w:val="22"/>
                <w:szCs w:val="22"/>
              </w:rPr>
              <w:t>驻场工作人人员≥</w:t>
            </w:r>
            <w:r>
              <w:rPr>
                <w:rFonts w:hint="eastAsia" w:ascii="仿宋" w:hAnsi="仿宋" w:eastAsia="仿宋" w:cs="仿宋"/>
                <w:color w:val="FF0000"/>
                <w:sz w:val="22"/>
                <w:szCs w:val="22"/>
                <w:lang w:val="en-US" w:eastAsia="zh-CN"/>
              </w:rPr>
              <w:t>12</w:t>
            </w:r>
            <w:r>
              <w:rPr>
                <w:rFonts w:hint="eastAsia" w:ascii="仿宋" w:hAnsi="仿宋" w:eastAsia="仿宋" w:cs="仿宋"/>
                <w:color w:val="FF0000"/>
                <w:sz w:val="22"/>
                <w:szCs w:val="22"/>
              </w:rPr>
              <w:t>名</w:t>
            </w:r>
            <w:r>
              <w:rPr>
                <w:rFonts w:hint="eastAsia" w:ascii="仿宋" w:hAnsi="仿宋" w:eastAsia="仿宋" w:cs="仿宋"/>
                <w:color w:val="auto"/>
                <w:sz w:val="22"/>
                <w:szCs w:val="22"/>
              </w:rPr>
              <w:t>（包含项目负责人），必须有一个完善且固定的项目驻场团队及项目负责人</w:t>
            </w:r>
            <w:r>
              <w:rPr>
                <w:rFonts w:hint="eastAsia" w:ascii="仿宋" w:hAnsi="仿宋" w:eastAsia="仿宋" w:cs="仿宋"/>
                <w:b/>
                <w:bCs/>
                <w:color w:val="auto"/>
                <w:sz w:val="22"/>
                <w:szCs w:val="22"/>
              </w:rPr>
              <w:t>（需提供承诺函，格式自拟）</w:t>
            </w:r>
            <w:r>
              <w:rPr>
                <w:rFonts w:hint="eastAsia" w:ascii="仿宋" w:hAnsi="仿宋" w:eastAsia="仿宋" w:cs="仿宋"/>
                <w:color w:val="auto"/>
                <w:sz w:val="22"/>
                <w:szCs w:val="22"/>
              </w:rPr>
              <w:t>。投标人中标后需提供本项目的人员名单并附上其详细资料，包括身份证、学历、职称资格文件。在项目服务期限内，项目组成员调整须提前一个月征得采购人同意后方可执行；</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2、遇特殊任务，采购人有权要求适当增派在岗人员，并延长工作时长。要求中标人在医院24小时有工程师值班，提高运维响应速度。中标人应给驻场工作人人员提供在职培训和继续教育计划。中标人应定期更新上述全体员工信息且发至采购人。</w:t>
            </w:r>
          </w:p>
        </w:tc>
        <w:tc>
          <w:tcPr>
            <w:tcW w:w="1699"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vMerge w:val="continue"/>
            <w:tcBorders>
              <w:left w:val="single" w:color="auto" w:sz="4" w:space="0"/>
              <w:right w:val="single" w:color="auto" w:sz="4" w:space="0"/>
            </w:tcBorders>
            <w:shd w:val="clear" w:color="auto" w:fill="auto"/>
            <w:vAlign w:val="center"/>
          </w:tcPr>
          <w:p>
            <w:pPr>
              <w:widowControl/>
              <w:spacing w:after="78"/>
              <w:jc w:val="left"/>
              <w:rPr>
                <w:rFonts w:hint="eastAsia" w:ascii="仿宋" w:hAnsi="仿宋" w:eastAsia="仿宋" w:cs="仿宋"/>
                <w:color w:val="000000" w:themeColor="text1"/>
                <w:kern w:val="0"/>
                <w:sz w:val="22"/>
                <w:szCs w:val="22"/>
                <w14:textFill>
                  <w14:solidFill>
                    <w14:schemeClr w14:val="tx1"/>
                  </w14:solidFill>
                </w14:textFill>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12.</w:t>
            </w:r>
            <w:r>
              <w:rPr>
                <w:rFonts w:hint="eastAsia" w:ascii="仿宋" w:hAnsi="仿宋" w:eastAsia="仿宋" w:cs="仿宋"/>
                <w:color w:val="auto"/>
                <w:sz w:val="22"/>
                <w:szCs w:val="22"/>
              </w:rPr>
              <w:t>设备管理要求</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1、为维修保养服务协助</w:t>
            </w:r>
            <w:r>
              <w:rPr>
                <w:rFonts w:hint="eastAsia" w:ascii="仿宋" w:hAnsi="仿宋" w:eastAsia="仿宋" w:cs="仿宋"/>
                <w:color w:val="auto"/>
                <w:sz w:val="22"/>
                <w:szCs w:val="22"/>
                <w:lang w:val="en-US" w:eastAsia="zh-CN"/>
              </w:rPr>
              <w:t>以市场优惠价格</w:t>
            </w:r>
            <w:r>
              <w:rPr>
                <w:rFonts w:hint="eastAsia" w:ascii="仿宋" w:hAnsi="仿宋" w:eastAsia="仿宋" w:cs="仿宋"/>
                <w:color w:val="auto"/>
                <w:sz w:val="22"/>
                <w:szCs w:val="22"/>
              </w:rPr>
              <w:t>采购相关零配件、备件等。对采购人现有和未来新增的全院医疗设备(无论是否出保)进行整体管理。</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2、中标人需对医院设备科应急库的办公设备、医疗设备、备用零配件等固定资产做好管理工作，对损坏、丢失的按资产原值对采购人进行赔偿。</w:t>
            </w:r>
          </w:p>
        </w:tc>
        <w:tc>
          <w:tcPr>
            <w:tcW w:w="1699"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vMerge w:val="continue"/>
            <w:tcBorders>
              <w:left w:val="single" w:color="auto" w:sz="4" w:space="0"/>
              <w:right w:val="single" w:color="auto" w:sz="4" w:space="0"/>
            </w:tcBorders>
            <w:shd w:val="clear" w:color="auto" w:fill="auto"/>
            <w:vAlign w:val="center"/>
          </w:tcPr>
          <w:p>
            <w:pPr>
              <w:widowControl/>
              <w:spacing w:after="78"/>
              <w:jc w:val="left"/>
              <w:rPr>
                <w:rFonts w:hint="eastAsia" w:ascii="仿宋" w:hAnsi="仿宋" w:eastAsia="仿宋" w:cs="仿宋"/>
                <w:color w:val="000000" w:themeColor="text1"/>
                <w:kern w:val="0"/>
                <w:sz w:val="22"/>
                <w:szCs w:val="22"/>
                <w14:textFill>
                  <w14:solidFill>
                    <w14:schemeClr w14:val="tx1"/>
                  </w14:solidFill>
                </w14:textFill>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13.</w:t>
            </w:r>
            <w:r>
              <w:rPr>
                <w:rFonts w:hint="eastAsia" w:ascii="仿宋" w:hAnsi="仿宋" w:eastAsia="仿宋" w:cs="仿宋"/>
                <w:color w:val="auto"/>
                <w:sz w:val="22"/>
                <w:szCs w:val="22"/>
              </w:rPr>
              <w:t>人员驻点要求</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1、投标人必须提供全年7*8.5小时（7：45-17：15）的服务，派遣不少于</w:t>
            </w:r>
            <w:r>
              <w:rPr>
                <w:rFonts w:hint="eastAsia" w:ascii="仿宋" w:hAnsi="仿宋" w:eastAsia="仿宋" w:cs="仿宋"/>
                <w:color w:val="FF0000"/>
                <w:sz w:val="22"/>
                <w:szCs w:val="22"/>
                <w:lang w:val="en-US" w:eastAsia="zh-CN"/>
              </w:rPr>
              <w:t>12</w:t>
            </w:r>
            <w:r>
              <w:rPr>
                <w:rFonts w:hint="eastAsia" w:ascii="仿宋" w:hAnsi="仿宋" w:eastAsia="仿宋" w:cs="仿宋"/>
                <w:color w:val="FF0000"/>
                <w:sz w:val="22"/>
                <w:szCs w:val="22"/>
              </w:rPr>
              <w:t>人的团队</w:t>
            </w:r>
            <w:r>
              <w:rPr>
                <w:rFonts w:hint="eastAsia" w:ascii="仿宋" w:hAnsi="仿宋" w:eastAsia="仿宋" w:cs="仿宋"/>
                <w:color w:val="auto"/>
                <w:sz w:val="22"/>
                <w:szCs w:val="22"/>
              </w:rPr>
              <w:t>（包含项目负责人）</w:t>
            </w:r>
            <w:r>
              <w:rPr>
                <w:rFonts w:hint="eastAsia" w:ascii="仿宋" w:hAnsi="仿宋" w:eastAsia="仿宋" w:cs="仿宋"/>
                <w:color w:val="auto"/>
                <w:sz w:val="22"/>
                <w:szCs w:val="22"/>
                <w:lang w:eastAsia="zh-CN"/>
              </w:rPr>
              <w:t>，</w:t>
            </w:r>
            <w:r>
              <w:rPr>
                <w:rFonts w:hint="eastAsia" w:ascii="仿宋" w:hAnsi="仿宋" w:eastAsia="仿宋" w:cs="仿宋"/>
                <w:color w:val="FF0000"/>
                <w:sz w:val="22"/>
                <w:szCs w:val="22"/>
                <w:lang w:eastAsia="zh-CN"/>
              </w:rPr>
              <w:t>且至少有</w:t>
            </w:r>
            <w:r>
              <w:rPr>
                <w:rFonts w:hint="eastAsia" w:ascii="仿宋" w:hAnsi="仿宋" w:eastAsia="仿宋" w:cs="仿宋"/>
                <w:color w:val="FF0000"/>
                <w:sz w:val="22"/>
                <w:szCs w:val="22"/>
                <w:lang w:val="en-US" w:eastAsia="zh-CN"/>
              </w:rPr>
              <w:t>4名可进行医疗质控检测的工程师和至少2名具有</w:t>
            </w:r>
            <w:r>
              <w:rPr>
                <w:rFonts w:hint="eastAsia" w:ascii="仿宋" w:hAnsi="仿宋" w:eastAsia="仿宋" w:cs="仿宋"/>
                <w:color w:val="FF0000"/>
                <w:sz w:val="22"/>
                <w:szCs w:val="22"/>
              </w:rPr>
              <w:t>血</w:t>
            </w:r>
            <w:r>
              <w:rPr>
                <w:rFonts w:hint="eastAsia" w:ascii="仿宋" w:hAnsi="仿宋" w:eastAsia="仿宋" w:cs="仿宋"/>
                <w:color w:val="FF0000"/>
                <w:sz w:val="22"/>
                <w:szCs w:val="22"/>
                <w:lang w:val="en-US" w:eastAsia="zh-CN"/>
              </w:rPr>
              <w:t>液</w:t>
            </w:r>
            <w:r>
              <w:rPr>
                <w:rFonts w:hint="eastAsia" w:ascii="仿宋" w:hAnsi="仿宋" w:eastAsia="仿宋" w:cs="仿宋"/>
                <w:color w:val="FF0000"/>
                <w:sz w:val="22"/>
                <w:szCs w:val="22"/>
              </w:rPr>
              <w:t>透</w:t>
            </w:r>
            <w:r>
              <w:rPr>
                <w:rFonts w:hint="eastAsia" w:ascii="仿宋" w:hAnsi="仿宋" w:eastAsia="仿宋" w:cs="仿宋"/>
                <w:color w:val="FF0000"/>
                <w:sz w:val="22"/>
                <w:szCs w:val="22"/>
                <w:lang w:val="en-US" w:eastAsia="zh-CN"/>
              </w:rPr>
              <w:t>析设备维护保养</w:t>
            </w:r>
            <w:r>
              <w:rPr>
                <w:rFonts w:hint="eastAsia" w:ascii="仿宋" w:hAnsi="仿宋" w:eastAsia="仿宋" w:cs="仿宋"/>
                <w:color w:val="FF0000"/>
                <w:sz w:val="22"/>
                <w:szCs w:val="22"/>
              </w:rPr>
              <w:t>类</w:t>
            </w:r>
            <w:r>
              <w:rPr>
                <w:rFonts w:hint="eastAsia" w:ascii="仿宋" w:hAnsi="仿宋" w:eastAsia="仿宋" w:cs="仿宋"/>
                <w:color w:val="FF0000"/>
                <w:sz w:val="22"/>
                <w:szCs w:val="22"/>
                <w:lang w:val="en-US" w:eastAsia="zh-CN"/>
              </w:rPr>
              <w:t>证书的工程师</w:t>
            </w:r>
            <w:r>
              <w:rPr>
                <w:rFonts w:hint="eastAsia" w:ascii="仿宋" w:hAnsi="仿宋" w:eastAsia="仿宋" w:cs="仿宋"/>
                <w:color w:val="auto"/>
                <w:sz w:val="22"/>
                <w:szCs w:val="22"/>
                <w:lang w:val="en-US" w:eastAsia="zh-CN"/>
              </w:rPr>
              <w:t>，</w:t>
            </w:r>
            <w:r>
              <w:rPr>
                <w:rFonts w:hint="eastAsia" w:ascii="仿宋" w:hAnsi="仿宋" w:eastAsia="仿宋" w:cs="仿宋"/>
                <w:color w:val="auto"/>
                <w:sz w:val="22"/>
                <w:szCs w:val="22"/>
              </w:rPr>
              <w:t>在医院提供全职驻场维护服务。以固定电话结合值班手机的方式保障全院尤其是门急诊、检查检验科室、住院病区等报障需求；</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2、中标人围绕采购人设备维护服务所聘用的工作人员必须身体健康 (向采购人提供工作员工有效期内的健康证) 、遵纪守法、无不良行为倾向，在上岗前须进行安全教育和与岗位相关的业务技能培训。</w:t>
            </w:r>
          </w:p>
        </w:tc>
        <w:tc>
          <w:tcPr>
            <w:tcW w:w="1699"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vMerge w:val="continue"/>
            <w:tcBorders>
              <w:left w:val="single" w:color="auto" w:sz="4" w:space="0"/>
              <w:right w:val="single" w:color="auto" w:sz="4" w:space="0"/>
            </w:tcBorders>
            <w:shd w:val="clear" w:color="auto" w:fill="auto"/>
            <w:vAlign w:val="center"/>
          </w:tcPr>
          <w:p>
            <w:pPr>
              <w:widowControl/>
              <w:spacing w:after="78"/>
              <w:jc w:val="left"/>
              <w:rPr>
                <w:rFonts w:hint="eastAsia" w:ascii="仿宋" w:hAnsi="仿宋" w:eastAsia="仿宋" w:cs="仿宋"/>
                <w:color w:val="000000" w:themeColor="text1"/>
                <w:kern w:val="0"/>
                <w:sz w:val="22"/>
                <w:szCs w:val="22"/>
                <w14:textFill>
                  <w14:solidFill>
                    <w14:schemeClr w14:val="tx1"/>
                  </w14:solidFill>
                </w14:textFill>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14.</w:t>
            </w:r>
            <w:r>
              <w:rPr>
                <w:rFonts w:hint="eastAsia" w:ascii="仿宋" w:hAnsi="仿宋" w:eastAsia="仿宋" w:cs="仿宋"/>
                <w:color w:val="auto"/>
                <w:sz w:val="22"/>
                <w:szCs w:val="22"/>
              </w:rPr>
              <w:t>驻场人员日常管理要求</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1、中标人保证驻点工程师按照医院规定时间上下班 ，如发现有迟到、早退、离岗，项目负责人记录一次扣维保费1000元/天,普通工程师记录一次扣维保费500元/天。保证全勤,每缺勤一天,扣相应天数维保费；</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2、服务期内，驻场人员因服务态度差，技术水平等原因 ，被临床科室一个月内有效投诉4次 (含) 以上的人员，采购人有权要求中标人立即更换具有以上相应资质的人员； 中标人指定的工程师工作不符合本合同要求的，采购人有权要求更换，中标人应自采购人提出更换要求之日起20个工作日内更换资质不低于原指定工程师资质并符合本合同其他要求的工程师提供服务，否则采购人有权按实际情况酌情扣除服务费；</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3、由于驻点工程师技术原因</w:t>
            </w:r>
            <w:r>
              <w:rPr>
                <w:rFonts w:hint="eastAsia" w:ascii="仿宋" w:hAnsi="仿宋" w:eastAsia="仿宋" w:cs="仿宋"/>
                <w:color w:val="auto"/>
                <w:sz w:val="22"/>
                <w:szCs w:val="22"/>
                <w:lang w:val="en-US" w:eastAsia="zh-CN"/>
              </w:rPr>
              <w:t>或工作疏忽</w:t>
            </w:r>
            <w:r>
              <w:rPr>
                <w:rFonts w:hint="eastAsia" w:ascii="仿宋" w:hAnsi="仿宋" w:eastAsia="仿宋" w:cs="仿宋"/>
                <w:color w:val="auto"/>
                <w:sz w:val="22"/>
                <w:szCs w:val="22"/>
              </w:rPr>
              <w:t>引起的仪器损坏，中标人需</w:t>
            </w:r>
            <w:r>
              <w:rPr>
                <w:rFonts w:hint="eastAsia" w:ascii="仿宋" w:hAnsi="仿宋" w:eastAsia="仿宋" w:cs="仿宋"/>
                <w:color w:val="auto"/>
                <w:sz w:val="22"/>
                <w:szCs w:val="22"/>
                <w:lang w:val="en-US" w:eastAsia="zh-CN"/>
              </w:rPr>
              <w:t>照价</w:t>
            </w:r>
            <w:r>
              <w:rPr>
                <w:rFonts w:hint="eastAsia" w:ascii="仿宋" w:hAnsi="仿宋" w:eastAsia="仿宋" w:cs="仿宋"/>
                <w:color w:val="auto"/>
                <w:sz w:val="22"/>
                <w:szCs w:val="22"/>
              </w:rPr>
              <w:t>进行赔偿。</w:t>
            </w:r>
          </w:p>
          <w:p>
            <w:pPr>
              <w:pStyle w:val="2"/>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4.如中标人驻场人员不能按合同规定及时响应甲方故障申告，视情节轻重按合同规定扣减当季度服务费。</w:t>
            </w:r>
          </w:p>
        </w:tc>
        <w:tc>
          <w:tcPr>
            <w:tcW w:w="1699"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vMerge w:val="continue"/>
            <w:tcBorders>
              <w:left w:val="single" w:color="auto" w:sz="4" w:space="0"/>
              <w:right w:val="single" w:color="auto" w:sz="4" w:space="0"/>
            </w:tcBorders>
            <w:shd w:val="clear" w:color="auto" w:fill="auto"/>
            <w:vAlign w:val="center"/>
          </w:tcPr>
          <w:p>
            <w:pPr>
              <w:widowControl/>
              <w:spacing w:after="78"/>
              <w:jc w:val="left"/>
              <w:rPr>
                <w:rFonts w:hint="eastAsia" w:ascii="仿宋" w:hAnsi="仿宋" w:eastAsia="仿宋" w:cs="仿宋"/>
                <w:color w:val="000000" w:themeColor="text1"/>
                <w:kern w:val="0"/>
                <w:sz w:val="22"/>
                <w:szCs w:val="22"/>
                <w14:textFill>
                  <w14:solidFill>
                    <w14:schemeClr w14:val="tx1"/>
                  </w14:solidFill>
                </w14:textFill>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15.</w:t>
            </w:r>
            <w:r>
              <w:rPr>
                <w:rFonts w:hint="eastAsia" w:ascii="仿宋" w:hAnsi="仿宋" w:eastAsia="仿宋" w:cs="仿宋"/>
                <w:color w:val="auto"/>
                <w:sz w:val="22"/>
                <w:szCs w:val="22"/>
              </w:rPr>
              <w:t>监督考评</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1、采购人建立每</w:t>
            </w:r>
            <w:r>
              <w:rPr>
                <w:rFonts w:hint="eastAsia" w:ascii="仿宋" w:hAnsi="仿宋" w:eastAsia="仿宋" w:cs="仿宋"/>
                <w:color w:val="auto"/>
                <w:sz w:val="22"/>
                <w:szCs w:val="22"/>
                <w:lang w:val="en-US" w:eastAsia="zh-CN"/>
              </w:rPr>
              <w:t>季度</w:t>
            </w:r>
            <w:r>
              <w:rPr>
                <w:rFonts w:hint="eastAsia" w:ascii="仿宋" w:hAnsi="仿宋" w:eastAsia="仿宋" w:cs="仿宋"/>
                <w:color w:val="auto"/>
                <w:sz w:val="22"/>
                <w:szCs w:val="22"/>
              </w:rPr>
              <w:t>考核评分制度，对中标人进行合同执行期间的每</w:t>
            </w:r>
            <w:r>
              <w:rPr>
                <w:rFonts w:hint="eastAsia" w:ascii="仿宋" w:hAnsi="仿宋" w:eastAsia="仿宋" w:cs="仿宋"/>
                <w:color w:val="auto"/>
                <w:sz w:val="22"/>
                <w:szCs w:val="22"/>
                <w:lang w:val="en-US" w:eastAsia="zh-CN"/>
              </w:rPr>
              <w:t>季度</w:t>
            </w:r>
            <w:r>
              <w:rPr>
                <w:rFonts w:hint="eastAsia" w:ascii="仿宋" w:hAnsi="仿宋" w:eastAsia="仿宋" w:cs="仿宋"/>
                <w:color w:val="auto"/>
                <w:sz w:val="22"/>
                <w:szCs w:val="22"/>
              </w:rPr>
              <w:t>监督检查评估工作，并根据检查结果进行相应处理</w:t>
            </w:r>
            <w:r>
              <w:rPr>
                <w:rFonts w:hint="eastAsia" w:ascii="仿宋" w:hAnsi="仿宋" w:eastAsia="仿宋" w:cs="仿宋"/>
                <w:color w:val="auto"/>
                <w:sz w:val="22"/>
                <w:szCs w:val="22"/>
                <w:lang w:val="en-US" w:eastAsia="zh-CN"/>
              </w:rPr>
              <w:t>和支付服务费</w:t>
            </w:r>
            <w:r>
              <w:rPr>
                <w:rFonts w:hint="eastAsia" w:ascii="仿宋" w:hAnsi="仿宋" w:eastAsia="仿宋" w:cs="仿宋"/>
                <w:color w:val="auto"/>
                <w:sz w:val="22"/>
                <w:szCs w:val="22"/>
              </w:rPr>
              <w:t>；中标人无条件接受采购人每</w:t>
            </w:r>
            <w:r>
              <w:rPr>
                <w:rFonts w:hint="eastAsia" w:ascii="仿宋" w:hAnsi="仿宋" w:eastAsia="仿宋" w:cs="仿宋"/>
                <w:color w:val="auto"/>
                <w:sz w:val="22"/>
                <w:szCs w:val="22"/>
                <w:lang w:val="en-US" w:eastAsia="zh-CN"/>
              </w:rPr>
              <w:t>季度</w:t>
            </w:r>
            <w:r>
              <w:rPr>
                <w:rFonts w:hint="eastAsia" w:ascii="仿宋" w:hAnsi="仿宋" w:eastAsia="仿宋" w:cs="仿宋"/>
                <w:color w:val="auto"/>
                <w:sz w:val="22"/>
                <w:szCs w:val="22"/>
              </w:rPr>
              <w:t>的监督考评</w:t>
            </w:r>
            <w:r>
              <w:rPr>
                <w:rFonts w:hint="eastAsia" w:ascii="仿宋" w:hAnsi="仿宋" w:eastAsia="仿宋" w:cs="仿宋"/>
                <w:color w:val="auto"/>
                <w:sz w:val="22"/>
                <w:szCs w:val="22"/>
                <w:lang w:val="en-US" w:eastAsia="zh-CN"/>
              </w:rPr>
              <w:t>结果。具体考核方式为：</w:t>
            </w:r>
            <w:r>
              <w:rPr>
                <w:rFonts w:hint="eastAsia" w:ascii="仿宋" w:hAnsi="仿宋" w:eastAsia="仿宋" w:cs="仿宋"/>
                <w:color w:val="auto"/>
                <w:sz w:val="22"/>
                <w:szCs w:val="22"/>
              </w:rPr>
              <w:t>每</w:t>
            </w:r>
            <w:r>
              <w:rPr>
                <w:rFonts w:hint="eastAsia" w:ascii="仿宋" w:hAnsi="仿宋" w:eastAsia="仿宋" w:cs="仿宋"/>
                <w:color w:val="auto"/>
                <w:sz w:val="22"/>
                <w:szCs w:val="22"/>
                <w:lang w:val="en-US" w:eastAsia="zh-CN"/>
              </w:rPr>
              <w:t>季度</w:t>
            </w:r>
            <w:r>
              <w:rPr>
                <w:rFonts w:hint="eastAsia" w:ascii="仿宋" w:hAnsi="仿宋" w:eastAsia="仿宋" w:cs="仿宋"/>
                <w:color w:val="auto"/>
                <w:sz w:val="22"/>
                <w:szCs w:val="22"/>
              </w:rPr>
              <w:t>结束前14天内完成上个</w:t>
            </w:r>
            <w:r>
              <w:rPr>
                <w:rFonts w:hint="eastAsia" w:ascii="仿宋" w:hAnsi="仿宋" w:eastAsia="仿宋" w:cs="仿宋"/>
                <w:color w:val="auto"/>
                <w:sz w:val="22"/>
                <w:szCs w:val="22"/>
                <w:lang w:val="en-US" w:eastAsia="zh-CN"/>
              </w:rPr>
              <w:t>季度</w:t>
            </w:r>
            <w:r>
              <w:rPr>
                <w:rFonts w:hint="eastAsia" w:ascii="仿宋" w:hAnsi="仿宋" w:eastAsia="仿宋" w:cs="仿宋"/>
                <w:color w:val="auto"/>
                <w:sz w:val="22"/>
                <w:szCs w:val="22"/>
              </w:rPr>
              <w:t>的监督考核，</w:t>
            </w:r>
            <w:r>
              <w:rPr>
                <w:rFonts w:hint="eastAsia" w:ascii="仿宋" w:hAnsi="仿宋" w:eastAsia="仿宋" w:cs="仿宋"/>
                <w:color w:val="auto"/>
                <w:sz w:val="22"/>
                <w:szCs w:val="22"/>
                <w:lang w:val="en-US" w:eastAsia="zh-CN"/>
              </w:rPr>
              <w:t>先</w:t>
            </w:r>
            <w:r>
              <w:rPr>
                <w:rFonts w:hint="eastAsia" w:ascii="仿宋" w:hAnsi="仿宋" w:eastAsia="仿宋" w:cs="仿宋"/>
                <w:color w:val="auto"/>
                <w:sz w:val="22"/>
                <w:szCs w:val="22"/>
              </w:rPr>
              <w:t>由中标人提供</w:t>
            </w:r>
            <w:r>
              <w:rPr>
                <w:rFonts w:hint="eastAsia" w:ascii="仿宋" w:hAnsi="仿宋" w:eastAsia="仿宋" w:cs="仿宋"/>
                <w:color w:val="auto"/>
                <w:sz w:val="22"/>
                <w:szCs w:val="22"/>
                <w:lang w:val="en-US" w:eastAsia="zh-CN"/>
              </w:rPr>
              <w:t>季</w:t>
            </w:r>
            <w:r>
              <w:rPr>
                <w:rFonts w:hint="eastAsia" w:ascii="仿宋" w:hAnsi="仿宋" w:eastAsia="仿宋" w:cs="仿宋"/>
                <w:color w:val="auto"/>
                <w:sz w:val="22"/>
                <w:szCs w:val="22"/>
              </w:rPr>
              <w:t>度服务工作报告，</w:t>
            </w:r>
            <w:r>
              <w:rPr>
                <w:rFonts w:hint="eastAsia" w:ascii="仿宋" w:hAnsi="仿宋" w:eastAsia="仿宋" w:cs="仿宋"/>
                <w:color w:val="auto"/>
                <w:sz w:val="22"/>
                <w:szCs w:val="22"/>
                <w:lang w:val="en-US" w:eastAsia="zh-CN"/>
              </w:rPr>
              <w:t>采购人再对中标人上一个季度的服务质量、水平和人员配置等进行考核。中标人</w:t>
            </w:r>
            <w:r>
              <w:rPr>
                <w:rFonts w:hint="eastAsia" w:ascii="仿宋" w:hAnsi="仿宋" w:eastAsia="仿宋" w:cs="仿宋"/>
                <w:color w:val="auto"/>
                <w:sz w:val="22"/>
                <w:szCs w:val="22"/>
              </w:rPr>
              <w:t>考核平均分需达到80分以上方能发放全额</w:t>
            </w:r>
            <w:r>
              <w:rPr>
                <w:rFonts w:hint="eastAsia" w:ascii="仿宋" w:hAnsi="仿宋" w:eastAsia="仿宋" w:cs="仿宋"/>
                <w:color w:val="auto"/>
                <w:sz w:val="22"/>
                <w:szCs w:val="22"/>
                <w:lang w:val="en-US" w:eastAsia="zh-CN"/>
              </w:rPr>
              <w:t>当期季度服务费</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60-80分</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含分数</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付款金额为当期</w:t>
            </w:r>
            <w:r>
              <w:rPr>
                <w:rFonts w:hint="eastAsia" w:ascii="仿宋" w:hAnsi="仿宋" w:eastAsia="仿宋" w:cs="仿宋"/>
                <w:color w:val="auto"/>
                <w:sz w:val="22"/>
                <w:szCs w:val="22"/>
                <w:lang w:val="en-US" w:eastAsia="zh-CN"/>
              </w:rPr>
              <w:t>季度服务</w:t>
            </w:r>
            <w:r>
              <w:rPr>
                <w:rFonts w:hint="eastAsia" w:ascii="仿宋" w:hAnsi="仿宋" w:eastAsia="仿宋" w:cs="仿宋"/>
                <w:color w:val="auto"/>
                <w:sz w:val="22"/>
                <w:szCs w:val="22"/>
              </w:rPr>
              <w:t>费用总额的90%；考核结果在60分以下</w:t>
            </w:r>
            <w:r>
              <w:rPr>
                <w:rFonts w:hint="eastAsia" w:ascii="仿宋" w:hAnsi="仿宋" w:eastAsia="仿宋" w:cs="仿宋"/>
                <w:color w:val="auto"/>
                <w:sz w:val="22"/>
                <w:szCs w:val="22"/>
                <w:lang w:val="en-US" w:eastAsia="zh-CN"/>
              </w:rPr>
              <w:t>采购人</w:t>
            </w:r>
            <w:r>
              <w:rPr>
                <w:rFonts w:hint="eastAsia" w:ascii="仿宋" w:hAnsi="仿宋" w:eastAsia="仿宋" w:cs="仿宋"/>
                <w:color w:val="auto"/>
                <w:sz w:val="22"/>
                <w:szCs w:val="22"/>
              </w:rPr>
              <w:t>不予支付当期</w:t>
            </w:r>
            <w:r>
              <w:rPr>
                <w:rFonts w:hint="eastAsia" w:ascii="仿宋" w:hAnsi="仿宋" w:eastAsia="仿宋" w:cs="仿宋"/>
                <w:color w:val="auto"/>
                <w:sz w:val="22"/>
                <w:szCs w:val="22"/>
                <w:lang w:val="en-US" w:eastAsia="zh-CN"/>
              </w:rPr>
              <w:t>季度服务</w:t>
            </w:r>
            <w:r>
              <w:rPr>
                <w:rFonts w:hint="eastAsia" w:ascii="仿宋" w:hAnsi="仿宋" w:eastAsia="仿宋" w:cs="仿宋"/>
                <w:color w:val="auto"/>
                <w:sz w:val="22"/>
                <w:szCs w:val="22"/>
              </w:rPr>
              <w:t>费用</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若连续两个</w:t>
            </w:r>
            <w:r>
              <w:rPr>
                <w:rFonts w:hint="eastAsia" w:ascii="仿宋" w:hAnsi="仿宋" w:eastAsia="仿宋" w:cs="仿宋"/>
                <w:color w:val="auto"/>
                <w:sz w:val="22"/>
                <w:szCs w:val="22"/>
                <w:lang w:val="en-US" w:eastAsia="zh-CN"/>
              </w:rPr>
              <w:t>季度</w:t>
            </w:r>
            <w:r>
              <w:rPr>
                <w:rFonts w:hint="eastAsia" w:ascii="仿宋" w:hAnsi="仿宋" w:eastAsia="仿宋" w:cs="仿宋"/>
                <w:color w:val="auto"/>
                <w:sz w:val="22"/>
                <w:szCs w:val="22"/>
              </w:rPr>
              <w:t>考核</w:t>
            </w:r>
            <w:r>
              <w:rPr>
                <w:rFonts w:hint="eastAsia" w:ascii="仿宋" w:hAnsi="仿宋" w:eastAsia="仿宋" w:cs="仿宋"/>
                <w:color w:val="auto"/>
                <w:sz w:val="22"/>
                <w:szCs w:val="22"/>
                <w:lang w:val="en-US" w:eastAsia="zh-CN"/>
              </w:rPr>
              <w:t>得分</w:t>
            </w:r>
            <w:r>
              <w:rPr>
                <w:rFonts w:hint="eastAsia" w:ascii="仿宋" w:hAnsi="仿宋" w:eastAsia="仿宋" w:cs="仿宋"/>
                <w:color w:val="auto"/>
                <w:sz w:val="22"/>
                <w:szCs w:val="22"/>
              </w:rPr>
              <w:t>低于60分，采购人有权终止合同；若一年内有两次考核</w:t>
            </w:r>
            <w:r>
              <w:rPr>
                <w:rFonts w:hint="eastAsia" w:ascii="仿宋" w:hAnsi="仿宋" w:eastAsia="仿宋" w:cs="仿宋"/>
                <w:color w:val="auto"/>
                <w:sz w:val="22"/>
                <w:szCs w:val="22"/>
                <w:lang w:val="en-US" w:eastAsia="zh-CN"/>
              </w:rPr>
              <w:t>得</w:t>
            </w:r>
            <w:r>
              <w:rPr>
                <w:rFonts w:hint="eastAsia" w:ascii="仿宋" w:hAnsi="仿宋" w:eastAsia="仿宋" w:cs="仿宋"/>
                <w:color w:val="auto"/>
                <w:sz w:val="22"/>
                <w:szCs w:val="22"/>
              </w:rPr>
              <w:t>分低于60分或无法达到采购人服务要求，采购人有权终止合同；</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2、临床科室有效投诉2次，根据情节严重扣除服务费金额</w:t>
            </w:r>
            <w:r>
              <w:rPr>
                <w:rFonts w:hint="eastAsia" w:ascii="仿宋" w:hAnsi="仿宋" w:eastAsia="仿宋" w:cs="仿宋"/>
                <w:color w:val="auto"/>
                <w:sz w:val="22"/>
                <w:szCs w:val="22"/>
                <w:lang w:val="en-US" w:eastAsia="zh-CN"/>
              </w:rPr>
              <w:t>人民币</w:t>
            </w:r>
            <w:r>
              <w:rPr>
                <w:rFonts w:hint="eastAsia" w:ascii="仿宋" w:hAnsi="仿宋" w:eastAsia="仿宋" w:cs="仿宋"/>
                <w:color w:val="auto"/>
                <w:sz w:val="22"/>
                <w:szCs w:val="22"/>
              </w:rPr>
              <w:t>500-2000元</w:t>
            </w:r>
            <w:r>
              <w:rPr>
                <w:rFonts w:hint="eastAsia" w:ascii="仿宋" w:hAnsi="仿宋" w:eastAsia="仿宋" w:cs="仿宋"/>
                <w:color w:val="auto"/>
                <w:sz w:val="22"/>
                <w:szCs w:val="22"/>
                <w:lang w:val="en-US" w:eastAsia="zh-CN"/>
              </w:rPr>
              <w:t>/次</w:t>
            </w:r>
            <w:r>
              <w:rPr>
                <w:rFonts w:hint="eastAsia" w:ascii="仿宋" w:hAnsi="仿宋" w:eastAsia="仿宋" w:cs="仿宋"/>
                <w:color w:val="auto"/>
                <w:sz w:val="22"/>
                <w:szCs w:val="22"/>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3、中标人不能依据合同条款按质按量完成工作 (如保养和质控工作未按计划完成) ，采购人有权</w:t>
            </w:r>
            <w:r>
              <w:rPr>
                <w:rFonts w:hint="eastAsia" w:ascii="仿宋" w:hAnsi="仿宋" w:eastAsia="仿宋" w:cs="仿宋"/>
                <w:color w:val="auto"/>
                <w:sz w:val="22"/>
                <w:szCs w:val="22"/>
                <w:lang w:val="en-US" w:eastAsia="zh-CN"/>
              </w:rPr>
              <w:t>视情节轻重扣除当季度服务费5%-10%；</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4、因设备维护不到位、档案不全等影响设备的正常使用或影响上级对采购人的评价结果的情况，采购人</w:t>
            </w:r>
            <w:r>
              <w:rPr>
                <w:rFonts w:hint="eastAsia" w:ascii="仿宋" w:hAnsi="仿宋" w:eastAsia="仿宋" w:cs="仿宋"/>
                <w:color w:val="auto"/>
                <w:sz w:val="22"/>
                <w:szCs w:val="22"/>
                <w:lang w:eastAsia="zh-CN"/>
              </w:rPr>
              <w:t>根据</w:t>
            </w:r>
            <w:r>
              <w:rPr>
                <w:rFonts w:hint="eastAsia" w:ascii="仿宋" w:hAnsi="仿宋" w:eastAsia="仿宋" w:cs="仿宋"/>
                <w:color w:val="auto"/>
                <w:sz w:val="22"/>
                <w:szCs w:val="22"/>
              </w:rPr>
              <w:t>情节严重程度扣除维保合同金额 1000-10000 元</w:t>
            </w:r>
            <w:r>
              <w:rPr>
                <w:rFonts w:hint="eastAsia" w:ascii="仿宋" w:hAnsi="仿宋" w:eastAsia="仿宋" w:cs="仿宋"/>
                <w:color w:val="auto"/>
                <w:sz w:val="22"/>
                <w:szCs w:val="22"/>
                <w:lang w:val="en-US" w:eastAsia="zh-CN"/>
              </w:rPr>
              <w:t>/次</w:t>
            </w:r>
            <w:r>
              <w:rPr>
                <w:rFonts w:hint="eastAsia" w:ascii="仿宋" w:hAnsi="仿宋" w:eastAsia="仿宋" w:cs="仿宋"/>
                <w:color w:val="auto"/>
                <w:sz w:val="22"/>
                <w:szCs w:val="22"/>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b/>
                <w:bCs/>
                <w:color w:val="auto"/>
                <w:sz w:val="22"/>
                <w:szCs w:val="22"/>
              </w:rPr>
              <w:t>★5、中标人不得参与采购人单位内部除本项目外的其他维修、保养相关的业务，提供承诺函（格式自拟）。</w:t>
            </w:r>
          </w:p>
        </w:tc>
        <w:tc>
          <w:tcPr>
            <w:tcW w:w="1699"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vMerge w:val="continue"/>
            <w:tcBorders>
              <w:left w:val="single" w:color="auto" w:sz="4" w:space="0"/>
              <w:right w:val="single" w:color="auto" w:sz="4" w:space="0"/>
            </w:tcBorders>
            <w:shd w:val="clear" w:color="auto" w:fill="auto"/>
            <w:vAlign w:val="center"/>
          </w:tcPr>
          <w:p>
            <w:pPr>
              <w:widowControl/>
              <w:spacing w:after="78"/>
              <w:jc w:val="left"/>
              <w:rPr>
                <w:rFonts w:hint="eastAsia" w:ascii="仿宋" w:hAnsi="仿宋" w:eastAsia="仿宋" w:cs="仿宋"/>
                <w:color w:val="000000" w:themeColor="text1"/>
                <w:kern w:val="0"/>
                <w:sz w:val="22"/>
                <w:szCs w:val="22"/>
                <w14:textFill>
                  <w14:solidFill>
                    <w14:schemeClr w14:val="tx1"/>
                  </w14:solidFill>
                </w14:textFill>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16.</w:t>
            </w:r>
            <w:r>
              <w:rPr>
                <w:rFonts w:hint="eastAsia" w:ascii="仿宋" w:hAnsi="仿宋" w:eastAsia="仿宋" w:cs="仿宋"/>
                <w:color w:val="auto"/>
                <w:sz w:val="22"/>
                <w:szCs w:val="22"/>
              </w:rPr>
              <w:t>验收要求</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bCs/>
                <w:color w:val="auto"/>
                <w:sz w:val="22"/>
                <w:szCs w:val="22"/>
              </w:rPr>
            </w:pPr>
            <w:r>
              <w:rPr>
                <w:rFonts w:hint="eastAsia" w:ascii="仿宋" w:hAnsi="仿宋" w:eastAsia="仿宋" w:cs="仿宋"/>
                <w:b/>
                <w:bCs/>
                <w:color w:val="auto"/>
                <w:sz w:val="22"/>
                <w:szCs w:val="22"/>
              </w:rPr>
              <w:t>★采购人按合同付款要求请款时对中标人进行评价，依照本项目招标文件需求内容、签署的采购合同及中标人在投标中所作的一切投标响应进行验收。</w:t>
            </w:r>
          </w:p>
        </w:tc>
        <w:tc>
          <w:tcPr>
            <w:tcW w:w="1699"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vMerge w:val="continue"/>
            <w:tcBorders>
              <w:left w:val="single" w:color="auto" w:sz="4" w:space="0"/>
              <w:right w:val="single" w:color="auto" w:sz="4" w:space="0"/>
            </w:tcBorders>
            <w:shd w:val="clear" w:color="auto" w:fill="auto"/>
            <w:vAlign w:val="center"/>
          </w:tcPr>
          <w:p>
            <w:pPr>
              <w:widowControl/>
              <w:spacing w:after="78"/>
              <w:jc w:val="left"/>
              <w:rPr>
                <w:rFonts w:hint="eastAsia" w:ascii="仿宋" w:hAnsi="仿宋" w:eastAsia="仿宋" w:cs="仿宋"/>
                <w:color w:val="000000" w:themeColor="text1"/>
                <w:kern w:val="0"/>
                <w:sz w:val="22"/>
                <w:szCs w:val="22"/>
                <w14:textFill>
                  <w14:solidFill>
                    <w14:schemeClr w14:val="tx1"/>
                  </w14:solidFill>
                </w14:textFill>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17.</w:t>
            </w:r>
            <w:r>
              <w:rPr>
                <w:rFonts w:hint="eastAsia" w:ascii="仿宋" w:hAnsi="仿宋" w:eastAsia="仿宋" w:cs="仿宋"/>
                <w:color w:val="auto"/>
                <w:sz w:val="22"/>
                <w:szCs w:val="22"/>
              </w:rPr>
              <w:t>保密要求</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bCs/>
                <w:color w:val="auto"/>
                <w:sz w:val="22"/>
                <w:szCs w:val="22"/>
              </w:rPr>
            </w:pPr>
            <w:r>
              <w:rPr>
                <w:rFonts w:hint="eastAsia" w:ascii="仿宋" w:hAnsi="仿宋" w:eastAsia="仿宋" w:cs="仿宋"/>
                <w:color w:val="auto"/>
                <w:sz w:val="22"/>
                <w:szCs w:val="22"/>
              </w:rPr>
              <w:t>▲投标人需承诺维护服务人员应严格遵守采购人有关法规和政府内部规章制度，不得擅自翻阅、复制、传播所接触的用户资料</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患者个人信息</w:t>
            </w:r>
            <w:r>
              <w:rPr>
                <w:rFonts w:hint="eastAsia" w:ascii="仿宋" w:hAnsi="仿宋" w:eastAsia="仿宋" w:cs="仿宋"/>
                <w:color w:val="auto"/>
                <w:sz w:val="22"/>
                <w:szCs w:val="22"/>
              </w:rPr>
              <w:t xml:space="preserve">或数据。中标人和维护服务人员在上岗前可与采购人签署保密协议书，保证不向外露用户设备数据或用作其他用途。 </w:t>
            </w:r>
            <w:r>
              <w:rPr>
                <w:rFonts w:hint="eastAsia" w:ascii="仿宋" w:hAnsi="仿宋" w:eastAsia="仿宋" w:cs="仿宋"/>
                <w:b/>
                <w:bCs/>
                <w:color w:val="auto"/>
                <w:sz w:val="22"/>
                <w:szCs w:val="22"/>
              </w:rPr>
              <w:t>(提供承诺函，格式自拟)</w:t>
            </w:r>
          </w:p>
        </w:tc>
        <w:tc>
          <w:tcPr>
            <w:tcW w:w="1699"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vMerge w:val="continue"/>
            <w:tcBorders>
              <w:left w:val="single" w:color="auto" w:sz="4" w:space="0"/>
              <w:right w:val="single" w:color="auto" w:sz="4" w:space="0"/>
            </w:tcBorders>
            <w:shd w:val="clear" w:color="auto" w:fill="auto"/>
            <w:vAlign w:val="center"/>
          </w:tcPr>
          <w:p>
            <w:pPr>
              <w:widowControl/>
              <w:spacing w:after="78"/>
              <w:jc w:val="left"/>
              <w:rPr>
                <w:rFonts w:hint="eastAsia" w:ascii="仿宋" w:hAnsi="仿宋" w:eastAsia="仿宋" w:cs="仿宋"/>
                <w:color w:val="000000" w:themeColor="text1"/>
                <w:kern w:val="0"/>
                <w:sz w:val="22"/>
                <w:szCs w:val="22"/>
                <w14:textFill>
                  <w14:solidFill>
                    <w14:schemeClr w14:val="tx1"/>
                  </w14:solidFill>
                </w14:textFill>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18.</w:t>
            </w:r>
            <w:r>
              <w:rPr>
                <w:rFonts w:hint="eastAsia" w:ascii="仿宋" w:hAnsi="仿宋" w:eastAsia="仿宋" w:cs="仿宋"/>
                <w:color w:val="auto"/>
                <w:sz w:val="22"/>
                <w:szCs w:val="22"/>
              </w:rPr>
              <w:t>安全要求</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b/>
                <w:bCs/>
                <w:color w:val="auto"/>
                <w:sz w:val="22"/>
                <w:szCs w:val="22"/>
              </w:rPr>
              <w:t>★ 中标人须提供驻场人员的防护物资(包括口罩、手套) ，做好安全防护工作。中标人须对驻场人员的人身安全负责，凡任何由于中标人驻场人员违章操作造成的安全事故</w:t>
            </w:r>
            <w:r>
              <w:rPr>
                <w:rFonts w:hint="eastAsia" w:ascii="仿宋" w:hAnsi="仿宋" w:eastAsia="仿宋" w:cs="仿宋"/>
                <w:b/>
                <w:bCs/>
                <w:color w:val="auto"/>
                <w:sz w:val="22"/>
                <w:szCs w:val="22"/>
                <w:lang w:val="en-US" w:eastAsia="zh-CN"/>
              </w:rPr>
              <w:t>或由于中标人驻场人员工作失误造成的损害责任</w:t>
            </w:r>
            <w:r>
              <w:rPr>
                <w:rFonts w:hint="eastAsia" w:ascii="仿宋" w:hAnsi="仿宋" w:eastAsia="仿宋" w:cs="仿宋"/>
                <w:b/>
                <w:bCs/>
                <w:color w:val="auto"/>
                <w:sz w:val="22"/>
                <w:szCs w:val="22"/>
              </w:rPr>
              <w:t>，采购人概不负责。</w:t>
            </w:r>
          </w:p>
        </w:tc>
        <w:tc>
          <w:tcPr>
            <w:tcW w:w="1699"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vMerge w:val="continue"/>
            <w:tcBorders>
              <w:left w:val="single" w:color="auto" w:sz="4" w:space="0"/>
              <w:right w:val="single" w:color="auto" w:sz="4" w:space="0"/>
            </w:tcBorders>
            <w:shd w:val="clear" w:color="auto" w:fill="auto"/>
            <w:vAlign w:val="center"/>
          </w:tcPr>
          <w:p>
            <w:pPr>
              <w:widowControl/>
              <w:spacing w:after="78"/>
              <w:jc w:val="left"/>
              <w:rPr>
                <w:rFonts w:hint="eastAsia" w:ascii="仿宋" w:hAnsi="仿宋" w:eastAsia="仿宋" w:cs="仿宋"/>
                <w:color w:val="000000" w:themeColor="text1"/>
                <w:kern w:val="0"/>
                <w:sz w:val="22"/>
                <w:szCs w:val="22"/>
                <w14:textFill>
                  <w14:solidFill>
                    <w14:schemeClr w14:val="tx1"/>
                  </w14:solidFill>
                </w14:textFill>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19.</w:t>
            </w:r>
            <w:r>
              <w:rPr>
                <w:rFonts w:hint="eastAsia" w:ascii="仿宋" w:hAnsi="仿宋" w:eastAsia="仿宋" w:cs="仿宋"/>
                <w:color w:val="auto"/>
                <w:sz w:val="22"/>
                <w:szCs w:val="22"/>
              </w:rPr>
              <w:t>其他要求</w:t>
            </w:r>
          </w:p>
        </w:tc>
        <w:tc>
          <w:tcPr>
            <w:tcW w:w="4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1、根据科室需要联系厂家进行操作培训；</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2、协助采购人定期进行医疗设备实物盘点清查；</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3、全力配合采购人接受各级部门检查；</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4、协助采购人进行医疗设备档案整理以及信息系统的档案维护；</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5、如因特殊情况，中标人需增加人手支持工作；</w:t>
            </w:r>
          </w:p>
        </w:tc>
        <w:tc>
          <w:tcPr>
            <w:tcW w:w="1699"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vMerge w:val="continue"/>
            <w:tcBorders>
              <w:left w:val="single" w:color="auto" w:sz="4" w:space="0"/>
              <w:bottom w:val="single" w:color="auto" w:sz="4" w:space="0"/>
              <w:right w:val="single" w:color="auto" w:sz="4" w:space="0"/>
            </w:tcBorders>
            <w:shd w:val="clear" w:color="auto" w:fill="auto"/>
            <w:vAlign w:val="center"/>
          </w:tcPr>
          <w:p>
            <w:pPr>
              <w:widowControl/>
              <w:spacing w:after="78"/>
              <w:jc w:val="left"/>
              <w:rPr>
                <w:rFonts w:hint="eastAsia" w:ascii="仿宋" w:hAnsi="仿宋" w:eastAsia="仿宋" w:cs="仿宋"/>
                <w:color w:val="000000" w:themeColor="text1"/>
                <w:kern w:val="0"/>
                <w:sz w:val="22"/>
                <w:szCs w:val="22"/>
                <w14:textFill>
                  <w14:solidFill>
                    <w14:schemeClr w14:val="tx1"/>
                  </w14:solidFill>
                </w14:textFill>
              </w:rPr>
            </w:pPr>
          </w:p>
        </w:tc>
        <w:tc>
          <w:tcPr>
            <w:tcW w:w="54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中标人需要提供2414台生命支持类设备质量控制检测服务，以采购人的实际设备数据为准。</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3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exact"/>
              </w:trPr>
              <w:tc>
                <w:tcPr>
                  <w:tcW w:w="2019" w:type="pct"/>
                  <w:noWrap w:val="0"/>
                  <w:vAlign w:val="center"/>
                </w:tcPr>
                <w:p>
                  <w:pPr>
                    <w:pStyle w:val="2"/>
                    <w:tabs>
                      <w:tab w:val="left" w:pos="540"/>
                    </w:tabs>
                    <w:adjustRightInd w:val="0"/>
                    <w:snapToGrid w:val="0"/>
                    <w:spacing w:line="360" w:lineRule="auto"/>
                    <w:ind w:left="0" w:leftChars="0" w:firstLine="0" w:firstLineChars="0"/>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项目</w:t>
                  </w:r>
                </w:p>
              </w:tc>
              <w:tc>
                <w:tcPr>
                  <w:tcW w:w="2980" w:type="pct"/>
                  <w:noWrap w:val="0"/>
                  <w:vAlign w:val="center"/>
                </w:tcPr>
                <w:p>
                  <w:pPr>
                    <w:pStyle w:val="2"/>
                    <w:tabs>
                      <w:tab w:val="left" w:pos="540"/>
                    </w:tabs>
                    <w:adjustRightInd w:val="0"/>
                    <w:snapToGrid w:val="0"/>
                    <w:spacing w:line="360" w:lineRule="auto"/>
                    <w:ind w:left="0" w:leftChars="0" w:firstLine="0" w:firstLineChars="0"/>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exact"/>
              </w:trPr>
              <w:tc>
                <w:tcPr>
                  <w:tcW w:w="2019" w:type="pct"/>
                  <w:noWrap w:val="0"/>
                  <w:vAlign w:val="center"/>
                </w:tcPr>
                <w:p>
                  <w:pPr>
                    <w:pStyle w:val="2"/>
                    <w:tabs>
                      <w:tab w:val="left" w:pos="540"/>
                    </w:tabs>
                    <w:adjustRightInd w:val="0"/>
                    <w:snapToGrid w:val="0"/>
                    <w:spacing w:line="360" w:lineRule="auto"/>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质控服务定期检测(一次/年）</w:t>
                  </w:r>
                </w:p>
              </w:tc>
              <w:tc>
                <w:tcPr>
                  <w:tcW w:w="2980" w:type="pct"/>
                  <w:noWrap w:val="0"/>
                  <w:vAlign w:val="center"/>
                </w:tcPr>
                <w:p>
                  <w:pPr>
                    <w:pStyle w:val="2"/>
                    <w:tabs>
                      <w:tab w:val="left" w:pos="540"/>
                    </w:tabs>
                    <w:adjustRightInd w:val="0"/>
                    <w:snapToGrid w:val="0"/>
                    <w:spacing w:line="360" w:lineRule="auto"/>
                    <w:ind w:left="0" w:leftChars="0" w:firstLine="0" w:firstLineChars="0"/>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急救生命支持类设备</w:t>
                  </w:r>
                </w:p>
              </w:tc>
            </w:tr>
          </w:tbl>
          <w:p>
            <w:pPr>
              <w:pStyle w:val="2"/>
              <w:rPr>
                <w:rFonts w:hint="eastAsia"/>
              </w:rPr>
            </w:pPr>
          </w:p>
        </w:tc>
        <w:tc>
          <w:tcPr>
            <w:tcW w:w="1699"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仿宋" w:hAnsi="仿宋" w:eastAsia="仿宋" w:cs="仿宋"/>
                <w:color w:val="auto"/>
                <w:sz w:val="22"/>
                <w:szCs w:val="22"/>
                <w:lang w:val="en-US" w:eastAsia="zh-CN"/>
              </w:rPr>
            </w:pPr>
          </w:p>
        </w:tc>
      </w:tr>
    </w:tbl>
    <w:p>
      <w:pPr>
        <w:rPr>
          <w:rFonts w:hint="default" w:ascii="方正楷体_GB2312" w:hAnsi="方正楷体_GB2312" w:eastAsia="方正楷体_GB2312" w:cs="方正楷体_GB2312"/>
          <w:sz w:val="16"/>
          <w:szCs w:val="16"/>
          <w:lang w:val="en-US" w:eastAsia="zh-CN"/>
        </w:rPr>
      </w:pPr>
    </w:p>
    <w:p>
      <w:pPr>
        <w:rPr>
          <w:rFonts w:hint="default" w:ascii="方正楷体_GB2312" w:hAnsi="方正楷体_GB2312" w:eastAsia="方正楷体_GB2312" w:cs="方正楷体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FF818B-3893-4082-91AE-313068BC7F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D56A764-20DC-4C01-A7E0-E419AB62BAFB}"/>
  </w:font>
  <w:font w:name="仿宋">
    <w:panose1 w:val="02010609060101010101"/>
    <w:charset w:val="86"/>
    <w:family w:val="modern"/>
    <w:pitch w:val="default"/>
    <w:sig w:usb0="800002BF" w:usb1="38CF7CFA" w:usb2="00000016" w:usb3="00000000" w:csb0="00040001" w:csb1="00000000"/>
    <w:embedRegular r:id="rId3" w:fontKey="{09B9F6A6-5572-43EE-BB26-49735C5F5743}"/>
  </w:font>
  <w:font w:name="方正小标宋简体">
    <w:panose1 w:val="02010600010101010101"/>
    <w:charset w:val="86"/>
    <w:family w:val="auto"/>
    <w:pitch w:val="default"/>
    <w:sig w:usb0="00000001" w:usb1="080E0000" w:usb2="00000000" w:usb3="00000000" w:csb0="00040000" w:csb1="00000000"/>
    <w:embedRegular r:id="rId4" w:fontKey="{4B0B2404-C389-4E64-A74F-9E8DDD463E2A}"/>
  </w:font>
  <w:font w:name="方正楷体_GB2312">
    <w:panose1 w:val="02000000000000000000"/>
    <w:charset w:val="86"/>
    <w:family w:val="auto"/>
    <w:pitch w:val="default"/>
    <w:sig w:usb0="A00002BF" w:usb1="184F6CFA" w:usb2="00000012" w:usb3="00000000" w:csb0="00040001" w:csb1="00000000"/>
    <w:embedRegular r:id="rId5" w:fontKey="{6C7A6D0D-3659-4BCA-A49E-87C93772B97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43316"/>
    <w:multiLevelType w:val="singleLevel"/>
    <w:tmpl w:val="8CE43316"/>
    <w:lvl w:ilvl="0" w:tentative="0">
      <w:start w:val="1"/>
      <w:numFmt w:val="decimal"/>
      <w:lvlText w:val="(%1)"/>
      <w:lvlJc w:val="left"/>
      <w:pPr>
        <w:ind w:left="425" w:hanging="425"/>
      </w:pPr>
      <w:rPr>
        <w:rFonts w:hint="default"/>
      </w:rPr>
    </w:lvl>
  </w:abstractNum>
  <w:abstractNum w:abstractNumId="1">
    <w:nsid w:val="9091F80B"/>
    <w:multiLevelType w:val="singleLevel"/>
    <w:tmpl w:val="9091F80B"/>
    <w:lvl w:ilvl="0" w:tentative="0">
      <w:start w:val="7"/>
      <w:numFmt w:val="chineseCounting"/>
      <w:suff w:val="nothing"/>
      <w:lvlText w:val="（%1）"/>
      <w:lvlJc w:val="left"/>
      <w:rPr>
        <w:rFonts w:hint="eastAsia"/>
      </w:rPr>
    </w:lvl>
  </w:abstractNum>
  <w:abstractNum w:abstractNumId="2">
    <w:nsid w:val="C30BA89B"/>
    <w:multiLevelType w:val="multilevel"/>
    <w:tmpl w:val="C30BA89B"/>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25C1ED1D"/>
    <w:multiLevelType w:val="singleLevel"/>
    <w:tmpl w:val="25C1ED1D"/>
    <w:lvl w:ilvl="0" w:tentative="0">
      <w:start w:val="1"/>
      <w:numFmt w:val="decimal"/>
      <w:lvlText w:val="%1."/>
      <w:lvlJc w:val="left"/>
      <w:pPr>
        <w:tabs>
          <w:tab w:val="left" w:pos="454"/>
        </w:tabs>
        <w:ind w:left="454" w:hanging="454"/>
      </w:pPr>
      <w:rPr>
        <w:rFonts w:hint="default"/>
      </w:rPr>
    </w:lvl>
  </w:abstractNum>
  <w:abstractNum w:abstractNumId="4">
    <w:nsid w:val="63BAD4DB"/>
    <w:multiLevelType w:val="singleLevel"/>
    <w:tmpl w:val="63BAD4DB"/>
    <w:lvl w:ilvl="0" w:tentative="0">
      <w:start w:val="14"/>
      <w:numFmt w:val="decimal"/>
      <w:suff w:val="nothing"/>
      <w:lvlText w:val="%1、"/>
      <w:lvlJc w:val="left"/>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YjhjOGVmNmE1ODdhZDEwYjgxNDY0MjE2MDFlZjMifQ=="/>
  </w:docVars>
  <w:rsids>
    <w:rsidRoot w:val="00000000"/>
    <w:rsid w:val="01675739"/>
    <w:rsid w:val="037979A5"/>
    <w:rsid w:val="043D2072"/>
    <w:rsid w:val="06B85617"/>
    <w:rsid w:val="08856DEC"/>
    <w:rsid w:val="08BA4CE8"/>
    <w:rsid w:val="09B5725D"/>
    <w:rsid w:val="0A8D3D36"/>
    <w:rsid w:val="0B9A7D7E"/>
    <w:rsid w:val="0C1B6FE5"/>
    <w:rsid w:val="0C2B7EAF"/>
    <w:rsid w:val="0E3F4ADC"/>
    <w:rsid w:val="0F0740B7"/>
    <w:rsid w:val="0F735BF1"/>
    <w:rsid w:val="0FBA4D2C"/>
    <w:rsid w:val="117A5014"/>
    <w:rsid w:val="11C664AC"/>
    <w:rsid w:val="12266F4A"/>
    <w:rsid w:val="13C909E4"/>
    <w:rsid w:val="142676D5"/>
    <w:rsid w:val="157D3325"/>
    <w:rsid w:val="15DB004C"/>
    <w:rsid w:val="166B7621"/>
    <w:rsid w:val="19260EA3"/>
    <w:rsid w:val="1A472B8C"/>
    <w:rsid w:val="1B423018"/>
    <w:rsid w:val="1BF6798D"/>
    <w:rsid w:val="1C3B1844"/>
    <w:rsid w:val="1CEE7B6A"/>
    <w:rsid w:val="1D232A04"/>
    <w:rsid w:val="1D884F5D"/>
    <w:rsid w:val="1DED79A4"/>
    <w:rsid w:val="1E2F356F"/>
    <w:rsid w:val="1E7E516C"/>
    <w:rsid w:val="1FC87893"/>
    <w:rsid w:val="20256A93"/>
    <w:rsid w:val="20615CC9"/>
    <w:rsid w:val="20684BD2"/>
    <w:rsid w:val="20FD698D"/>
    <w:rsid w:val="22003C37"/>
    <w:rsid w:val="226E1867"/>
    <w:rsid w:val="22B95C64"/>
    <w:rsid w:val="22C53076"/>
    <w:rsid w:val="24044C11"/>
    <w:rsid w:val="240B5FA0"/>
    <w:rsid w:val="248F4E23"/>
    <w:rsid w:val="267F67D1"/>
    <w:rsid w:val="270E1222"/>
    <w:rsid w:val="280B38A0"/>
    <w:rsid w:val="28DE3C83"/>
    <w:rsid w:val="29B42C36"/>
    <w:rsid w:val="29BA46F0"/>
    <w:rsid w:val="2A1D6A2D"/>
    <w:rsid w:val="2A93421F"/>
    <w:rsid w:val="2B0A3F4C"/>
    <w:rsid w:val="2BBF5FEE"/>
    <w:rsid w:val="2BE617CC"/>
    <w:rsid w:val="2C153E60"/>
    <w:rsid w:val="2CA3146B"/>
    <w:rsid w:val="30E91417"/>
    <w:rsid w:val="30FD1044"/>
    <w:rsid w:val="311A27C5"/>
    <w:rsid w:val="318D4498"/>
    <w:rsid w:val="31B07C06"/>
    <w:rsid w:val="32E26A66"/>
    <w:rsid w:val="346A6D13"/>
    <w:rsid w:val="3538296D"/>
    <w:rsid w:val="36B97ADD"/>
    <w:rsid w:val="36E47F7B"/>
    <w:rsid w:val="38833B06"/>
    <w:rsid w:val="3905242B"/>
    <w:rsid w:val="396C0E37"/>
    <w:rsid w:val="3A1219DE"/>
    <w:rsid w:val="3AC16F61"/>
    <w:rsid w:val="3B8E1539"/>
    <w:rsid w:val="3C776471"/>
    <w:rsid w:val="3E970704"/>
    <w:rsid w:val="3EA370A9"/>
    <w:rsid w:val="3EE85404"/>
    <w:rsid w:val="3F303DAA"/>
    <w:rsid w:val="3F6F51DD"/>
    <w:rsid w:val="40C94DC1"/>
    <w:rsid w:val="44112D07"/>
    <w:rsid w:val="44862B8A"/>
    <w:rsid w:val="44C47537"/>
    <w:rsid w:val="46B75DE7"/>
    <w:rsid w:val="4A8A736F"/>
    <w:rsid w:val="4A8C4AFC"/>
    <w:rsid w:val="4AB024C8"/>
    <w:rsid w:val="4B62209A"/>
    <w:rsid w:val="4E2E7292"/>
    <w:rsid w:val="4EEE4370"/>
    <w:rsid w:val="4F2204BE"/>
    <w:rsid w:val="4F602D94"/>
    <w:rsid w:val="512A18AC"/>
    <w:rsid w:val="518B234A"/>
    <w:rsid w:val="54273E81"/>
    <w:rsid w:val="54554E92"/>
    <w:rsid w:val="556918CE"/>
    <w:rsid w:val="56BA722E"/>
    <w:rsid w:val="591047A8"/>
    <w:rsid w:val="592F3F03"/>
    <w:rsid w:val="59A07C09"/>
    <w:rsid w:val="59E22D24"/>
    <w:rsid w:val="5B072A13"/>
    <w:rsid w:val="5BC008DF"/>
    <w:rsid w:val="5BF705DC"/>
    <w:rsid w:val="5C855BE8"/>
    <w:rsid w:val="5D0A122F"/>
    <w:rsid w:val="5E385608"/>
    <w:rsid w:val="5E410D3D"/>
    <w:rsid w:val="5F34278E"/>
    <w:rsid w:val="5F4D7048"/>
    <w:rsid w:val="5F8E477B"/>
    <w:rsid w:val="5FFF5CB2"/>
    <w:rsid w:val="60196362"/>
    <w:rsid w:val="611D6D37"/>
    <w:rsid w:val="62434A30"/>
    <w:rsid w:val="6361632C"/>
    <w:rsid w:val="655679E7"/>
    <w:rsid w:val="671D183F"/>
    <w:rsid w:val="67743CB6"/>
    <w:rsid w:val="682F10C6"/>
    <w:rsid w:val="6875012C"/>
    <w:rsid w:val="690A7BA1"/>
    <w:rsid w:val="69771871"/>
    <w:rsid w:val="69E71C90"/>
    <w:rsid w:val="6A0831FA"/>
    <w:rsid w:val="6A8A2CD2"/>
    <w:rsid w:val="6AC81AC2"/>
    <w:rsid w:val="6BD65659"/>
    <w:rsid w:val="6C0752F0"/>
    <w:rsid w:val="6C580C23"/>
    <w:rsid w:val="6D3B47CD"/>
    <w:rsid w:val="6D9F6377"/>
    <w:rsid w:val="6E0902F2"/>
    <w:rsid w:val="6E496D31"/>
    <w:rsid w:val="6E600263"/>
    <w:rsid w:val="6E8318A5"/>
    <w:rsid w:val="6F062BB9"/>
    <w:rsid w:val="6FFD3FBC"/>
    <w:rsid w:val="700F64AD"/>
    <w:rsid w:val="709C1A26"/>
    <w:rsid w:val="70E17439"/>
    <w:rsid w:val="717F0F85"/>
    <w:rsid w:val="74185868"/>
    <w:rsid w:val="74957A9C"/>
    <w:rsid w:val="761A519B"/>
    <w:rsid w:val="773D7165"/>
    <w:rsid w:val="77440722"/>
    <w:rsid w:val="77FA34D6"/>
    <w:rsid w:val="78116641"/>
    <w:rsid w:val="781C6CEE"/>
    <w:rsid w:val="78680440"/>
    <w:rsid w:val="789314F6"/>
    <w:rsid w:val="791B6B26"/>
    <w:rsid w:val="79A92E6E"/>
    <w:rsid w:val="7A796935"/>
    <w:rsid w:val="7A8A6D94"/>
    <w:rsid w:val="7AEF4E49"/>
    <w:rsid w:val="7C712EBC"/>
    <w:rsid w:val="7CDE5175"/>
    <w:rsid w:val="7CFC55FB"/>
    <w:rsid w:val="7EC00FD6"/>
    <w:rsid w:val="7F19538E"/>
    <w:rsid w:val="7F797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annotation text"/>
    <w:basedOn w:val="1"/>
    <w:qFormat/>
    <w:uiPriority w:val="0"/>
    <w:pPr>
      <w:jc w:val="left"/>
    </w:pPr>
  </w:style>
  <w:style w:type="paragraph" w:styleId="4">
    <w:name w:val="Body Text"/>
    <w:basedOn w:val="1"/>
    <w:next w:val="5"/>
    <w:qFormat/>
    <w:uiPriority w:val="0"/>
    <w:pPr>
      <w:spacing w:line="360" w:lineRule="auto"/>
    </w:pPr>
    <w:rPr>
      <w:b/>
      <w:bCs/>
      <w:sz w:val="24"/>
    </w:rPr>
  </w:style>
  <w:style w:type="paragraph" w:styleId="5">
    <w:name w:val="Body Text 2"/>
    <w:basedOn w:val="1"/>
    <w:qFormat/>
    <w:uiPriority w:val="0"/>
    <w:pPr>
      <w:spacing w:line="360" w:lineRule="auto"/>
    </w:pPr>
    <w:rPr>
      <w:sz w:val="24"/>
    </w:rPr>
  </w:style>
  <w:style w:type="paragraph" w:styleId="6">
    <w:name w:val="Body Text Indent"/>
    <w:basedOn w:val="1"/>
    <w:qFormat/>
    <w:uiPriority w:val="0"/>
    <w:pPr>
      <w:spacing w:line="360" w:lineRule="auto"/>
      <w:ind w:left="720" w:hanging="720" w:hangingChars="300"/>
    </w:pPr>
    <w:rPr>
      <w:sz w:val="24"/>
    </w:rPr>
  </w:style>
  <w:style w:type="paragraph" w:styleId="7">
    <w:name w:val="envelope return"/>
    <w:basedOn w:val="1"/>
    <w:qFormat/>
    <w:uiPriority w:val="99"/>
    <w:rPr>
      <w:rFonts w:ascii="Arial" w:hAnsi="Arial"/>
    </w:rPr>
  </w:style>
  <w:style w:type="paragraph" w:styleId="8">
    <w:name w:val="Body Text First Indent 2"/>
    <w:basedOn w:val="6"/>
    <w:qFormat/>
    <w:uiPriority w:val="0"/>
    <w:pPr>
      <w:spacing w:after="120" w:line="240" w:lineRule="auto"/>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纯文本1"/>
    <w:basedOn w:val="1"/>
    <w:qFormat/>
    <w:uiPriority w:val="0"/>
    <w:rPr>
      <w:rFonts w:ascii="宋体" w:hAnsi="Courier New" w:eastAsia="宋体" w:cs="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5957</Words>
  <Characters>6133</Characters>
  <Lines>0</Lines>
  <Paragraphs>0</Paragraphs>
  <TotalTime>1</TotalTime>
  <ScaleCrop>false</ScaleCrop>
  <LinksUpToDate>false</LinksUpToDate>
  <CharactersWithSpaces>6158</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2025-07-23T07:24:00Z</dcterms:created>
  <dc:creator>19675</dc:creator>
  <cp:lastModifiedBy>阿营</cp:lastModifiedBy>
  <dcterms:modified xsi:type="dcterms:W3CDTF">2025-12-22T12:11:35Z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KSOTemplateDocerSaveRecord">
    <vt:lpwstr>eyJoZGlkIjoiYjM4ZTZiMzMyZDVkYWY5NTRlMTllY2UwYzRjNmQ5ZmUiLCJ1c2VySWQiOiIxNDg2ODI2Mzk1In0=</vt:lpwstr>
  </property>
  <property fmtid="{D5CDD505-2E9C-101B-9397-08002B2CF9AE}" pid="4" name="ICV">
    <vt:lpwstr>9B6276CD57FD4BFFBC353DCDCF7D3043_12</vt:lpwstr>
  </property>
</Properties>
</file>