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085E2">
      <w:pPr>
        <w:jc w:val="center"/>
        <w:rPr>
          <w:rFonts w:hint="eastAsia" w:ascii="仿宋" w:hAnsi="仿宋" w:eastAsia="仿宋"/>
          <w:b/>
          <w:sz w:val="32"/>
          <w:szCs w:val="32"/>
        </w:rPr>
      </w:pPr>
      <w:r>
        <w:rPr>
          <w:rFonts w:hint="eastAsia" w:ascii="仿宋" w:hAnsi="仿宋" w:eastAsia="仿宋"/>
          <w:b/>
          <w:sz w:val="32"/>
          <w:szCs w:val="32"/>
        </w:rPr>
        <w:t>评审因素和评审标准</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6876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78D0F15">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29888C9F">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43136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3FF60EF">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37368EDC">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6AFD9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5A44183A">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01624C48">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33150627">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899CF26">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4FACC6FF">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325B133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014FE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E5D0061">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70E44C4C">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65</w:t>
            </w:r>
          </w:p>
        </w:tc>
      </w:tr>
      <w:tr w14:paraId="3F5CA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29A5CF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26ED4D1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78B35D2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140A377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66FE284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A1D4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6060F46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028BFEC4">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4FB94A4B">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1263F5B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1FD64F7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7BB4385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4BE32C57">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6528D67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6AB7F99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EEF848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35BB107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474A47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69D72CC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7EDD67D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0EE5A0FD">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1A5DC36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8AD8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01E6DDB">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5A6956C1">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6320F0B">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1977E62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27C6034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72784D5F">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0C3D378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23877C20">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1FB1A1CE">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7C992EE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BAA4B2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F12308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27DD3DB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，加4分；</w:t>
            </w:r>
          </w:p>
          <w:p w14:paraId="6D9604E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2F45EC54">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28881C2C">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DD4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04FA36F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0E1A8595">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2A836A4A">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0E91657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AEE2BC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1E11FE7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335C8D5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00A67E6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0E4CC3D6">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201B0F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5EF29B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31F5CB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25344F1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，加4分；</w:t>
            </w:r>
          </w:p>
          <w:p w14:paraId="62CA80C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0DBBAD03">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73E9079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B4BE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76108518">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72CEE6FF">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0680B974">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357518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17DED52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5AA4D6D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00D3F35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5E2B31A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3A1C1CAC">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6384CB59">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7879FF8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3CA4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28EEFE96">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73A993BC">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4B958BEE">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4326146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26E8D52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4D464C67">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1CEDE256">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6D10CBB1">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386325F6">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EB40E21">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6C8EF7E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3CAD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430D6626">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7414906D">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53F59085">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0EB61FF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BF47AC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6D1610E8">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w:t>
            </w:r>
            <w:bookmarkStart w:id="0" w:name="OLE_LINK2"/>
            <w:r>
              <w:rPr>
                <w:rFonts w:hint="eastAsia" w:asciiTheme="minorEastAsia" w:hAnsiTheme="minorEastAsia" w:eastAsiaTheme="minorEastAsia"/>
                <w:szCs w:val="21"/>
                <w:highlight w:val="none"/>
              </w:rPr>
              <w:t>具有全日制本科或以上学历的得3分；</w:t>
            </w:r>
          </w:p>
          <w:p w14:paraId="0293898C">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（2）具有原厂培训资格认证证书的得3分；</w:t>
            </w:r>
          </w:p>
          <w:p w14:paraId="71107DAC">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（3）具有同类项目担任项目负责人工作经验得4分。</w:t>
            </w:r>
          </w:p>
          <w:bookmarkEnd w:id="0"/>
          <w:p w14:paraId="6E04C562">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815406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7255914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57B432E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3711B28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3CFB442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0E736FB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D9121CE">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5740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8CFB8B9">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33EE76A9">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5E4B08FC">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7FA4925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78F4243">
            <w:pPr>
              <w:spacing w:line="360" w:lineRule="exact"/>
              <w:rPr>
                <w:rFonts w:hint="eastAsia"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拟安排的项目团队成员（项目负责人除外）</w:t>
            </w:r>
            <w:r>
              <w:rPr>
                <w:rFonts w:hint="eastAsia" w:asciiTheme="minorEastAsia" w:hAnsiTheme="minorEastAsia" w:eastAsiaTheme="minorEastAsia"/>
                <w:szCs w:val="21"/>
                <w:highlight w:val="none"/>
              </w:rPr>
              <w:t>需为投标人</w:t>
            </w:r>
            <w:r>
              <w:rPr>
                <w:rFonts w:hint="eastAsia" w:asciiTheme="minorEastAsia" w:hAnsiTheme="minorEastAsia" w:eastAsiaTheme="minorEastAsia"/>
                <w:color w:val="000000" w:themeColor="text1"/>
                <w:szCs w:val="21"/>
                <w:highlight w:val="none"/>
                <w14:textFill>
                  <w14:solidFill>
                    <w14:schemeClr w14:val="tx1"/>
                  </w14:solidFill>
                </w14:textFill>
              </w:rPr>
              <w:t>正式聘任</w:t>
            </w:r>
            <w:r>
              <w:rPr>
                <w:rFonts w:hint="eastAsia" w:asciiTheme="minorEastAsia" w:hAnsiTheme="minorEastAsia" w:eastAsiaTheme="minorEastAsia"/>
                <w:szCs w:val="21"/>
                <w:highlight w:val="none"/>
              </w:rPr>
              <w:t>员工，否则本项不得分。在此基础上，按以下标准评分：</w:t>
            </w:r>
          </w:p>
          <w:p w14:paraId="578E756C">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（1）具有全日制本科或以上学历的得5分；</w:t>
            </w:r>
          </w:p>
          <w:p w14:paraId="0F3B95D7">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（2）具有原厂培训资格认证证书的得5分；</w:t>
            </w:r>
          </w:p>
          <w:p w14:paraId="7BF01844">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（3）具有同类项目担任项目负责人工作经验得5分。</w:t>
            </w:r>
          </w:p>
          <w:p w14:paraId="1627FE67">
            <w:pPr>
              <w:spacing w:line="360" w:lineRule="exact"/>
              <w:rPr>
                <w:rFonts w:hint="eastAsia" w:asciiTheme="minorEastAsia" w:hAnsiTheme="minorEastAsia" w:eastAsiaTheme="minorEastAsia"/>
                <w:szCs w:val="21"/>
                <w:highlight w:val="yellow"/>
              </w:rPr>
            </w:pPr>
          </w:p>
          <w:p w14:paraId="0FE704CA">
            <w:pPr>
              <w:spacing w:line="360" w:lineRule="exact"/>
              <w:rPr>
                <w:rFonts w:hint="eastAsia"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2CAF6A8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096E99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188C9F0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65BC859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0C5E9DD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24DB3294">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083024F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A060ED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D3F8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1F3F595D">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5C53FDE1">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25</w:t>
            </w:r>
          </w:p>
        </w:tc>
      </w:tr>
      <w:tr w14:paraId="0D14B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29A9F64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859EC1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CC40B1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77E9992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57A5C21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301FA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6E73218B">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51DABF91">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4FF3F112">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3</w:t>
            </w:r>
          </w:p>
        </w:tc>
        <w:tc>
          <w:tcPr>
            <w:tcW w:w="5953" w:type="dxa"/>
            <w:vAlign w:val="center"/>
          </w:tcPr>
          <w:p w14:paraId="5C741FB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DF2C4E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w:t>
            </w:r>
            <w:r>
              <w:rPr>
                <w:rFonts w:asciiTheme="minorEastAsia" w:hAnsiTheme="minorEastAsia" w:eastAsiaTheme="minorEastAsia"/>
                <w:kern w:val="0"/>
                <w:szCs w:val="21"/>
              </w:rPr>
              <w:t>ISO14001</w:t>
            </w:r>
            <w:r>
              <w:rPr>
                <w:rFonts w:hint="eastAsia" w:asciiTheme="minorEastAsia" w:hAnsiTheme="minorEastAsia" w:eastAsiaTheme="minorEastAsia"/>
                <w:kern w:val="0"/>
                <w:szCs w:val="21"/>
              </w:rPr>
              <w:t>环境管理体系认证证书、ISO45001职业健康安全管理体系认证证书，提供1个有效认证证书得1分，最高得3分。</w:t>
            </w:r>
          </w:p>
          <w:p w14:paraId="15793FB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78F23E1">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79604FFE">
            <w:pPr>
              <w:autoSpaceDE w:val="0"/>
              <w:autoSpaceDN w:val="0"/>
              <w:adjustRightInd w:val="0"/>
              <w:spacing w:line="360" w:lineRule="exact"/>
              <w:jc w:val="left"/>
              <w:rPr>
                <w:rFonts w:hint="eastAsia"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7EE9BAA1">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67A9C053">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76442A82">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787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4A826FDA">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909D591">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5952C735">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12</w:t>
            </w:r>
          </w:p>
        </w:tc>
        <w:tc>
          <w:tcPr>
            <w:tcW w:w="5953" w:type="dxa"/>
            <w:vAlign w:val="center"/>
          </w:tcPr>
          <w:p w14:paraId="57B12A8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2BA2516">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或评价中最高等级（以评分作为评价结果的不予计算）</w:t>
            </w:r>
            <w:r>
              <w:rPr>
                <w:rFonts w:hint="eastAsia" w:cs="宋体" w:asciiTheme="minorEastAsia" w:hAnsiTheme="minorEastAsia" w:eastAsiaTheme="minorEastAsia"/>
                <w:szCs w:val="21"/>
              </w:rPr>
              <w:t>，每提供1个项目得4分,最高得12分。同一项目续签合同的不可重复得分。</w:t>
            </w:r>
          </w:p>
          <w:p w14:paraId="7A2D89D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00EF16D">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1850AC1B">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69E7428D">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67F104A5">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244C1D96">
            <w:pPr>
              <w:adjustRightInd w:val="0"/>
              <w:snapToGrid w:val="0"/>
              <w:spacing w:line="360" w:lineRule="exact"/>
              <w:rPr>
                <w:rFonts w:hint="eastAsia"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1717CFB2">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2058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7B54CD82">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7F5CF15A">
            <w:pPr>
              <w:spacing w:line="360" w:lineRule="exact"/>
              <w:jc w:val="center"/>
              <w:rPr>
                <w:rFonts w:hint="eastAsia" w:cs="仿宋" w:asciiTheme="minorEastAsia" w:hAnsiTheme="minorEastAsia" w:eastAsiaTheme="minorEastAsia"/>
                <w:szCs w:val="21"/>
              </w:rPr>
            </w:pPr>
            <w:r>
              <w:rPr>
                <w:rFonts w:hint="eastAsia" w:asciiTheme="minorEastAsia" w:hAnsiTheme="minorEastAsia" w:eastAsiaTheme="minorEastAsia"/>
                <w:kern w:val="0"/>
                <w:szCs w:val="21"/>
                <w:lang w:val="zh-CN"/>
              </w:rPr>
              <w:t>获奖（荣誉）情况</w:t>
            </w:r>
          </w:p>
        </w:tc>
        <w:tc>
          <w:tcPr>
            <w:tcW w:w="709" w:type="dxa"/>
            <w:vAlign w:val="center"/>
          </w:tcPr>
          <w:p w14:paraId="2BA41716">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5116778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5F4CD16">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szCs w:val="21"/>
              </w:rPr>
              <w:t>2021</w:t>
            </w:r>
            <w:r>
              <w:rPr>
                <w:rFonts w:hint="eastAsia" w:cs="宋体" w:asciiTheme="minorEastAsia" w:hAnsiTheme="minorEastAsia" w:eastAsiaTheme="minorEastAsia"/>
                <w:bCs/>
                <w:kern w:val="0"/>
                <w:szCs w:val="21"/>
              </w:rPr>
              <w:t>年1月1日至</w:t>
            </w:r>
            <w:r>
              <w:rPr>
                <w:rFonts w:hint="eastAsia" w:cs="宋体" w:asciiTheme="minorEastAsia" w:hAnsiTheme="minorEastAsia" w:eastAsiaTheme="minorEastAsia"/>
                <w:szCs w:val="21"/>
              </w:rPr>
              <w:t>本项目投标截止日</w:t>
            </w:r>
            <w:r>
              <w:rPr>
                <w:rFonts w:hint="eastAsia" w:cs="宋体" w:asciiTheme="minorEastAsia" w:hAnsiTheme="minorEastAsia" w:eastAsiaTheme="minorEastAsia"/>
                <w:bCs/>
                <w:kern w:val="0"/>
                <w:szCs w:val="21"/>
              </w:rPr>
              <w:t>（以证书颁发日期为准），投标人获得以下荣誉或奖项：</w:t>
            </w:r>
          </w:p>
          <w:p w14:paraId="7B6CAAAB">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1）国家级奖项每一个得5分；</w:t>
            </w:r>
          </w:p>
          <w:p w14:paraId="12DC4E9F">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2）省级或以上奖项每一个得2.5分；</w:t>
            </w:r>
          </w:p>
          <w:p w14:paraId="28C0DDD7">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3）市级或以上奖项每一个得1分；</w:t>
            </w:r>
          </w:p>
          <w:p w14:paraId="0A0B3DCD">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4）其他不得分，累计最高得5分。</w:t>
            </w:r>
          </w:p>
          <w:p w14:paraId="6C4E99E4">
            <w:pPr>
              <w:autoSpaceDE w:val="0"/>
              <w:autoSpaceDN w:val="0"/>
              <w:adjustRightInd w:val="0"/>
              <w:spacing w:line="360" w:lineRule="exact"/>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国家级奖项要求颁发单位为国务院或国家部委；省级奖项要求颁发单位为省级（含自治区、直辖市）人民政府（或行业主管行政机关），不含副省级；市级奖项要求颁发单位为市级人民政府（或行业主管行政机关）。</w:t>
            </w:r>
          </w:p>
          <w:p w14:paraId="1E72B76B">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1F3337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 要求提供奖项照片或获奖（荣誉）证书作为得分依据；</w:t>
            </w:r>
          </w:p>
          <w:p w14:paraId="5A09A9BA">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FC13470">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4BEA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5A1D8E2B">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3AE3F757">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569497C6">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1D8F7899">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4124E1D">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6D4B81C7">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213D1A06">
      <w:pPr>
        <w:spacing w:line="440" w:lineRule="exact"/>
        <w:ind w:firstLine="482" w:firstLineChars="200"/>
        <w:jc w:val="left"/>
        <w:rPr>
          <w:rFonts w:hint="eastAsia" w:ascii="仿宋_GB2312" w:hAnsi="华文仿宋" w:eastAsia="仿宋_GB2312"/>
          <w:sz w:val="24"/>
        </w:rPr>
      </w:pPr>
      <w:r>
        <w:rPr>
          <w:rFonts w:hint="eastAsia" w:ascii="仿宋_GB2312" w:hAnsi="华文仿宋" w:eastAsia="仿宋_GB2312"/>
          <w:b/>
          <w:bCs/>
          <w:color w:val="FF0000"/>
          <w:sz w:val="24"/>
        </w:rPr>
        <w:t>注意事项</w:t>
      </w:r>
      <w:r>
        <w:rPr>
          <w:rFonts w:hint="eastAsia" w:ascii="仿宋_GB2312" w:hAnsi="华文仿宋" w:eastAsia="仿宋_GB2312"/>
          <w:sz w:val="24"/>
        </w:rPr>
        <w:t>：供应商资格设置、评审因素和评审标准必须符合以下法律法规要求（包括但不限于）具体如下：</w:t>
      </w:r>
    </w:p>
    <w:p w14:paraId="401C1360">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1.《中华人民共和国政府采购法实施条例》第二十条 采购人或者采购代理机构有下列情形之一的，属于以不合理的条件对供应商实行差别待遇或者歧视待遇：</w:t>
      </w:r>
    </w:p>
    <w:p w14:paraId="10201063">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（一）就同一采购项目向供应商提供有差别的项目信息；</w:t>
      </w:r>
    </w:p>
    <w:p w14:paraId="39215685">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（二）设定的资格、技术、商务条件与采购项目的具体特点和实际需要不相适应或者与合同履行无关；</w:t>
      </w:r>
    </w:p>
    <w:p w14:paraId="4F00FAC4">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（三）采购需求中的技术、服务等要求指向特定供应商、特定产品；</w:t>
      </w:r>
    </w:p>
    <w:p w14:paraId="73A111DC">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（四）以特定行政区域或者特定行业的业绩、奖项作为加分条件或者中标、成交条件；</w:t>
      </w:r>
    </w:p>
    <w:p w14:paraId="05370AE7">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（五）对供应商采取不同的资格审查或者评审标准；</w:t>
      </w:r>
    </w:p>
    <w:p w14:paraId="2BA9FBA3">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（六）限定或者指定特定的专利、商标、品牌或者供应商；</w:t>
      </w:r>
    </w:p>
    <w:p w14:paraId="33276D23">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（七）非法限定供应商的所有制形式、组织形式或者所在地；</w:t>
      </w:r>
    </w:p>
    <w:p w14:paraId="0A92B827">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（八）以其他不合理条件限制或者排斥潜在供应商。</w:t>
      </w:r>
    </w:p>
    <w:p w14:paraId="39AF5AE1">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2.《深圳经济特区政府采购条例实施细则》第三十四条：编制招标文件应当增加价格因素在政府采购评审中的权重，招标文件不得含有下列内容:</w:t>
      </w:r>
    </w:p>
    <w:p w14:paraId="173E31BF">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(一)与项目等级不相适应的资质要求，含有倾向、限制或者排斥潜在投标供应商等有违公平竞争的规格标准或者技术条款。</w:t>
      </w:r>
    </w:p>
    <w:p w14:paraId="48073538">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(二)标明特定的供应商或者产品，指定品牌或者原产地，要求制造商对某个项目特定授权。</w:t>
      </w:r>
    </w:p>
    <w:p w14:paraId="57916E19">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(三)根据某个企业或者品牌的产品说明书或者技术指标编制采购需求参数。</w:t>
      </w:r>
    </w:p>
    <w:p w14:paraId="01399D3D">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(四)将注册资本、资产总额、营业收入、从业人员、利润、纳税额、业绩经验、经营网点、现场踏勘等条件作为合格供应商资质条款。</w:t>
      </w:r>
    </w:p>
    <w:p w14:paraId="1A51CCB5">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(五)其他歧视性、排他性等不合理条款。</w:t>
      </w:r>
    </w:p>
    <w:p w14:paraId="4F27014A">
      <w:pPr>
        <w:spacing w:line="440" w:lineRule="exact"/>
        <w:ind w:firstLine="482" w:firstLineChars="200"/>
        <w:jc w:val="left"/>
        <w:rPr>
          <w:rFonts w:hint="eastAsia" w:ascii="仿宋_GB2312" w:hAnsi="华文仿宋" w:eastAsia="仿宋_GB2312"/>
          <w:b/>
          <w:sz w:val="24"/>
        </w:rPr>
      </w:pPr>
      <w:r>
        <w:rPr>
          <w:rFonts w:hint="eastAsia" w:ascii="仿宋_GB2312" w:hAnsi="华文仿宋" w:eastAsia="仿宋_GB2312"/>
          <w:b/>
          <w:sz w:val="24"/>
        </w:rPr>
        <w:t>资格核查标准、评标标准、分值权重等评审要求未在招标文件中载明的，不得作为评审依据。</w:t>
      </w:r>
    </w:p>
    <w:p w14:paraId="26694871">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sz w:val="24"/>
        </w:rPr>
        <w:t>3.《政府采购货物和服务招标投标管理办法》（财政部87号令）第十七条：采购人、采购代理机构</w:t>
      </w:r>
      <w:r>
        <w:rPr>
          <w:rFonts w:hint="eastAsia" w:ascii="仿宋_GB2312" w:hAnsi="华文仿宋" w:eastAsia="仿宋_GB2312"/>
          <w:color w:val="FF0000"/>
          <w:sz w:val="24"/>
        </w:rPr>
        <w:t>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14:paraId="300CDD09">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sz w:val="24"/>
        </w:rPr>
        <w:t>4.《深圳市政府采购招标文件编制负面清单》（2019年版）（深财购【2019】16号）。</w:t>
      </w:r>
      <w:r>
        <w:rPr>
          <w:rFonts w:hint="eastAsia" w:ascii="仿宋_GB2312" w:hAnsi="华文仿宋" w:eastAsia="仿宋_GB2312"/>
          <w:color w:val="FF0000"/>
          <w:sz w:val="24"/>
        </w:rPr>
        <w:t>不得设置投标人经营年限、经验合同金额作为评审因素。</w:t>
      </w:r>
    </w:p>
    <w:p w14:paraId="78886EC5">
      <w:pPr>
        <w:spacing w:line="440" w:lineRule="exact"/>
        <w:ind w:firstLine="480" w:firstLineChars="200"/>
        <w:jc w:val="left"/>
        <w:rPr>
          <w:rFonts w:hint="eastAsia" w:ascii="仿宋_GB2312" w:hAnsi="华文仿宋" w:eastAsia="仿宋_GB2312"/>
          <w:sz w:val="32"/>
          <w:szCs w:val="32"/>
        </w:rPr>
      </w:pPr>
      <w:r>
        <w:rPr>
          <w:rFonts w:hint="eastAsia" w:ascii="仿宋_GB2312" w:hAnsi="华文仿宋" w:eastAsia="仿宋_GB2312"/>
          <w:color w:val="FF0000"/>
          <w:sz w:val="24"/>
        </w:rPr>
        <w:t>5.其他。不得设置最低限价，不得通过设置费用占比变相设置最低限价。</w:t>
      </w:r>
    </w:p>
    <w:p w14:paraId="250E66DE">
      <w:pPr>
        <w:keepNext/>
        <w:keepLines/>
        <w:pageBreakBefore/>
        <w:adjustRightInd w:val="0"/>
        <w:spacing w:line="560" w:lineRule="exact"/>
        <w:jc w:val="center"/>
        <w:textAlignment w:val="baseline"/>
        <w:outlineLvl w:val="1"/>
        <w:rPr>
          <w:rFonts w:hint="eastAsia" w:ascii="黑体" w:hAnsi="黑体" w:eastAsia="黑体"/>
          <w:sz w:val="40"/>
          <w:szCs w:val="40"/>
        </w:rPr>
      </w:pPr>
      <w:r>
        <w:rPr>
          <w:rFonts w:hint="eastAsia" w:ascii="黑体" w:hAnsi="黑体" w:eastAsia="黑体"/>
          <w:sz w:val="40"/>
          <w:szCs w:val="40"/>
        </w:rPr>
        <w:t>具体服务需求</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C1C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tcPr>
          <w:p w14:paraId="348D0A52">
            <w:pPr>
              <w:spacing w:after="78"/>
              <w:rPr>
                <w:rFonts w:hint="eastAsia" w:ascii="宋体" w:hAnsi="宋体"/>
                <w:color w:val="000000"/>
                <w:kern w:val="0"/>
                <w:sz w:val="22"/>
                <w:szCs w:val="22"/>
              </w:rPr>
            </w:pPr>
            <w:r>
              <w:rPr>
                <w:rFonts w:hint="eastAsia" w:ascii="宋体" w:hAnsi="宋体"/>
                <w:color w:val="000000"/>
                <w:kern w:val="0"/>
                <w:sz w:val="22"/>
                <w:szCs w:val="22"/>
              </w:rPr>
              <w:t>项目名称</w:t>
            </w:r>
          </w:p>
        </w:tc>
        <w:tc>
          <w:tcPr>
            <w:tcW w:w="7750" w:type="dxa"/>
            <w:tcBorders>
              <w:top w:val="single" w:color="auto" w:sz="4" w:space="0"/>
              <w:left w:val="single" w:color="auto" w:sz="4" w:space="0"/>
              <w:bottom w:val="single" w:color="auto" w:sz="4" w:space="0"/>
              <w:right w:val="single" w:color="auto" w:sz="4" w:space="0"/>
            </w:tcBorders>
          </w:tcPr>
          <w:p w14:paraId="21D1C40F">
            <w:pPr>
              <w:spacing w:after="78"/>
              <w:jc w:val="center"/>
              <w:rPr>
                <w:color w:val="000000"/>
                <w:sz w:val="22"/>
                <w:szCs w:val="22"/>
              </w:rPr>
            </w:pPr>
          </w:p>
          <w:p w14:paraId="075B25E1">
            <w:pPr>
              <w:spacing w:after="78"/>
              <w:jc w:val="center"/>
              <w:rPr>
                <w:color w:val="000000"/>
                <w:sz w:val="22"/>
                <w:szCs w:val="22"/>
              </w:rPr>
            </w:pPr>
            <w:bookmarkStart w:id="1" w:name="_GoBack"/>
            <w:r>
              <w:rPr>
                <w:rFonts w:hint="eastAsia"/>
                <w:color w:val="000000"/>
                <w:sz w:val="22"/>
                <w:szCs w:val="22"/>
              </w:rPr>
              <w:t>计算机X射线断层扫描仪（CT680)维保</w:t>
            </w:r>
          </w:p>
          <w:bookmarkEnd w:id="1"/>
          <w:p w14:paraId="4EC8E594">
            <w:pPr>
              <w:spacing w:after="78"/>
              <w:jc w:val="center"/>
              <w:rPr>
                <w:rFonts w:ascii="仿宋_GB2312" w:eastAsia="仿宋_GB2312"/>
                <w:color w:val="000000"/>
                <w:sz w:val="22"/>
                <w:szCs w:val="22"/>
              </w:rPr>
            </w:pPr>
          </w:p>
        </w:tc>
      </w:tr>
      <w:tr w14:paraId="4D58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14:paraId="3488C364">
            <w:pPr>
              <w:spacing w:after="78"/>
              <w:rPr>
                <w:rFonts w:hint="eastAsia" w:ascii="宋体" w:hAnsi="宋体"/>
                <w:color w:val="000000"/>
                <w:kern w:val="0"/>
                <w:sz w:val="22"/>
                <w:szCs w:val="22"/>
              </w:rPr>
            </w:pPr>
            <w:r>
              <w:rPr>
                <w:rFonts w:hint="eastAsia" w:ascii="宋体" w:hAnsi="宋体"/>
                <w:color w:val="000000"/>
                <w:kern w:val="0"/>
                <w:sz w:val="22"/>
                <w:szCs w:val="22"/>
              </w:rPr>
              <w:t>用途</w:t>
            </w:r>
          </w:p>
        </w:tc>
        <w:tc>
          <w:tcPr>
            <w:tcW w:w="7750" w:type="dxa"/>
            <w:tcBorders>
              <w:top w:val="single" w:color="auto" w:sz="4" w:space="0"/>
              <w:left w:val="single" w:color="auto" w:sz="4" w:space="0"/>
              <w:bottom w:val="single" w:color="auto" w:sz="4" w:space="0"/>
              <w:right w:val="single" w:color="auto" w:sz="4" w:space="0"/>
            </w:tcBorders>
          </w:tcPr>
          <w:p w14:paraId="7DBCAA04">
            <w:pPr>
              <w:spacing w:after="78"/>
              <w:jc w:val="left"/>
              <w:rPr>
                <w:color w:val="000000" w:themeColor="text1"/>
                <w:sz w:val="22"/>
                <w:szCs w:val="22"/>
                <w14:textFill>
                  <w14:solidFill>
                    <w14:schemeClr w14:val="tx1"/>
                  </w14:solidFill>
                </w14:textFill>
              </w:rPr>
            </w:pPr>
            <w:r>
              <w:rPr>
                <w:rFonts w:hint="eastAsia"/>
                <w:color w:val="000000"/>
                <w:sz w:val="22"/>
                <w:szCs w:val="22"/>
              </w:rPr>
              <w:t xml:space="preserve">  </w:t>
            </w:r>
            <w:r>
              <w:rPr>
                <w:rFonts w:hint="eastAsia"/>
                <w:color w:val="000000" w:themeColor="text1"/>
                <w:sz w:val="22"/>
                <w:szCs w:val="22"/>
                <w14:textFill>
                  <w14:solidFill>
                    <w14:schemeClr w14:val="tx1"/>
                  </w14:solidFill>
                </w14:textFill>
              </w:rPr>
              <w:t>计算机X射线断层扫描仪保养项目</w:t>
            </w:r>
          </w:p>
          <w:p w14:paraId="49D361B9">
            <w:pPr>
              <w:spacing w:after="78"/>
              <w:rPr>
                <w:color w:val="000000"/>
                <w:sz w:val="22"/>
                <w:szCs w:val="22"/>
              </w:rPr>
            </w:pPr>
            <w:r>
              <w:rPr>
                <w:rFonts w:hint="eastAsia"/>
              </w:rPr>
              <w:t>用于保障设备高效运行，保障医院为病人提供优质的就医服务。</w:t>
            </w:r>
          </w:p>
        </w:tc>
      </w:tr>
      <w:tr w14:paraId="11A6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bottom w:val="single" w:color="auto" w:sz="4" w:space="0"/>
              <w:right w:val="single" w:color="auto" w:sz="4" w:space="0"/>
            </w:tcBorders>
          </w:tcPr>
          <w:p w14:paraId="66120CEC">
            <w:pPr>
              <w:spacing w:after="78"/>
              <w:rPr>
                <w:rFonts w:hint="eastAsia" w:ascii="宋体" w:hAnsi="宋体"/>
                <w:color w:val="000000"/>
                <w:kern w:val="0"/>
                <w:sz w:val="22"/>
                <w:szCs w:val="22"/>
              </w:rPr>
            </w:pPr>
            <w:r>
              <w:rPr>
                <w:rFonts w:hint="eastAsia" w:ascii="宋体" w:hAnsi="宋体"/>
                <w:color w:val="000000"/>
                <w:kern w:val="0"/>
                <w:sz w:val="22"/>
                <w:szCs w:val="22"/>
              </w:rPr>
              <w:t>服务内容</w:t>
            </w:r>
          </w:p>
        </w:tc>
        <w:tc>
          <w:tcPr>
            <w:tcW w:w="7750" w:type="dxa"/>
            <w:tcBorders>
              <w:top w:val="single" w:color="auto" w:sz="4" w:space="0"/>
              <w:left w:val="single" w:color="auto" w:sz="4" w:space="0"/>
              <w:bottom w:val="single" w:color="auto" w:sz="4" w:space="0"/>
              <w:right w:val="single" w:color="auto" w:sz="4" w:space="0"/>
            </w:tcBorders>
          </w:tcPr>
          <w:p w14:paraId="5D86A64E">
            <w:pPr>
              <w:numPr>
                <w:ilvl w:val="255"/>
                <w:numId w:val="0"/>
              </w:numPr>
              <w:spacing w:after="78"/>
            </w:pPr>
            <w:r>
              <w:rPr>
                <w:rFonts w:hint="eastAsia"/>
                <w:color w:val="000000"/>
                <w:sz w:val="22"/>
                <w:szCs w:val="22"/>
              </w:rPr>
              <w:t>放射科</w:t>
            </w:r>
            <w:r>
              <w:rPr>
                <w:rFonts w:hint="eastAsia"/>
                <w:color w:val="000000" w:themeColor="text1"/>
                <w:sz w:val="22"/>
                <w:szCs w:val="22"/>
                <w14:textFill>
                  <w14:solidFill>
                    <w14:schemeClr w14:val="tx1"/>
                  </w14:solidFill>
                </w14:textFill>
              </w:rPr>
              <w:t>X射线断层扫描仪</w:t>
            </w:r>
            <w:r>
              <w:rPr>
                <w:color w:val="000000" w:themeColor="text1"/>
                <w:sz w:val="22"/>
                <w:szCs w:val="22"/>
                <w14:textFill>
                  <w14:solidFill>
                    <w14:schemeClr w14:val="tx1"/>
                  </w14:solidFill>
                </w14:textFill>
              </w:rPr>
              <w:t>(CT680)</w:t>
            </w:r>
            <w:r>
              <w:rPr>
                <w:rFonts w:hint="eastAsia"/>
                <w:color w:val="000000"/>
                <w:sz w:val="22"/>
                <w:szCs w:val="22"/>
              </w:rPr>
              <w:t>的</w:t>
            </w:r>
            <w:r>
              <w:rPr>
                <w:rFonts w:hint="eastAsia"/>
              </w:rPr>
              <w:t>维护保养服务（以下简称“设备”）。合同价格包含设备清理、定期检修、税金及为完成本合同项下义务的全部费用。</w:t>
            </w:r>
          </w:p>
        </w:tc>
      </w:tr>
      <w:tr w14:paraId="358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9E25AF5">
            <w:pPr>
              <w:widowControl/>
              <w:spacing w:after="78"/>
              <w:jc w:val="left"/>
              <w:rPr>
                <w:rFonts w:hint="eastAsia" w:ascii="宋体" w:hAnsi="宋体"/>
                <w:bCs/>
                <w:color w:val="000000"/>
                <w:sz w:val="22"/>
                <w:szCs w:val="22"/>
              </w:rPr>
            </w:pPr>
            <w:r>
              <w:rPr>
                <w:rFonts w:hint="eastAsia" w:ascii="宋体" w:hAnsi="宋体"/>
                <w:color w:val="000000"/>
                <w:kern w:val="0"/>
                <w:sz w:val="22"/>
                <w:szCs w:val="22"/>
              </w:rPr>
              <w:t>商务参数</w:t>
            </w:r>
          </w:p>
        </w:tc>
        <w:tc>
          <w:tcPr>
            <w:tcW w:w="7750" w:type="dxa"/>
            <w:tcBorders>
              <w:top w:val="single" w:color="auto" w:sz="4" w:space="0"/>
              <w:left w:val="single" w:color="auto" w:sz="4" w:space="0"/>
              <w:bottom w:val="single" w:color="auto" w:sz="4" w:space="0"/>
              <w:right w:val="single" w:color="auto" w:sz="4" w:space="0"/>
            </w:tcBorders>
          </w:tcPr>
          <w:p w14:paraId="0BC8482B">
            <w:pPr>
              <w:snapToGrid w:val="0"/>
              <w:spacing w:after="78"/>
              <w:jc w:val="left"/>
              <w:rPr>
                <w:rFonts w:hint="eastAsia" w:ascii="宋体" w:hAnsi="宋体"/>
                <w:szCs w:val="20"/>
              </w:rPr>
            </w:pPr>
            <w:r>
              <w:rPr>
                <w:rFonts w:ascii="宋体" w:hAnsi="宋体"/>
                <w:szCs w:val="20"/>
              </w:rPr>
              <w:t>1.项目预算：90万元。</w:t>
            </w:r>
          </w:p>
          <w:p w14:paraId="1D8540F6">
            <w:pPr>
              <w:ind w:left="587" w:leftChars="192" w:hanging="184" w:hangingChars="88"/>
              <w:contextualSpacing/>
              <w:jc w:val="left"/>
              <w:rPr>
                <w:rFonts w:hint="eastAsia" w:ascii="宋体" w:hAnsi="宋体"/>
                <w:color w:val="000000" w:themeColor="text1"/>
                <w14:textFill>
                  <w14:solidFill>
                    <w14:schemeClr w14:val="tx1"/>
                  </w14:solidFill>
                </w14:textFill>
              </w:rPr>
            </w:pPr>
          </w:p>
          <w:p w14:paraId="1C19DEB5">
            <w:pPr>
              <w:pStyle w:val="20"/>
              <w:spacing w:line="300" w:lineRule="exact"/>
              <w:ind w:firstLine="0" w:firstLineChars="0"/>
              <w:jc w:val="left"/>
              <w:rPr>
                <w:rFonts w:hint="eastAsia" w:ascii="宋体" w:hAnsi="宋体"/>
                <w:sz w:val="21"/>
                <w:szCs w:val="21"/>
              </w:rPr>
            </w:pPr>
            <w:r>
              <w:rPr>
                <w:rFonts w:ascii="宋体" w:hAnsi="宋体"/>
                <w:sz w:val="21"/>
                <w:szCs w:val="21"/>
              </w:rPr>
              <w:t>2</w:t>
            </w:r>
            <w:r>
              <w:rPr>
                <w:rFonts w:hint="eastAsia" w:ascii="宋体" w:hAnsi="宋体"/>
                <w:sz w:val="21"/>
                <w:szCs w:val="21"/>
              </w:rPr>
              <w:t>.</w:t>
            </w:r>
            <w:r>
              <w:rPr>
                <w:rFonts w:hint="eastAsia" w:ascii="宋体" w:hAnsi="宋体"/>
                <w:b/>
                <w:bCs/>
                <w:sz w:val="21"/>
                <w:szCs w:val="21"/>
              </w:rPr>
              <w:t>★</w:t>
            </w:r>
            <w:r>
              <w:rPr>
                <w:rFonts w:hint="eastAsia" w:ascii="宋体" w:hAnsi="宋体"/>
                <w:sz w:val="21"/>
                <w:szCs w:val="21"/>
              </w:rPr>
              <w:t>付款方式</w:t>
            </w:r>
          </w:p>
          <w:p w14:paraId="27818838">
            <w:pPr>
              <w:pStyle w:val="4"/>
            </w:pPr>
            <w:r>
              <w:rPr>
                <w:rFonts w:hint="eastAsia" w:ascii="宋体" w:hAnsi="宋体"/>
                <w:color w:val="000000"/>
                <w:szCs w:val="21"/>
              </w:rPr>
              <w:t>（1）合同签订后，</w:t>
            </w:r>
            <w:r>
              <w:rPr>
                <w:rFonts w:hint="eastAsia"/>
              </w:rPr>
              <w:t>合同签订后6个月，验收合格付50%；合同期满，验收合格付余下50%。</w:t>
            </w:r>
            <w:r>
              <w:rPr>
                <w:rFonts w:hint="eastAsia" w:ascii="宋体" w:hAnsi="宋体"/>
                <w:color w:val="000000"/>
                <w:szCs w:val="21"/>
              </w:rPr>
              <w:t>；</w:t>
            </w:r>
          </w:p>
          <w:p w14:paraId="2F53843E">
            <w:pPr>
              <w:pStyle w:val="20"/>
              <w:spacing w:line="300" w:lineRule="exact"/>
              <w:ind w:firstLine="420"/>
              <w:jc w:val="left"/>
              <w:rPr>
                <w:rFonts w:hint="eastAsia" w:ascii="宋体" w:hAnsi="宋体"/>
                <w:sz w:val="21"/>
                <w:szCs w:val="21"/>
              </w:rPr>
            </w:pPr>
            <w:r>
              <w:rPr>
                <w:rFonts w:ascii="宋体" w:hAnsi="宋体"/>
                <w:sz w:val="21"/>
                <w:szCs w:val="21"/>
              </w:rPr>
              <w:t>3</w:t>
            </w:r>
            <w:r>
              <w:rPr>
                <w:rFonts w:hint="eastAsia" w:ascii="宋体" w:hAnsi="宋体"/>
                <w:sz w:val="21"/>
                <w:szCs w:val="21"/>
              </w:rPr>
              <w:t>.投标报价要求</w:t>
            </w:r>
          </w:p>
          <w:p w14:paraId="32050555">
            <w:pPr>
              <w:ind w:left="587" w:leftChars="192" w:hanging="184" w:hangingChars="88"/>
              <w:contextualSpacing/>
              <w:jc w:val="left"/>
              <w:rPr>
                <w:rFonts w:hint="eastAsia" w:ascii="宋体" w:hAnsi="宋体"/>
                <w:szCs w:val="21"/>
              </w:rPr>
            </w:pPr>
            <w:r>
              <w:rPr>
                <w:rFonts w:ascii="宋体" w:hAnsi="宋体"/>
                <w:szCs w:val="21"/>
              </w:rPr>
              <w:t>3</w:t>
            </w:r>
            <w:r>
              <w:rPr>
                <w:rFonts w:hint="eastAsia" w:ascii="宋体" w:hAnsi="宋体"/>
                <w:szCs w:val="21"/>
              </w:rPr>
              <w:t>.1.本项目服务费采用包干制，应包括服务成本、法定税费和企业的利润。由</w:t>
            </w:r>
          </w:p>
          <w:p w14:paraId="05AA5A4F">
            <w:pPr>
              <w:contextualSpacing/>
              <w:jc w:val="left"/>
              <w:rPr>
                <w:rFonts w:hint="eastAsia" w:ascii="宋体" w:hAnsi="宋体"/>
                <w:color w:val="000000" w:themeColor="text1"/>
                <w14:textFill>
                  <w14:solidFill>
                    <w14:schemeClr w14:val="tx1"/>
                  </w14:solidFill>
                </w14:textFill>
              </w:rPr>
            </w:pPr>
            <w:r>
              <w:rPr>
                <w:rFonts w:hint="eastAsia" w:ascii="宋体" w:hAnsi="宋体" w:eastAsiaTheme="minorEastAsia"/>
                <w:szCs w:val="21"/>
              </w:rPr>
              <w:t>企业根据招标文件所提供的资料自行测算投标报价。工时：包含在保修合同期内所需的人工费用，节假日加班免费。保修期间，设备进行维修，保养和更换配件，承担配件、劳务和差旅等费用，不再收取除合同款外的其他费用。</w:t>
            </w:r>
          </w:p>
          <w:p w14:paraId="735746AA">
            <w:pPr>
              <w:pStyle w:val="20"/>
              <w:spacing w:line="300" w:lineRule="exact"/>
              <w:ind w:firstLine="420"/>
              <w:jc w:val="left"/>
              <w:rPr>
                <w:rFonts w:hint="eastAsia" w:ascii="宋体" w:hAnsi="宋体"/>
                <w:sz w:val="21"/>
                <w:szCs w:val="21"/>
              </w:rPr>
            </w:pPr>
            <w:r>
              <w:rPr>
                <w:rFonts w:ascii="宋体" w:hAnsi="宋体"/>
                <w:sz w:val="21"/>
                <w:szCs w:val="21"/>
              </w:rPr>
              <w:t>3</w:t>
            </w:r>
            <w:r>
              <w:rPr>
                <w:rFonts w:hint="eastAsia" w:ascii="宋体" w:hAnsi="宋体"/>
                <w:sz w:val="21"/>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3EC9E9">
            <w:pPr>
              <w:pStyle w:val="20"/>
              <w:spacing w:line="300" w:lineRule="exact"/>
              <w:ind w:firstLine="420"/>
              <w:jc w:val="left"/>
              <w:rPr>
                <w:rFonts w:hint="eastAsia" w:ascii="宋体" w:hAnsi="宋体"/>
                <w:sz w:val="21"/>
                <w:szCs w:val="21"/>
              </w:rPr>
            </w:pPr>
            <w:r>
              <w:rPr>
                <w:rFonts w:ascii="宋体" w:hAnsi="宋体"/>
                <w:sz w:val="21"/>
                <w:szCs w:val="21"/>
              </w:rPr>
              <w:t>3</w:t>
            </w:r>
            <w:r>
              <w:rPr>
                <w:rFonts w:hint="eastAsia" w:ascii="宋体" w:hAnsi="宋体"/>
                <w:sz w:val="21"/>
                <w:szCs w:val="21"/>
              </w:rPr>
              <w:t>.3投标人的投标报价，应是本项目招标范围和招标文件及合同条款上所列的各项内容中所述的全部，不得以任何理由予以重复，并以投标人在投标文件中提出的综合单价或总价为依据。</w:t>
            </w:r>
          </w:p>
          <w:p w14:paraId="61D4EE0C">
            <w:pPr>
              <w:pStyle w:val="20"/>
              <w:spacing w:line="300" w:lineRule="exact"/>
              <w:ind w:firstLine="420"/>
              <w:jc w:val="left"/>
              <w:rPr>
                <w:rFonts w:hint="eastAsia" w:ascii="宋体" w:hAnsi="宋体"/>
                <w:sz w:val="21"/>
                <w:szCs w:val="21"/>
              </w:rPr>
            </w:pPr>
            <w:r>
              <w:rPr>
                <w:rFonts w:ascii="宋体" w:hAnsi="宋体"/>
                <w:sz w:val="21"/>
                <w:szCs w:val="21"/>
              </w:rPr>
              <w:t>3</w:t>
            </w:r>
            <w:r>
              <w:rPr>
                <w:rFonts w:hint="eastAsia" w:ascii="宋体" w:hAnsi="宋体"/>
                <w:sz w:val="21"/>
                <w:szCs w:val="21"/>
              </w:rPr>
              <w:t>.4投标人应充分了解项目的位置、情况、道路及任何其它足以影响投标报价的情况，任何因忽视或误解项目情况而导致的索赔或服务期限延长申请将不获批准。</w:t>
            </w:r>
          </w:p>
          <w:p w14:paraId="40BD2CAF">
            <w:pPr>
              <w:pStyle w:val="20"/>
              <w:spacing w:line="300" w:lineRule="exact"/>
              <w:ind w:firstLine="420"/>
              <w:jc w:val="left"/>
              <w:rPr>
                <w:rFonts w:hint="eastAsia" w:ascii="宋体" w:hAnsi="宋体"/>
                <w:sz w:val="21"/>
                <w:szCs w:val="21"/>
              </w:rPr>
            </w:pPr>
            <w:r>
              <w:rPr>
                <w:rFonts w:ascii="宋体" w:hAnsi="宋体"/>
                <w:sz w:val="21"/>
                <w:szCs w:val="21"/>
              </w:rPr>
              <w:t>3</w:t>
            </w:r>
            <w:r>
              <w:rPr>
                <w:rFonts w:hint="eastAsia" w:ascii="宋体" w:hAnsi="宋体"/>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346805C0">
            <w:pPr>
              <w:pStyle w:val="20"/>
              <w:spacing w:line="300" w:lineRule="exact"/>
              <w:ind w:firstLine="420"/>
              <w:jc w:val="left"/>
              <w:rPr>
                <w:rFonts w:hint="eastAsia" w:ascii="宋体" w:hAnsi="宋体"/>
                <w:sz w:val="21"/>
                <w:szCs w:val="21"/>
              </w:rPr>
            </w:pPr>
            <w:r>
              <w:rPr>
                <w:rFonts w:ascii="宋体" w:hAnsi="宋体"/>
                <w:sz w:val="21"/>
                <w:szCs w:val="21"/>
              </w:rPr>
              <w:t>4</w:t>
            </w:r>
            <w:r>
              <w:rPr>
                <w:rFonts w:hint="eastAsia" w:ascii="宋体" w:hAnsi="宋体"/>
                <w:sz w:val="21"/>
                <w:szCs w:val="21"/>
              </w:rPr>
              <w:t>.质量考核及违约金</w:t>
            </w:r>
          </w:p>
          <w:p w14:paraId="15B157DE">
            <w:pPr>
              <w:pStyle w:val="20"/>
              <w:spacing w:line="300" w:lineRule="exact"/>
              <w:ind w:firstLine="420"/>
              <w:jc w:val="left"/>
              <w:rPr>
                <w:rFonts w:hint="eastAsia" w:ascii="宋体" w:hAnsi="宋体"/>
                <w:sz w:val="21"/>
                <w:szCs w:val="21"/>
              </w:rPr>
            </w:pPr>
            <w:r>
              <w:rPr>
                <w:rFonts w:ascii="宋体" w:hAnsi="宋体"/>
                <w:sz w:val="21"/>
                <w:szCs w:val="21"/>
              </w:rPr>
              <w:t>4</w:t>
            </w:r>
            <w:r>
              <w:rPr>
                <w:rFonts w:hint="eastAsia" w:ascii="宋体" w:hAnsi="宋体"/>
                <w:sz w:val="21"/>
                <w:szCs w:val="21"/>
              </w:rPr>
              <w:t>.1质量考核： 采购方将对中标方总体服务质量进行考核，考核不合格采购方有权提前终止合同，考核结果达到优秀的，可按政府采购相关规定续签。</w:t>
            </w:r>
          </w:p>
          <w:p w14:paraId="4F848D34">
            <w:pPr>
              <w:pStyle w:val="20"/>
              <w:spacing w:line="300" w:lineRule="exact"/>
              <w:ind w:firstLine="420"/>
              <w:jc w:val="left"/>
              <w:rPr>
                <w:rFonts w:hint="eastAsia" w:ascii="宋体" w:hAnsi="宋体"/>
                <w:b/>
                <w:bCs/>
                <w:sz w:val="21"/>
                <w:szCs w:val="21"/>
              </w:rPr>
            </w:pPr>
            <w:r>
              <w:rPr>
                <w:rFonts w:ascii="宋体" w:hAnsi="宋体"/>
                <w:sz w:val="21"/>
                <w:szCs w:val="21"/>
              </w:rPr>
              <w:t>5</w:t>
            </w:r>
            <w:r>
              <w:rPr>
                <w:rFonts w:hint="eastAsia" w:ascii="宋体" w:hAnsi="宋体"/>
                <w:sz w:val="21"/>
                <w:szCs w:val="21"/>
              </w:rPr>
              <w:t>.服务期限</w:t>
            </w:r>
          </w:p>
          <w:p w14:paraId="2B29EE84">
            <w:pPr>
              <w:pStyle w:val="20"/>
              <w:spacing w:line="300" w:lineRule="exact"/>
              <w:ind w:firstLine="420"/>
              <w:jc w:val="left"/>
              <w:rPr>
                <w:rFonts w:hint="eastAsia" w:ascii="宋体" w:hAnsi="宋体"/>
                <w:sz w:val="21"/>
                <w:szCs w:val="21"/>
              </w:rPr>
            </w:pPr>
            <w:r>
              <w:rPr>
                <w:rFonts w:hint="eastAsia" w:ascii="宋体" w:hAnsi="宋体"/>
                <w:sz w:val="21"/>
                <w:szCs w:val="21"/>
              </w:rPr>
              <w:t>服务期限为自甲方约定之日起1年。本项目为长期服务类项目，第一年为本次招标的中标服务期限，采购单位可根据项目需要和投标人的履约情况确定合同期限是否延长，但最长不超过三年。如采购人对履约情况不满意，采购人不再续约。若政府采购主管部门发现项目有异常情况，以主管部门意见为准。</w:t>
            </w:r>
          </w:p>
          <w:p w14:paraId="02B003A4">
            <w:pPr>
              <w:snapToGrid w:val="0"/>
              <w:spacing w:after="78"/>
              <w:jc w:val="left"/>
              <w:rPr>
                <w:rFonts w:hint="eastAsia" w:ascii="宋体" w:hAnsi="宋体"/>
                <w:szCs w:val="20"/>
              </w:rPr>
            </w:pPr>
          </w:p>
        </w:tc>
      </w:tr>
      <w:tr w14:paraId="135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B1FD5AD">
            <w:pPr>
              <w:widowControl/>
              <w:jc w:val="left"/>
              <w:rPr>
                <w:rFonts w:hint="eastAsia" w:ascii="宋体" w:hAnsi="宋体"/>
                <w:color w:val="000000"/>
                <w:kern w:val="0"/>
                <w:sz w:val="22"/>
                <w:szCs w:val="22"/>
              </w:rPr>
            </w:pPr>
            <w:r>
              <w:rPr>
                <w:rFonts w:hint="eastAsia" w:ascii="宋体" w:hAnsi="宋体"/>
                <w:color w:val="000000"/>
                <w:kern w:val="0"/>
                <w:sz w:val="22"/>
                <w:szCs w:val="22"/>
              </w:rPr>
              <w:t>技术参数</w:t>
            </w:r>
          </w:p>
        </w:tc>
        <w:tc>
          <w:tcPr>
            <w:tcW w:w="7750" w:type="dxa"/>
            <w:tcBorders>
              <w:top w:val="single" w:color="auto" w:sz="4" w:space="0"/>
              <w:left w:val="single" w:color="auto" w:sz="4" w:space="0"/>
              <w:bottom w:val="single" w:color="auto" w:sz="4" w:space="0"/>
              <w:right w:val="single" w:color="auto" w:sz="4" w:space="0"/>
            </w:tcBorders>
          </w:tcPr>
          <w:p w14:paraId="1F551B07">
            <w:pPr>
              <w:spacing w:line="360" w:lineRule="auto"/>
            </w:pPr>
            <w:r>
              <w:rPr>
                <w:rFonts w:ascii="宋体" w:hAnsi="宋体"/>
                <w:b/>
                <w:bCs/>
                <w:szCs w:val="21"/>
              </w:rPr>
              <w:t>服务要求：</w:t>
            </w:r>
          </w:p>
          <w:p w14:paraId="1EFA9278">
            <w:pPr>
              <w:spacing w:line="360" w:lineRule="auto"/>
            </w:pPr>
            <w:r>
              <w:rPr>
                <w:rFonts w:ascii="宋体" w:hAnsi="宋体"/>
                <w:szCs w:val="21"/>
              </w:rPr>
              <w:t>1. 投标人或授权投标人的厂商通过ISO9001和医疗行业的ISO13485、ISO27001质量管理体系认证，且由BSI/TUV等权威公司认证和日常审核(投标时提供认证复印件)。</w:t>
            </w:r>
            <w:r>
              <w:rPr>
                <w:rFonts w:hint="eastAsia" w:ascii="宋体" w:hAnsi="宋体"/>
                <w:szCs w:val="21"/>
              </w:rPr>
              <w:t>GE CT680整机保修：包含人工、配件、定期保养、球管、探测器、AW工作站。不包括：第三方设备。</w:t>
            </w:r>
          </w:p>
          <w:p w14:paraId="0DD1BE8B">
            <w:pPr>
              <w:spacing w:line="360" w:lineRule="auto"/>
            </w:pPr>
            <w:r>
              <w:rPr>
                <w:rFonts w:ascii="宋体" w:hAnsi="宋体"/>
                <w:szCs w:val="21"/>
              </w:rPr>
              <w:t>2. ▲投标人或授权投标人的厂商通过ISO45001认证，服务过程遵循可靠的人、机、流程之安全保障(投标时提供认证复印件)。</w:t>
            </w:r>
          </w:p>
          <w:p w14:paraId="42878FC5">
            <w:pPr>
              <w:spacing w:line="360" w:lineRule="auto"/>
            </w:pPr>
            <w:r>
              <w:rPr>
                <w:rFonts w:ascii="宋体" w:hAnsi="宋体"/>
                <w:szCs w:val="21"/>
              </w:rPr>
              <w:t>3. ▲投标人或授权投标人的厂商在国内设有专业、充足的设备零备件仓库，且符合以下要求：仓库面积须&gt;2000平方米，库存零件价值&gt;人民币1亿元，库存零件数量&gt;15000个，提供仓库租赁或产权合同供核实。</w:t>
            </w:r>
          </w:p>
          <w:p w14:paraId="65A35806">
            <w:pPr>
              <w:spacing w:line="360" w:lineRule="auto"/>
              <w:rPr>
                <w:rFonts w:hint="eastAsia" w:ascii="宋体" w:hAnsi="宋体"/>
                <w:szCs w:val="21"/>
              </w:rPr>
            </w:pPr>
            <w:r>
              <w:rPr>
                <w:rFonts w:ascii="宋体" w:hAnsi="宋体"/>
                <w:szCs w:val="21"/>
              </w:rPr>
              <w:t>4. 投标人或授权投标人的厂商具备400客户服务专线电话，每天开通服务时间不少于12小时。服务专线电话每年</w:t>
            </w:r>
            <w:r>
              <w:rPr>
                <w:rFonts w:hint="eastAsia" w:ascii="宋体" w:hAnsi="宋体"/>
                <w:color w:val="000000" w:themeColor="text1"/>
                <w14:textFill>
                  <w14:solidFill>
                    <w14:schemeClr w14:val="tx1"/>
                  </w14:solidFill>
                </w14:textFill>
              </w:rPr>
              <w:t>24小时 *</w:t>
            </w:r>
            <w:r>
              <w:rPr>
                <w:rFonts w:ascii="宋体" w:hAnsi="宋体"/>
                <w:szCs w:val="21"/>
              </w:rPr>
              <w:t>365天开通，且可视化中央控制、实时管理。</w:t>
            </w:r>
            <w:r>
              <w:rPr>
                <w:rFonts w:hint="eastAsia" w:ascii="宋体" w:hAnsi="宋体"/>
                <w:color w:val="000000" w:themeColor="text1"/>
                <w14:textFill>
                  <w14:solidFill>
                    <w14:schemeClr w14:val="tx1"/>
                  </w14:solidFill>
                </w14:textFill>
              </w:rPr>
              <w:t>接到维修要求后，不超过4小时到达现场。</w:t>
            </w:r>
          </w:p>
          <w:p w14:paraId="09200E55">
            <w:pPr>
              <w:spacing w:line="360" w:lineRule="auto"/>
            </w:pPr>
            <w:r>
              <w:rPr>
                <w:rFonts w:ascii="宋体" w:hAnsi="宋体"/>
                <w:szCs w:val="21"/>
              </w:rPr>
              <w:t>5. 响应时间要求：投标人应接获报修电话后提供突发性问题的解决措施及特殊紧急的合理化处理措施。</w:t>
            </w:r>
          </w:p>
          <w:p w14:paraId="2DD296D7">
            <w:pPr>
              <w:spacing w:line="360" w:lineRule="auto"/>
            </w:pPr>
            <w:r>
              <w:rPr>
                <w:rFonts w:ascii="宋体" w:hAnsi="宋体"/>
                <w:szCs w:val="21"/>
              </w:rPr>
              <w:t>（1）每年响应时间为365天</w:t>
            </w:r>
          </w:p>
          <w:p w14:paraId="02F18648">
            <w:pPr>
              <w:spacing w:line="360" w:lineRule="auto"/>
            </w:pPr>
            <w:r>
              <w:rPr>
                <w:rFonts w:ascii="宋体" w:hAnsi="宋体"/>
                <w:szCs w:val="21"/>
              </w:rPr>
              <w:t>（2）响应时间≤1小时</w:t>
            </w:r>
          </w:p>
          <w:p w14:paraId="06B93946">
            <w:pPr>
              <w:spacing w:line="360" w:lineRule="auto"/>
            </w:pPr>
            <w:r>
              <w:rPr>
                <w:rFonts w:ascii="宋体" w:hAnsi="宋体"/>
                <w:szCs w:val="21"/>
              </w:rPr>
              <w:t>（3）到达现场时间≤</w:t>
            </w:r>
            <w:r>
              <w:rPr>
                <w:rFonts w:hint="eastAsia" w:ascii="宋体" w:hAnsi="宋体"/>
                <w:szCs w:val="21"/>
              </w:rPr>
              <w:t>4</w:t>
            </w:r>
            <w:r>
              <w:rPr>
                <w:rFonts w:ascii="宋体" w:hAnsi="宋体"/>
                <w:szCs w:val="21"/>
              </w:rPr>
              <w:t>小时</w:t>
            </w:r>
          </w:p>
          <w:p w14:paraId="705BC829">
            <w:pPr>
              <w:spacing w:line="360" w:lineRule="auto"/>
            </w:pPr>
            <w:r>
              <w:rPr>
                <w:rFonts w:ascii="宋体" w:hAnsi="宋体"/>
                <w:szCs w:val="21"/>
              </w:rPr>
              <w:t>6. ▲投标人或授权投标人的厂商在国内的服务机构需针对本项目的CT设备配备由原厂认证同类机型维修资质的工程师提供服务。</w:t>
            </w:r>
          </w:p>
          <w:p w14:paraId="0C1AC6FC">
            <w:pPr>
              <w:spacing w:line="360" w:lineRule="auto"/>
            </w:pPr>
            <w:r>
              <w:rPr>
                <w:rFonts w:ascii="宋体" w:hAnsi="宋体"/>
                <w:szCs w:val="21"/>
              </w:rPr>
              <w:t>7. 投标人能够随时按需要取得设备生产者研发和工厂的技术、物力支持。有全职的应用培训专家，支持本项目的维修保障服务，并能以现场的和远程的形式，提供临床扫描、图像处理和相应业务拓展的专业支持。</w:t>
            </w:r>
          </w:p>
          <w:p w14:paraId="7A506851">
            <w:pPr>
              <w:spacing w:line="360" w:lineRule="auto"/>
            </w:pPr>
            <w:r>
              <w:rPr>
                <w:rFonts w:ascii="宋体" w:hAnsi="宋体"/>
                <w:szCs w:val="21"/>
              </w:rPr>
              <w:t>8. 提供服务期间保证设备开机率≥9</w:t>
            </w:r>
            <w:r>
              <w:rPr>
                <w:rFonts w:hint="eastAsia" w:ascii="宋体" w:hAnsi="宋体"/>
                <w:szCs w:val="21"/>
              </w:rPr>
              <w:t>5</w:t>
            </w:r>
            <w:r>
              <w:rPr>
                <w:rFonts w:ascii="宋体" w:hAnsi="宋体"/>
                <w:szCs w:val="21"/>
              </w:rPr>
              <w:t>%，按照一年365天计算，停机时间超过</w:t>
            </w:r>
            <w:r>
              <w:rPr>
                <w:rFonts w:hint="eastAsia" w:ascii="宋体" w:hAnsi="宋体"/>
                <w:szCs w:val="21"/>
              </w:rPr>
              <w:t>5</w:t>
            </w:r>
            <w:r>
              <w:rPr>
                <w:rFonts w:ascii="宋体" w:hAnsi="宋体"/>
                <w:szCs w:val="21"/>
              </w:rPr>
              <w:t>%的，停机超过一天顺延三天。</w:t>
            </w:r>
          </w:p>
          <w:p w14:paraId="2B1D7FED">
            <w:pPr>
              <w:spacing w:line="360" w:lineRule="auto"/>
            </w:pPr>
            <w:r>
              <w:rPr>
                <w:rFonts w:ascii="宋体" w:hAnsi="宋体"/>
                <w:szCs w:val="21"/>
              </w:rPr>
              <w:t>9. ▲有权限访问原厂的全球维修经验数据库《Offline knowledge》，能提供有效的访问用户名供核实。</w:t>
            </w:r>
          </w:p>
          <w:p w14:paraId="25C16D75">
            <w:pPr>
              <w:spacing w:line="360" w:lineRule="auto"/>
            </w:pPr>
            <w:r>
              <w:rPr>
                <w:rFonts w:ascii="宋体" w:hAnsi="宋体"/>
                <w:szCs w:val="21"/>
              </w:rPr>
              <w:t>10. ▲零备件供应：投标人承诺所有更换的零部件应为全新原厂认证/测试合格件, 有追踪号码，如为进口零备件，提供相应的合法进口报关证明（如供货时不按照承诺执行，采购人有权中止合同）。</w:t>
            </w:r>
            <w:r>
              <w:rPr>
                <w:rFonts w:hint="eastAsia" w:ascii="宋体" w:hAnsi="宋体"/>
                <w:szCs w:val="21"/>
              </w:rPr>
              <w:t>更换零配件保修期：</w:t>
            </w:r>
            <w:r>
              <w:rPr>
                <w:rFonts w:hint="eastAsia" w:ascii="宋体" w:hAnsi="宋体" w:cs="宋体"/>
                <w:szCs w:val="21"/>
              </w:rPr>
              <w:t>免费维修或更换配件设备的保修期为3个月。</w:t>
            </w:r>
          </w:p>
          <w:p w14:paraId="0890EA7D">
            <w:pPr>
              <w:spacing w:line="360" w:lineRule="auto"/>
            </w:pPr>
            <w:r>
              <w:rPr>
                <w:rFonts w:ascii="宋体" w:hAnsi="宋体"/>
                <w:szCs w:val="21"/>
              </w:rPr>
              <w:t>11. 投标人须具有互联网远程登陆主机进行远程保养的服务能力，并提供设备运行状况和措施报告。</w:t>
            </w:r>
          </w:p>
          <w:p w14:paraId="3A806DBD">
            <w:pPr>
              <w:spacing w:line="360" w:lineRule="auto"/>
            </w:pPr>
            <w:r>
              <w:rPr>
                <w:rFonts w:ascii="宋体" w:hAnsi="宋体"/>
                <w:szCs w:val="21"/>
              </w:rPr>
              <w:t>12. ▲提供原厂的数字化远程故障筛排系统，提前预知设备整机及主要零部件的问题，确保设备最高开机率。</w:t>
            </w:r>
          </w:p>
          <w:p w14:paraId="6BFECB91">
            <w:pPr>
              <w:spacing w:line="360" w:lineRule="auto"/>
            </w:pPr>
            <w:r>
              <w:rPr>
                <w:rFonts w:ascii="宋体" w:hAnsi="宋体"/>
                <w:szCs w:val="21"/>
              </w:rPr>
              <w:t>13. 提供基于宽带接入的、可动态远程监测标的设备温湿度实时曲线的软件及硬件,具备对标的设备的电气环境进行24小时实时监测能力。</w:t>
            </w:r>
          </w:p>
          <w:p w14:paraId="28D466B3">
            <w:pPr>
              <w:spacing w:line="360" w:lineRule="auto"/>
            </w:pPr>
            <w:r>
              <w:rPr>
                <w:rFonts w:ascii="宋体" w:hAnsi="宋体"/>
                <w:szCs w:val="21"/>
              </w:rPr>
              <w:t>14. ▲通过远程系统24小时不间断监测设备运行健康状况（温湿度、数据库系统、球管、探测器等核心信息），提供自动预警、主动预防型保障和维修方案。</w:t>
            </w:r>
          </w:p>
          <w:p w14:paraId="77749F97">
            <w:pPr>
              <w:spacing w:line="360" w:lineRule="auto"/>
            </w:pPr>
            <w:r>
              <w:rPr>
                <w:rFonts w:ascii="宋体" w:hAnsi="宋体"/>
                <w:szCs w:val="21"/>
              </w:rPr>
              <w:t>15. 显示CT设备的24小时实时动态的球管异常打火次数，球管使用量等。</w:t>
            </w:r>
          </w:p>
          <w:p w14:paraId="501B5765">
            <w:pPr>
              <w:spacing w:line="360" w:lineRule="auto"/>
            </w:pPr>
            <w:r>
              <w:rPr>
                <w:rFonts w:ascii="宋体" w:hAnsi="宋体"/>
                <w:szCs w:val="21"/>
              </w:rPr>
              <w:t>16. ▲投标人须能合法获得、完整使用有效的原厂高级故障诊断维修钥匙，以解决相应故障。</w:t>
            </w:r>
          </w:p>
          <w:p w14:paraId="43F49B21">
            <w:pPr>
              <w:spacing w:line="360" w:lineRule="auto"/>
            </w:pPr>
            <w:r>
              <w:rPr>
                <w:rFonts w:ascii="宋体" w:hAnsi="宋体"/>
                <w:szCs w:val="21"/>
              </w:rPr>
              <w:t>17. ▲投标人须能及时获取并提供全套完整的原厂系统软硬件改版措施（FA），保修期内免费提供设备（含独立工作站）的系统软件技术补丁和技术支持。</w:t>
            </w:r>
          </w:p>
          <w:p w14:paraId="19F007E0">
            <w:pPr>
              <w:spacing w:line="360" w:lineRule="auto"/>
            </w:pPr>
            <w:r>
              <w:rPr>
                <w:rFonts w:ascii="宋体" w:hAnsi="宋体"/>
                <w:szCs w:val="21"/>
              </w:rPr>
              <w:t>18. ▲投标人或授权投标人的厂商具有GE CT680 的全新进口探测器更换的能力，并提供全新探测器生产厂家采购证明及进口海关报关单据。</w:t>
            </w:r>
          </w:p>
          <w:p w14:paraId="286AC969">
            <w:pPr>
              <w:spacing w:line="360" w:lineRule="auto"/>
            </w:pPr>
            <w:r>
              <w:rPr>
                <w:rFonts w:ascii="宋体" w:hAnsi="宋体"/>
                <w:szCs w:val="21"/>
              </w:rPr>
              <w:t>19. 有专设的电气环境保障团队和设备，检测包括但不限于电网质量、电磁干扰、环境腐蚀气体与震动等。要求时能提供姓名、仪器资料、检测报告作证明。</w:t>
            </w:r>
          </w:p>
          <w:p w14:paraId="23BD7AFE">
            <w:pPr>
              <w:spacing w:line="360" w:lineRule="auto"/>
            </w:pPr>
            <w:r>
              <w:rPr>
                <w:rFonts w:ascii="宋体" w:hAnsi="宋体"/>
                <w:szCs w:val="21"/>
              </w:rPr>
              <w:t>21. 每年提供CT设备保养≥4次，使之保持原厂QC标准或国家质量计监部门之标准，并能提供原厂技术组长或技术支持专家审核合格的PM Report</w:t>
            </w:r>
            <w:r>
              <w:rPr>
                <w:rFonts w:hint="eastAsia" w:ascii="宋体" w:hAnsi="宋体"/>
                <w:szCs w:val="21"/>
              </w:rPr>
              <w:t>，</w:t>
            </w:r>
            <w:r>
              <w:rPr>
                <w:rFonts w:ascii="宋体" w:hAnsi="宋体"/>
                <w:szCs w:val="21"/>
              </w:rPr>
              <w:t>包含但不限于如下项目：</w:t>
            </w:r>
          </w:p>
          <w:p w14:paraId="37241E71">
            <w:pPr>
              <w:spacing w:line="360" w:lineRule="auto"/>
            </w:pPr>
            <w:r>
              <w:rPr>
                <w:rFonts w:ascii="宋体" w:hAnsi="宋体"/>
                <w:szCs w:val="21"/>
              </w:rPr>
              <w:t>（1）机器清洁；</w:t>
            </w:r>
          </w:p>
          <w:p w14:paraId="7FB0A96B">
            <w:pPr>
              <w:spacing w:line="360" w:lineRule="auto"/>
            </w:pPr>
            <w:r>
              <w:rPr>
                <w:rFonts w:ascii="宋体" w:hAnsi="宋体"/>
                <w:szCs w:val="21"/>
              </w:rPr>
              <w:t>（2）性能测试及校准；</w:t>
            </w:r>
          </w:p>
          <w:p w14:paraId="37605BF1">
            <w:pPr>
              <w:spacing w:line="360" w:lineRule="auto"/>
            </w:pPr>
            <w:r>
              <w:rPr>
                <w:rFonts w:ascii="宋体" w:hAnsi="宋体"/>
                <w:szCs w:val="21"/>
              </w:rPr>
              <w:t>（3）必要的机械或电气环境的检查；</w:t>
            </w:r>
          </w:p>
          <w:p w14:paraId="06B3FFF3">
            <w:pPr>
              <w:spacing w:line="360" w:lineRule="auto"/>
            </w:pPr>
            <w:r>
              <w:rPr>
                <w:rFonts w:ascii="宋体" w:hAnsi="宋体"/>
                <w:szCs w:val="21"/>
              </w:rPr>
              <w:t>（4）提供计划性的定期维护报告，且经原厂资深专家审核合格；</w:t>
            </w:r>
          </w:p>
          <w:p w14:paraId="426EC71F">
            <w:pPr>
              <w:spacing w:line="360" w:lineRule="auto"/>
            </w:pPr>
            <w:r>
              <w:rPr>
                <w:rFonts w:ascii="宋体" w:hAnsi="宋体"/>
                <w:szCs w:val="21"/>
              </w:rPr>
              <w:t>22. ▲投标人或授权投标人的厂商具有经合法校正的CT专业维修工具、仪器，并能提供序列号和需校正的工具仪器的校正记录文件（提供相关证明文件）。</w:t>
            </w:r>
          </w:p>
          <w:p w14:paraId="2ED9D2CB">
            <w:pPr>
              <w:spacing w:line="360" w:lineRule="auto"/>
            </w:pPr>
            <w:r>
              <w:rPr>
                <w:rFonts w:ascii="宋体" w:hAnsi="宋体"/>
                <w:szCs w:val="21"/>
              </w:rPr>
              <w:t>22.1. 至少拥有CT高压检测工具≥1套，并提供权威检测部门的相关专业校准合格证书以供核实（提供相关证明文件）。</w:t>
            </w:r>
          </w:p>
          <w:p w14:paraId="75788A1D">
            <w:pPr>
              <w:spacing w:line="360" w:lineRule="auto"/>
            </w:pPr>
            <w:r>
              <w:rPr>
                <w:rFonts w:ascii="宋体" w:hAnsi="宋体"/>
                <w:szCs w:val="21"/>
              </w:rPr>
              <w:t>22.2. 至少拥有CT的DAS/Dector专用工具集≥1套，并提供权威检测部门的相关专业校准合格证书以供核实（提供相关证明文件）。</w:t>
            </w:r>
          </w:p>
          <w:p w14:paraId="2C57689B">
            <w:pPr>
              <w:spacing w:line="360" w:lineRule="auto"/>
            </w:pPr>
            <w:r>
              <w:rPr>
                <w:rFonts w:ascii="宋体" w:hAnsi="宋体"/>
                <w:szCs w:val="21"/>
              </w:rPr>
              <w:t>22.3. 至少拥有力矩扳手/千分表&gt;=1套,滑环专用润滑枪≥1套，其中力矩扳手和千分表应能提供权威检测部门的相关专业校准合格证书以供核实（提供相关证明文件）。</w:t>
            </w:r>
          </w:p>
          <w:p w14:paraId="3054D5B4">
            <w:pPr>
              <w:spacing w:line="360" w:lineRule="auto"/>
              <w:rPr>
                <w:rFonts w:hint="eastAsia" w:ascii="宋体" w:hAnsi="宋体"/>
                <w:szCs w:val="21"/>
              </w:rPr>
            </w:pPr>
            <w:r>
              <w:rPr>
                <w:rFonts w:ascii="宋体" w:hAnsi="宋体"/>
                <w:szCs w:val="21"/>
              </w:rPr>
              <w:t>23. ▲提供每年1人次原厂临床应用课堂培训。</w:t>
            </w:r>
          </w:p>
          <w:p w14:paraId="41973A99">
            <w:pPr>
              <w:spacing w:line="360" w:lineRule="auto"/>
              <w:rPr>
                <w:rFonts w:hint="eastAsia" w:ascii="宋体" w:hAnsi="宋体"/>
                <w:szCs w:val="21"/>
              </w:rPr>
            </w:pPr>
            <w:r>
              <w:rPr>
                <w:rFonts w:hint="eastAsia" w:ascii="宋体" w:hAnsi="宋体"/>
                <w:szCs w:val="21"/>
              </w:rPr>
              <w:t>24.</w:t>
            </w:r>
            <w:r>
              <w:rPr>
                <w:rFonts w:ascii="宋体" w:hAnsi="宋体"/>
                <w:szCs w:val="21"/>
              </w:rPr>
              <w:t xml:space="preserve"> 投标人或授权投标人的厂商通</w:t>
            </w:r>
            <w:r>
              <w:rPr>
                <w:rFonts w:hint="eastAsia" w:ascii="宋体" w:hAnsi="宋体"/>
                <w:szCs w:val="21"/>
              </w:rPr>
              <w:t>提供的临床培训服务工程师为全职临床应用培训讲师；（提供资质证明）</w:t>
            </w:r>
          </w:p>
          <w:p w14:paraId="61AFE21C">
            <w:pPr>
              <w:spacing w:line="360" w:lineRule="auto"/>
              <w:rPr>
                <w:rFonts w:hint="eastAsia" w:ascii="宋体" w:hAnsi="宋体"/>
                <w:szCs w:val="21"/>
              </w:rPr>
            </w:pPr>
            <w:r>
              <w:rPr>
                <w:rFonts w:hint="eastAsia" w:ascii="宋体" w:hAnsi="宋体"/>
                <w:szCs w:val="21"/>
              </w:rPr>
              <w:t>26.提供远程电话临床应用支持，针对客户在设备保修期内设备使用过程中的扫描参数，操作流程，图像后处理，临床应用等问题通过400客户电话解决</w:t>
            </w:r>
          </w:p>
          <w:p w14:paraId="338246E8">
            <w:pPr>
              <w:spacing w:line="360" w:lineRule="auto"/>
            </w:pPr>
            <w:r>
              <w:rPr>
                <w:rFonts w:ascii="宋体" w:hAnsi="宋体"/>
                <w:szCs w:val="21"/>
              </w:rPr>
              <w:t>2</w:t>
            </w:r>
            <w:r>
              <w:rPr>
                <w:rFonts w:hint="eastAsia" w:ascii="宋体" w:hAnsi="宋体"/>
                <w:szCs w:val="21"/>
              </w:rPr>
              <w:t>7</w:t>
            </w:r>
            <w:r>
              <w:rPr>
                <w:rFonts w:ascii="宋体" w:hAnsi="宋体"/>
                <w:szCs w:val="21"/>
              </w:rPr>
              <w:t>. 服务期内，服务商提供的GE CT680球管必须为原厂全新球管，并提供此球管相关的海关报关手续，证明其为全新原装球管。球管技术参数要求如下：</w:t>
            </w:r>
          </w:p>
          <w:tbl>
            <w:tblPr>
              <w:tblStyle w:val="8"/>
              <w:tblW w:w="8265" w:type="dxa"/>
              <w:jc w:val="center"/>
              <w:tblLayout w:type="fixed"/>
              <w:tblCellMar>
                <w:top w:w="0" w:type="dxa"/>
                <w:left w:w="108" w:type="dxa"/>
                <w:bottom w:w="0" w:type="dxa"/>
                <w:right w:w="108" w:type="dxa"/>
              </w:tblCellMar>
            </w:tblPr>
            <w:tblGrid>
              <w:gridCol w:w="1130"/>
              <w:gridCol w:w="7135"/>
            </w:tblGrid>
            <w:tr w14:paraId="25C0DAAD">
              <w:tblPrEx>
                <w:tblCellMar>
                  <w:top w:w="0" w:type="dxa"/>
                  <w:left w:w="108" w:type="dxa"/>
                  <w:bottom w:w="0" w:type="dxa"/>
                  <w:right w:w="108" w:type="dxa"/>
                </w:tblCellMar>
              </w:tblPrEx>
              <w:trPr>
                <w:trHeight w:val="718"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E6F9FD">
                  <w:pPr>
                    <w:spacing w:line="276" w:lineRule="auto"/>
                    <w:jc w:val="left"/>
                  </w:pPr>
                  <w:r>
                    <w:rPr>
                      <w:rFonts w:ascii="宋体" w:hAnsi="宋体"/>
                      <w:kern w:val="0"/>
                      <w:szCs w:val="21"/>
                    </w:rPr>
                    <w:t>▲1</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11323B">
                  <w:pPr>
                    <w:spacing w:line="276" w:lineRule="auto"/>
                    <w:jc w:val="left"/>
                  </w:pPr>
                  <w:r>
                    <w:rPr>
                      <w:rFonts w:ascii="宋体" w:hAnsi="宋体"/>
                      <w:szCs w:val="21"/>
                    </w:rPr>
                    <w:t>服务商提供的</w:t>
                  </w:r>
                  <w:r>
                    <w:rPr>
                      <w:rFonts w:hint="eastAsia" w:ascii="宋体" w:hAnsi="宋体"/>
                      <w:szCs w:val="21"/>
                    </w:rPr>
                    <w:t>CT680</w:t>
                  </w:r>
                  <w:r>
                    <w:rPr>
                      <w:rFonts w:ascii="宋体" w:hAnsi="宋体"/>
                      <w:szCs w:val="21"/>
                    </w:rPr>
                    <w:t>球管必须为原厂全新球管，并提供球管相关的海关报关手续，证明其为全新原装球管</w:t>
                  </w:r>
                </w:p>
              </w:tc>
            </w:tr>
            <w:tr w14:paraId="268FB26C">
              <w:tblPrEx>
                <w:tblCellMar>
                  <w:top w:w="0" w:type="dxa"/>
                  <w:left w:w="108" w:type="dxa"/>
                  <w:bottom w:w="0" w:type="dxa"/>
                  <w:right w:w="108" w:type="dxa"/>
                </w:tblCellMar>
              </w:tblPrEx>
              <w:trPr>
                <w:trHeight w:val="448"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91DF22">
                  <w:pPr>
                    <w:spacing w:line="276" w:lineRule="auto"/>
                    <w:jc w:val="left"/>
                  </w:pPr>
                  <w:r>
                    <w:rPr>
                      <w:rFonts w:ascii="宋体" w:hAnsi="宋体"/>
                      <w:kern w:val="0"/>
                      <w:szCs w:val="21"/>
                    </w:rPr>
                    <w:t>▲2</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2A15B5">
                  <w:pPr>
                    <w:spacing w:line="276" w:lineRule="auto"/>
                    <w:jc w:val="left"/>
                  </w:pPr>
                  <w:r>
                    <w:rPr>
                      <w:rFonts w:ascii="宋体" w:hAnsi="宋体"/>
                      <w:szCs w:val="21"/>
                    </w:rPr>
                    <w:t>提供球管与CT整机匹配的SFDA认证报告</w:t>
                  </w:r>
                </w:p>
              </w:tc>
            </w:tr>
            <w:tr w14:paraId="6BD5A11F">
              <w:tblPrEx>
                <w:tblCellMar>
                  <w:top w:w="0" w:type="dxa"/>
                  <w:left w:w="108" w:type="dxa"/>
                  <w:bottom w:w="0" w:type="dxa"/>
                  <w:right w:w="108" w:type="dxa"/>
                </w:tblCellMar>
              </w:tblPrEx>
              <w:trPr>
                <w:trHeight w:val="52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BCA1C3">
                  <w:pPr>
                    <w:spacing w:line="276" w:lineRule="auto"/>
                    <w:jc w:val="left"/>
                  </w:pPr>
                  <w:r>
                    <w:rPr>
                      <w:rFonts w:ascii="宋体" w:hAnsi="宋体"/>
                      <w:kern w:val="0"/>
                      <w:szCs w:val="21"/>
                    </w:rPr>
                    <w:t>▲3</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96AF72">
                  <w:pPr>
                    <w:spacing w:line="276" w:lineRule="auto"/>
                    <w:jc w:val="left"/>
                  </w:pPr>
                  <w:r>
                    <w:rPr>
                      <w:rFonts w:ascii="宋体" w:hAnsi="宋体"/>
                      <w:szCs w:val="21"/>
                    </w:rPr>
                    <w:t>提供投标型号球管的原版技术白皮书（DATA SHEET），且以下应标参数均以此技术白皮书为准</w:t>
                  </w:r>
                </w:p>
              </w:tc>
            </w:tr>
            <w:tr w14:paraId="63C8EC3E">
              <w:tblPrEx>
                <w:tblCellMar>
                  <w:top w:w="0" w:type="dxa"/>
                  <w:left w:w="108" w:type="dxa"/>
                  <w:bottom w:w="0" w:type="dxa"/>
                  <w:right w:w="108" w:type="dxa"/>
                </w:tblCellMar>
              </w:tblPrEx>
              <w:trPr>
                <w:trHeight w:val="36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931413">
                  <w:pPr>
                    <w:spacing w:line="276" w:lineRule="auto"/>
                    <w:jc w:val="left"/>
                  </w:pPr>
                  <w:r>
                    <w:rPr>
                      <w:rFonts w:ascii="宋体" w:hAnsi="宋体"/>
                      <w:kern w:val="0"/>
                      <w:szCs w:val="21"/>
                    </w:rPr>
                    <w:t>4</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7619D0">
                  <w:pPr>
                    <w:spacing w:line="276" w:lineRule="auto"/>
                    <w:jc w:val="left"/>
                  </w:pPr>
                  <w:r>
                    <w:rPr>
                      <w:rFonts w:ascii="宋体" w:hAnsi="宋体"/>
                      <w:szCs w:val="21"/>
                    </w:rPr>
                    <w:t>阳极热容量：5.</w:t>
                  </w:r>
                  <w:r>
                    <w:rPr>
                      <w:rFonts w:hint="eastAsia" w:ascii="宋体" w:hAnsi="宋体"/>
                      <w:szCs w:val="21"/>
                    </w:rPr>
                    <w:t>0</w:t>
                  </w:r>
                  <w:r>
                    <w:rPr>
                      <w:rFonts w:ascii="宋体" w:hAnsi="宋体"/>
                      <w:szCs w:val="21"/>
                    </w:rPr>
                    <w:t>MJ</w:t>
                  </w:r>
                </w:p>
              </w:tc>
            </w:tr>
            <w:tr w14:paraId="0CFF3AB6">
              <w:tblPrEx>
                <w:tblCellMar>
                  <w:top w:w="0" w:type="dxa"/>
                  <w:left w:w="108" w:type="dxa"/>
                  <w:bottom w:w="0" w:type="dxa"/>
                  <w:right w:w="108" w:type="dxa"/>
                </w:tblCellMar>
              </w:tblPrEx>
              <w:trPr>
                <w:trHeight w:val="409"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1C02C2">
                  <w:pPr>
                    <w:spacing w:line="276" w:lineRule="auto"/>
                    <w:jc w:val="left"/>
                  </w:pPr>
                  <w:r>
                    <w:rPr>
                      <w:rFonts w:ascii="宋体" w:hAnsi="宋体"/>
                      <w:kern w:val="0"/>
                      <w:szCs w:val="21"/>
                    </w:rPr>
                    <w:t>5</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A2861A">
                  <w:pPr>
                    <w:spacing w:line="276" w:lineRule="auto"/>
                    <w:jc w:val="left"/>
                  </w:pPr>
                  <w:r>
                    <w:rPr>
                      <w:rFonts w:ascii="宋体" w:hAnsi="宋体"/>
                      <w:szCs w:val="21"/>
                    </w:rPr>
                    <w:t>管套热容量要求不小于7.7MJ\</w:t>
                  </w:r>
                </w:p>
              </w:tc>
            </w:tr>
            <w:tr w14:paraId="717EED28">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7C127D">
                  <w:pPr>
                    <w:spacing w:line="276" w:lineRule="auto"/>
                    <w:jc w:val="left"/>
                  </w:pPr>
                  <w:r>
                    <w:rPr>
                      <w:rFonts w:ascii="宋体" w:hAnsi="宋体"/>
                      <w:kern w:val="0"/>
                      <w:szCs w:val="21"/>
                    </w:rPr>
                    <w:t>6</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DE0BFE">
                  <w:pPr>
                    <w:spacing w:line="276" w:lineRule="auto"/>
                    <w:jc w:val="left"/>
                  </w:pPr>
                  <w:r>
                    <w:rPr>
                      <w:rFonts w:ascii="宋体" w:hAnsi="宋体"/>
                      <w:szCs w:val="21"/>
                    </w:rPr>
                    <w:t>焦点数量：≥两个</w:t>
                  </w:r>
                </w:p>
              </w:tc>
            </w:tr>
            <w:tr w14:paraId="64C65C1D">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5D083A">
                  <w:pPr>
                    <w:spacing w:line="276" w:lineRule="auto"/>
                    <w:jc w:val="left"/>
                  </w:pPr>
                  <w:r>
                    <w:rPr>
                      <w:rFonts w:ascii="宋体" w:hAnsi="宋体"/>
                      <w:kern w:val="0"/>
                      <w:szCs w:val="21"/>
                    </w:rPr>
                    <w:t>7</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1153BD">
                  <w:pPr>
                    <w:spacing w:line="276" w:lineRule="auto"/>
                    <w:jc w:val="left"/>
                  </w:pPr>
                  <w:r>
                    <w:t>焦点尺寸（IEC 336/2005）：小焦点≤0.9mm*0.7mm；大焦点≥1.2mm*1.1mm</w:t>
                  </w:r>
                </w:p>
              </w:tc>
            </w:tr>
            <w:tr w14:paraId="0D10E46C">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C8B84D">
                  <w:pPr>
                    <w:spacing w:line="276" w:lineRule="auto"/>
                    <w:jc w:val="left"/>
                  </w:pPr>
                  <w:r>
                    <w:rPr>
                      <w:rFonts w:ascii="宋体" w:hAnsi="宋体"/>
                      <w:kern w:val="0"/>
                      <w:szCs w:val="21"/>
                    </w:rPr>
                    <w:t>▲8</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532DCD">
                  <w:pPr>
                    <w:spacing w:line="276" w:lineRule="auto"/>
                    <w:jc w:val="left"/>
                  </w:pPr>
                  <w:r>
                    <w:rPr>
                      <w:rFonts w:ascii="宋体" w:hAnsi="宋体"/>
                      <w:szCs w:val="21"/>
                    </w:rPr>
                    <w:t>焦点功率要求最大≥72KW</w:t>
                  </w:r>
                </w:p>
              </w:tc>
            </w:tr>
            <w:tr w14:paraId="52DB8182">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17B9A2">
                  <w:pPr>
                    <w:spacing w:line="276" w:lineRule="auto"/>
                    <w:jc w:val="left"/>
                  </w:pPr>
                  <w:r>
                    <w:rPr>
                      <w:rFonts w:ascii="宋体" w:hAnsi="宋体"/>
                      <w:kern w:val="0"/>
                      <w:szCs w:val="21"/>
                    </w:rPr>
                    <w:t>9</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3950C0">
                  <w:pPr>
                    <w:spacing w:line="276" w:lineRule="auto"/>
                    <w:jc w:val="left"/>
                  </w:pPr>
                  <w:r>
                    <w:t>120KV时最大毫安输出不低于600mA</w:t>
                  </w:r>
                </w:p>
              </w:tc>
            </w:tr>
            <w:tr w14:paraId="76C5F4D8">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043510">
                  <w:pPr>
                    <w:spacing w:line="276" w:lineRule="auto"/>
                    <w:jc w:val="left"/>
                  </w:pPr>
                  <w:r>
                    <w:rPr>
                      <w:rFonts w:ascii="宋体" w:hAnsi="宋体"/>
                      <w:kern w:val="0"/>
                      <w:szCs w:val="21"/>
                    </w:rPr>
                    <w:t>▲10</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7482AD">
                  <w:pPr>
                    <w:spacing w:line="276" w:lineRule="auto"/>
                    <w:jc w:val="left"/>
                  </w:pPr>
                  <w:r>
                    <w:t>管套出线窗口FOV（Field of View）尺寸：40mm</w:t>
                  </w:r>
                </w:p>
              </w:tc>
            </w:tr>
            <w:tr w14:paraId="208B3F01">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4F060B">
                  <w:pPr>
                    <w:spacing w:line="276" w:lineRule="auto"/>
                    <w:jc w:val="left"/>
                  </w:pPr>
                  <w:r>
                    <w:rPr>
                      <w:rFonts w:ascii="宋体" w:hAnsi="宋体"/>
                      <w:kern w:val="0"/>
                      <w:szCs w:val="21"/>
                    </w:rPr>
                    <w:t>11</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A7AC57">
                  <w:pPr>
                    <w:spacing w:line="276" w:lineRule="auto"/>
                    <w:jc w:val="left"/>
                  </w:pPr>
                  <w:r>
                    <w:t>支持0.35秒每圈的高速旋转</w:t>
                  </w:r>
                </w:p>
              </w:tc>
            </w:tr>
            <w:tr w14:paraId="4A598107">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FCC216">
                  <w:pPr>
                    <w:spacing w:line="276" w:lineRule="auto"/>
                    <w:jc w:val="left"/>
                  </w:pPr>
                  <w:r>
                    <w:rPr>
                      <w:rFonts w:ascii="宋体" w:hAnsi="宋体"/>
                      <w:kern w:val="0"/>
                      <w:szCs w:val="21"/>
                    </w:rPr>
                    <w:t>▲12</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AE8CBA">
                  <w:pPr>
                    <w:spacing w:line="276" w:lineRule="auto"/>
                    <w:jc w:val="left"/>
                  </w:pPr>
                  <w:r>
                    <w:t>球管拥有ASiR芯片，并提供接口，以支持小宝石CT的ASiR技术</w:t>
                  </w:r>
                </w:p>
              </w:tc>
            </w:tr>
            <w:tr w14:paraId="571CF77F">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B7D1FE">
                  <w:pPr>
                    <w:spacing w:line="276" w:lineRule="auto"/>
                    <w:jc w:val="left"/>
                  </w:pPr>
                  <w:r>
                    <w:t>13</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FFDF0E">
                  <w:pPr>
                    <w:spacing w:line="276" w:lineRule="auto"/>
                    <w:jc w:val="left"/>
                  </w:pPr>
                  <w:r>
                    <w:rPr>
                      <w:rFonts w:ascii="宋体" w:hAnsi="宋体"/>
                      <w:szCs w:val="21"/>
                    </w:rPr>
                    <w:t>球管最大额定电压≥140KV</w:t>
                  </w:r>
                </w:p>
              </w:tc>
            </w:tr>
            <w:tr w14:paraId="3D78C57D">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4FB40F">
                  <w:pPr>
                    <w:spacing w:line="276" w:lineRule="auto"/>
                    <w:jc w:val="left"/>
                  </w:pPr>
                  <w:r>
                    <w:rPr>
                      <w:rFonts w:ascii="宋体" w:hAnsi="宋体"/>
                      <w:kern w:val="0"/>
                      <w:szCs w:val="21"/>
                    </w:rPr>
                    <w:t>14</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BB4CA9">
                  <w:pPr>
                    <w:spacing w:line="276" w:lineRule="auto"/>
                    <w:jc w:val="left"/>
                  </w:pPr>
                  <w:r>
                    <w:rPr>
                      <w:rFonts w:ascii="宋体" w:hAnsi="宋体"/>
                      <w:szCs w:val="21"/>
                    </w:rPr>
                    <w:t>阳极靶面角度：7度</w:t>
                  </w:r>
                </w:p>
              </w:tc>
            </w:tr>
          </w:tbl>
          <w:p w14:paraId="5D3D1AEF">
            <w:pPr>
              <w:spacing w:before="240" w:line="360" w:lineRule="auto"/>
            </w:pPr>
            <w:r>
              <w:rPr>
                <w:rFonts w:ascii="宋体" w:hAnsi="宋体"/>
                <w:szCs w:val="21"/>
              </w:rPr>
              <w:t>2</w:t>
            </w:r>
            <w:r>
              <w:rPr>
                <w:rFonts w:hint="eastAsia" w:ascii="宋体" w:hAnsi="宋体"/>
                <w:szCs w:val="21"/>
              </w:rPr>
              <w:t>8</w:t>
            </w:r>
            <w:r>
              <w:rPr>
                <w:rFonts w:ascii="宋体" w:hAnsi="宋体"/>
                <w:szCs w:val="21"/>
              </w:rPr>
              <w:t>. 对GE CT680设备，投标人或授权投标人的厂商须提供数字化服务，满足如下要求：</w:t>
            </w:r>
          </w:p>
          <w:p w14:paraId="0C3F2A74">
            <w:pPr>
              <w:spacing w:line="360" w:lineRule="auto"/>
            </w:pPr>
            <w:r>
              <w:rPr>
                <w:rFonts w:ascii="宋体" w:hAnsi="宋体"/>
                <w:szCs w:val="21"/>
              </w:rPr>
              <w:t>2</w:t>
            </w:r>
            <w:r>
              <w:rPr>
                <w:rFonts w:hint="eastAsia" w:ascii="宋体" w:hAnsi="宋体"/>
                <w:szCs w:val="21"/>
              </w:rPr>
              <w:t>8</w:t>
            </w:r>
            <w:r>
              <w:rPr>
                <w:rFonts w:ascii="宋体" w:hAnsi="宋体"/>
                <w:szCs w:val="21"/>
              </w:rPr>
              <w:t>.1. ▲提供基于专用路由器，宽带接入式的数字化远程服务平台。</w:t>
            </w:r>
          </w:p>
          <w:p w14:paraId="6E4C5FA2">
            <w:pPr>
              <w:spacing w:line="360" w:lineRule="auto"/>
            </w:pPr>
            <w:r>
              <w:rPr>
                <w:rFonts w:ascii="宋体" w:hAnsi="宋体"/>
                <w:szCs w:val="21"/>
              </w:rPr>
              <w:t>2</w:t>
            </w:r>
            <w:r>
              <w:rPr>
                <w:rFonts w:hint="eastAsia" w:ascii="宋体" w:hAnsi="宋体"/>
                <w:szCs w:val="21"/>
              </w:rPr>
              <w:t>8</w:t>
            </w:r>
            <w:r>
              <w:rPr>
                <w:rFonts w:ascii="宋体" w:hAnsi="宋体"/>
                <w:szCs w:val="21"/>
              </w:rPr>
              <w:t>.2. ▲远程服务平台应具备对CT核心部件主要参数的实时监测能力。</w:t>
            </w:r>
          </w:p>
          <w:p w14:paraId="02FDAC3D">
            <w:pPr>
              <w:spacing w:line="360" w:lineRule="auto"/>
            </w:pPr>
            <w:r>
              <w:rPr>
                <w:rFonts w:ascii="宋体" w:hAnsi="宋体"/>
                <w:szCs w:val="21"/>
              </w:rPr>
              <w:t>2</w:t>
            </w:r>
            <w:r>
              <w:rPr>
                <w:rFonts w:hint="eastAsia" w:ascii="宋体" w:hAnsi="宋体"/>
                <w:szCs w:val="21"/>
              </w:rPr>
              <w:t>8</w:t>
            </w:r>
            <w:r>
              <w:rPr>
                <w:rFonts w:ascii="宋体" w:hAnsi="宋体"/>
                <w:szCs w:val="21"/>
              </w:rPr>
              <w:t>.3. ▲远程服务平台应具备远程应用交流、故障诊断以及修复能力。</w:t>
            </w:r>
          </w:p>
          <w:p w14:paraId="58C5404E">
            <w:pPr>
              <w:spacing w:line="360" w:lineRule="auto"/>
            </w:pPr>
            <w:r>
              <w:rPr>
                <w:rFonts w:ascii="宋体" w:hAnsi="宋体"/>
                <w:szCs w:val="21"/>
              </w:rPr>
              <w:t>2</w:t>
            </w:r>
            <w:r>
              <w:rPr>
                <w:rFonts w:hint="eastAsia" w:ascii="宋体" w:hAnsi="宋体"/>
                <w:szCs w:val="21"/>
              </w:rPr>
              <w:t>8</w:t>
            </w:r>
            <w:r>
              <w:rPr>
                <w:rFonts w:ascii="宋体" w:hAnsi="宋体"/>
                <w:szCs w:val="21"/>
              </w:rPr>
              <w:t>.4. 支持客户通过登录提供的链接查询相关设备状态信息。</w:t>
            </w:r>
          </w:p>
          <w:p w14:paraId="2240C742">
            <w:pPr>
              <w:spacing w:line="360" w:lineRule="auto"/>
            </w:pPr>
            <w:r>
              <w:rPr>
                <w:rFonts w:ascii="宋体" w:hAnsi="宋体"/>
                <w:szCs w:val="21"/>
              </w:rPr>
              <w:t>2</w:t>
            </w:r>
            <w:r>
              <w:rPr>
                <w:rFonts w:hint="eastAsia" w:ascii="宋体" w:hAnsi="宋体"/>
                <w:szCs w:val="21"/>
              </w:rPr>
              <w:t>8</w:t>
            </w:r>
            <w:r>
              <w:rPr>
                <w:rFonts w:ascii="宋体" w:hAnsi="宋体"/>
                <w:szCs w:val="21"/>
              </w:rPr>
              <w:t>.5. 支持设备保养预约提示以及保养纪录查询。</w:t>
            </w:r>
          </w:p>
          <w:p w14:paraId="2A28EE11">
            <w:pPr>
              <w:spacing w:line="360" w:lineRule="auto"/>
            </w:pPr>
            <w:r>
              <w:rPr>
                <w:rFonts w:ascii="宋体" w:hAnsi="宋体"/>
                <w:szCs w:val="21"/>
              </w:rPr>
              <w:t>2</w:t>
            </w:r>
            <w:r>
              <w:rPr>
                <w:rFonts w:hint="eastAsia" w:ascii="宋体" w:hAnsi="宋体"/>
                <w:szCs w:val="21"/>
              </w:rPr>
              <w:t>8</w:t>
            </w:r>
            <w:r>
              <w:rPr>
                <w:rFonts w:ascii="宋体" w:hAnsi="宋体"/>
                <w:szCs w:val="21"/>
              </w:rPr>
              <w:t>.6. 支持合同状态、工程师派工、维修记录等多种信息查询。</w:t>
            </w:r>
          </w:p>
          <w:p w14:paraId="7F41D9C3">
            <w:pPr>
              <w:spacing w:line="360" w:lineRule="auto"/>
            </w:pPr>
            <w:r>
              <w:rPr>
                <w:rFonts w:ascii="宋体" w:hAnsi="宋体"/>
                <w:szCs w:val="21"/>
              </w:rPr>
              <w:t>2</w:t>
            </w:r>
            <w:r>
              <w:rPr>
                <w:rFonts w:hint="eastAsia" w:ascii="宋体" w:hAnsi="宋体"/>
                <w:szCs w:val="21"/>
              </w:rPr>
              <w:t>8</w:t>
            </w:r>
            <w:r>
              <w:rPr>
                <w:rFonts w:ascii="宋体" w:hAnsi="宋体"/>
                <w:szCs w:val="21"/>
              </w:rPr>
              <w:t>.7. 支持二维码资产管理以及扫码报修。</w:t>
            </w:r>
          </w:p>
          <w:p w14:paraId="1C4C1B02">
            <w:pPr>
              <w:spacing w:line="360" w:lineRule="auto"/>
            </w:pPr>
            <w:r>
              <w:rPr>
                <w:rFonts w:ascii="宋体" w:hAnsi="宋体"/>
                <w:szCs w:val="21"/>
              </w:rPr>
              <w:t>2</w:t>
            </w:r>
            <w:r>
              <w:rPr>
                <w:rFonts w:hint="eastAsia" w:ascii="宋体" w:hAnsi="宋体"/>
                <w:szCs w:val="21"/>
              </w:rPr>
              <w:t>8</w:t>
            </w:r>
            <w:r>
              <w:rPr>
                <w:rFonts w:ascii="宋体" w:hAnsi="宋体"/>
                <w:szCs w:val="21"/>
              </w:rPr>
              <w:t>.8. 支持应用服务适配PC机和手持移动终端设备。</w:t>
            </w:r>
          </w:p>
          <w:p w14:paraId="2EB4D74C">
            <w:r>
              <w:rPr>
                <w:rFonts w:hint="eastAsia"/>
              </w:rPr>
              <w:t>29. 核心部件球管到货时间小于等于48小时，提供承诺函；核心部件球管保障供应，提供库存证明</w:t>
            </w:r>
          </w:p>
          <w:p w14:paraId="6AB44198">
            <w:pPr>
              <w:pStyle w:val="2"/>
              <w:rPr>
                <w:sz w:val="22"/>
                <w:szCs w:val="22"/>
              </w:rPr>
            </w:pPr>
          </w:p>
          <w:p w14:paraId="20454CE5">
            <w:pPr>
              <w:pStyle w:val="2"/>
              <w:rPr>
                <w:sz w:val="22"/>
                <w:szCs w:val="22"/>
              </w:rPr>
            </w:pPr>
          </w:p>
          <w:p w14:paraId="1DA3BD84">
            <w:pPr>
              <w:tabs>
                <w:tab w:val="left" w:pos="-720"/>
              </w:tabs>
              <w:suppressAutoHyphens/>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设备注册证名称：计算机X射线断层扫描仪</w:t>
            </w:r>
          </w:p>
          <w:p w14:paraId="2DAA4001">
            <w:pPr>
              <w:tabs>
                <w:tab w:val="left" w:pos="-720"/>
              </w:tabs>
              <w:suppressAutoHyphens/>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品牌：GE</w:t>
            </w:r>
          </w:p>
          <w:p w14:paraId="7766320A">
            <w:pPr>
              <w:tabs>
                <w:tab w:val="left" w:pos="-720"/>
              </w:tabs>
              <w:suppressAutoHyphens/>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规格型号：Optima CT680 Quantum</w:t>
            </w:r>
          </w:p>
          <w:p w14:paraId="269A9502">
            <w:pPr>
              <w:pStyle w:val="2"/>
              <w:rPr>
                <w:sz w:val="22"/>
                <w:szCs w:val="22"/>
              </w:rPr>
            </w:pPr>
          </w:p>
        </w:tc>
      </w:tr>
    </w:tbl>
    <w:p w14:paraId="78DCC629">
      <w:pPr>
        <w:spacing w:line="520" w:lineRule="exact"/>
        <w:jc w:val="left"/>
        <w:rPr>
          <w:rFonts w:hint="eastAsia" w:ascii="仿宋_GB2312" w:hAnsi="华文仿宋" w:eastAsia="仿宋_GB2312"/>
          <w:b/>
          <w:sz w:val="28"/>
          <w:szCs w:val="28"/>
        </w:rPr>
      </w:pPr>
      <w:r>
        <w:rPr>
          <w:rFonts w:hint="eastAsia" w:ascii="仿宋_GB2312" w:hAnsi="华文仿宋" w:eastAsia="仿宋_GB2312"/>
          <w:b/>
          <w:sz w:val="28"/>
          <w:szCs w:val="28"/>
        </w:rPr>
        <w:t>内容提示：</w:t>
      </w:r>
    </w:p>
    <w:p w14:paraId="48AB0E4D">
      <w:pPr>
        <w:spacing w:line="520" w:lineRule="exact"/>
        <w:jc w:val="left"/>
        <w:rPr>
          <w:rFonts w:hint="eastAsia" w:ascii="仿宋_GB2312" w:hAnsi="华文仿宋" w:eastAsia="仿宋_GB2312"/>
          <w:sz w:val="28"/>
          <w:szCs w:val="28"/>
        </w:rPr>
      </w:pPr>
      <w:r>
        <w:rPr>
          <w:rFonts w:hint="eastAsia" w:ascii="仿宋_GB2312" w:hAnsi="华文仿宋" w:eastAsia="仿宋_GB2312"/>
          <w:sz w:val="28"/>
          <w:szCs w:val="28"/>
        </w:rPr>
        <w:t>包括但不限于：</w:t>
      </w:r>
    </w:p>
    <w:p w14:paraId="6550801B">
      <w:pPr>
        <w:spacing w:line="520" w:lineRule="exact"/>
        <w:jc w:val="left"/>
        <w:rPr>
          <w:rFonts w:hint="eastAsia" w:ascii="仿宋_GB2312" w:hAnsi="华文仿宋" w:eastAsia="仿宋_GB2312"/>
          <w:sz w:val="28"/>
          <w:szCs w:val="28"/>
        </w:rPr>
      </w:pPr>
      <w:r>
        <w:rPr>
          <w:rFonts w:hint="eastAsia" w:ascii="仿宋_GB2312" w:hAnsi="华文仿宋" w:eastAsia="仿宋_GB2312"/>
          <w:sz w:val="28"/>
          <w:szCs w:val="28"/>
        </w:rPr>
        <w:t>服务范围；服务期限；服务内容、技术标准、工作质量要求；人员要求（岗位要求、数量）；设备要求（设备名称、数量）；后续服务要求；考核办法/验收方式；报价要求；付款方式；其他需说明的事项；</w:t>
      </w:r>
    </w:p>
    <w:p w14:paraId="5C4F675F">
      <w:pPr>
        <w:tabs>
          <w:tab w:val="left" w:pos="312"/>
        </w:tabs>
        <w:spacing w:line="520" w:lineRule="exact"/>
        <w:ind w:firstLine="560" w:firstLineChars="200"/>
        <w:jc w:val="left"/>
        <w:rPr>
          <w:rFonts w:hint="eastAsia" w:ascii="仿宋_GB2312" w:hAnsi="华文仿宋" w:eastAsia="仿宋_GB2312"/>
          <w:sz w:val="28"/>
          <w:szCs w:val="28"/>
        </w:rPr>
      </w:pPr>
    </w:p>
    <w:p w14:paraId="6D3D8000"/>
    <w:p w14:paraId="6B646DB1"/>
    <w:p w14:paraId="06D11C83"/>
    <w:p w14:paraId="1F3F6EC9"/>
    <w:p w14:paraId="5F89DA67"/>
    <w:p w14:paraId="468C82E6"/>
    <w:p w14:paraId="17869776"/>
    <w:p w14:paraId="38634EC2"/>
    <w:sectPr>
      <w:headerReference r:id="rId3" w:type="default"/>
      <w:footerReference r:id="rId4" w:type="default"/>
      <w:footerReference r:id="rId5"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3128">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14</w:t>
    </w:r>
    <w:r>
      <w:fldChar w:fldCharType="end"/>
    </w:r>
  </w:p>
  <w:p w14:paraId="2DBEAB3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CAEF">
    <w:pPr>
      <w:pStyle w:val="6"/>
      <w:framePr w:wrap="around" w:vAnchor="text" w:hAnchor="margin" w:xAlign="center" w:y="1"/>
      <w:rPr>
        <w:rStyle w:val="10"/>
      </w:rPr>
    </w:pPr>
    <w:r>
      <w:fldChar w:fldCharType="begin"/>
    </w:r>
    <w:r>
      <w:rPr>
        <w:rStyle w:val="10"/>
      </w:rPr>
      <w:instrText xml:space="preserve">PAGE  </w:instrText>
    </w:r>
    <w:r>
      <w:fldChar w:fldCharType="end"/>
    </w:r>
  </w:p>
  <w:p w14:paraId="6EA61E4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C6A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mRlNDU3NGEzNjI1NDQyMDllNWVlNzk1MzhhMzIifQ=="/>
  </w:docVars>
  <w:rsids>
    <w:rsidRoot w:val="00E455EA"/>
    <w:rsid w:val="00076BF7"/>
    <w:rsid w:val="000A436D"/>
    <w:rsid w:val="000E3024"/>
    <w:rsid w:val="000F7C3A"/>
    <w:rsid w:val="00132139"/>
    <w:rsid w:val="00133E9D"/>
    <w:rsid w:val="001511AE"/>
    <w:rsid w:val="00173A69"/>
    <w:rsid w:val="00173D66"/>
    <w:rsid w:val="001A47BF"/>
    <w:rsid w:val="001B53CA"/>
    <w:rsid w:val="001C16D1"/>
    <w:rsid w:val="001C715E"/>
    <w:rsid w:val="001E6C4B"/>
    <w:rsid w:val="001F4896"/>
    <w:rsid w:val="00200FD4"/>
    <w:rsid w:val="0023037E"/>
    <w:rsid w:val="002405A8"/>
    <w:rsid w:val="00282C54"/>
    <w:rsid w:val="00287A32"/>
    <w:rsid w:val="002C66CD"/>
    <w:rsid w:val="002D365C"/>
    <w:rsid w:val="00307312"/>
    <w:rsid w:val="00322A44"/>
    <w:rsid w:val="0033315E"/>
    <w:rsid w:val="0035699C"/>
    <w:rsid w:val="0036341C"/>
    <w:rsid w:val="00373D93"/>
    <w:rsid w:val="003A687D"/>
    <w:rsid w:val="003E61F9"/>
    <w:rsid w:val="003F44CC"/>
    <w:rsid w:val="0041127E"/>
    <w:rsid w:val="00430DB2"/>
    <w:rsid w:val="0044535E"/>
    <w:rsid w:val="004456CA"/>
    <w:rsid w:val="00447AA2"/>
    <w:rsid w:val="004860C1"/>
    <w:rsid w:val="004A44BB"/>
    <w:rsid w:val="004C0C88"/>
    <w:rsid w:val="004C159C"/>
    <w:rsid w:val="004C4CEA"/>
    <w:rsid w:val="004C5E78"/>
    <w:rsid w:val="004F4B6A"/>
    <w:rsid w:val="00527691"/>
    <w:rsid w:val="005467E7"/>
    <w:rsid w:val="005A7B5B"/>
    <w:rsid w:val="005B3A8D"/>
    <w:rsid w:val="005C325E"/>
    <w:rsid w:val="005F769F"/>
    <w:rsid w:val="00607B4A"/>
    <w:rsid w:val="00616C90"/>
    <w:rsid w:val="0063689E"/>
    <w:rsid w:val="00642550"/>
    <w:rsid w:val="00643547"/>
    <w:rsid w:val="0066476B"/>
    <w:rsid w:val="006756D0"/>
    <w:rsid w:val="006D3ED0"/>
    <w:rsid w:val="006F49F1"/>
    <w:rsid w:val="007039DD"/>
    <w:rsid w:val="007302B4"/>
    <w:rsid w:val="0073638D"/>
    <w:rsid w:val="0076403C"/>
    <w:rsid w:val="00782FAF"/>
    <w:rsid w:val="007A5BB3"/>
    <w:rsid w:val="007B0445"/>
    <w:rsid w:val="007B0811"/>
    <w:rsid w:val="007B32D2"/>
    <w:rsid w:val="007D474B"/>
    <w:rsid w:val="007E7ADC"/>
    <w:rsid w:val="00800E36"/>
    <w:rsid w:val="00805C2F"/>
    <w:rsid w:val="00810534"/>
    <w:rsid w:val="008473BA"/>
    <w:rsid w:val="008478F8"/>
    <w:rsid w:val="00853A26"/>
    <w:rsid w:val="008660A6"/>
    <w:rsid w:val="0087229F"/>
    <w:rsid w:val="008761FB"/>
    <w:rsid w:val="0088464B"/>
    <w:rsid w:val="0088666E"/>
    <w:rsid w:val="00890F39"/>
    <w:rsid w:val="00894685"/>
    <w:rsid w:val="008A641B"/>
    <w:rsid w:val="008F604B"/>
    <w:rsid w:val="009053A7"/>
    <w:rsid w:val="00922E9C"/>
    <w:rsid w:val="00934807"/>
    <w:rsid w:val="009406BA"/>
    <w:rsid w:val="009568C1"/>
    <w:rsid w:val="00984694"/>
    <w:rsid w:val="00993D62"/>
    <w:rsid w:val="00A07920"/>
    <w:rsid w:val="00A240C2"/>
    <w:rsid w:val="00A40920"/>
    <w:rsid w:val="00A50EC4"/>
    <w:rsid w:val="00A5548C"/>
    <w:rsid w:val="00A8065A"/>
    <w:rsid w:val="00AA08B6"/>
    <w:rsid w:val="00AA11D5"/>
    <w:rsid w:val="00AB0916"/>
    <w:rsid w:val="00AE0C97"/>
    <w:rsid w:val="00AE3E76"/>
    <w:rsid w:val="00AF79FF"/>
    <w:rsid w:val="00B62211"/>
    <w:rsid w:val="00B63936"/>
    <w:rsid w:val="00B63F5D"/>
    <w:rsid w:val="00B82C5F"/>
    <w:rsid w:val="00B92F0F"/>
    <w:rsid w:val="00BA6535"/>
    <w:rsid w:val="00BD1334"/>
    <w:rsid w:val="00C0261C"/>
    <w:rsid w:val="00C20AE6"/>
    <w:rsid w:val="00C23211"/>
    <w:rsid w:val="00C3290C"/>
    <w:rsid w:val="00C32F51"/>
    <w:rsid w:val="00C52B73"/>
    <w:rsid w:val="00C555D2"/>
    <w:rsid w:val="00C705E6"/>
    <w:rsid w:val="00C76695"/>
    <w:rsid w:val="00CB6E30"/>
    <w:rsid w:val="00CB79EF"/>
    <w:rsid w:val="00CD3F2C"/>
    <w:rsid w:val="00CE7A94"/>
    <w:rsid w:val="00CF0CAD"/>
    <w:rsid w:val="00D20742"/>
    <w:rsid w:val="00D20843"/>
    <w:rsid w:val="00D35CFE"/>
    <w:rsid w:val="00D41C41"/>
    <w:rsid w:val="00D648BB"/>
    <w:rsid w:val="00D66EB9"/>
    <w:rsid w:val="00D71342"/>
    <w:rsid w:val="00DA746D"/>
    <w:rsid w:val="00DB75B9"/>
    <w:rsid w:val="00E06C14"/>
    <w:rsid w:val="00E40FD9"/>
    <w:rsid w:val="00E455EA"/>
    <w:rsid w:val="00E64F08"/>
    <w:rsid w:val="00E9086D"/>
    <w:rsid w:val="00EB21D1"/>
    <w:rsid w:val="00EC0AAD"/>
    <w:rsid w:val="00ED1AE0"/>
    <w:rsid w:val="00EE12AB"/>
    <w:rsid w:val="00EF279E"/>
    <w:rsid w:val="00F05F0A"/>
    <w:rsid w:val="00F2037D"/>
    <w:rsid w:val="00F239AE"/>
    <w:rsid w:val="00F4393F"/>
    <w:rsid w:val="00F51BA0"/>
    <w:rsid w:val="00F63076"/>
    <w:rsid w:val="00F81C14"/>
    <w:rsid w:val="00F901A8"/>
    <w:rsid w:val="00FC699E"/>
    <w:rsid w:val="00FF1306"/>
    <w:rsid w:val="00FF693F"/>
    <w:rsid w:val="29075556"/>
    <w:rsid w:val="2D3E084B"/>
    <w:rsid w:val="362D6199"/>
    <w:rsid w:val="3E1579F3"/>
    <w:rsid w:val="3E761598"/>
    <w:rsid w:val="4C2B53E5"/>
    <w:rsid w:val="5AE50169"/>
    <w:rsid w:val="5B544CAD"/>
    <w:rsid w:val="5BE9535B"/>
    <w:rsid w:val="60173CB6"/>
    <w:rsid w:val="62531F8F"/>
    <w:rsid w:val="6BA0474D"/>
    <w:rsid w:val="75AB4E11"/>
    <w:rsid w:val="EFFFC7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样式 行距: 1.5 倍行距 首行缩进:  2 字符"/>
    <w:basedOn w:val="1"/>
    <w:qFormat/>
    <w:uiPriority w:val="0"/>
    <w:pPr>
      <w:adjustRightInd w:val="0"/>
      <w:snapToGrid w:val="0"/>
      <w:spacing w:line="460" w:lineRule="exact"/>
    </w:pPr>
  </w:style>
  <w:style w:type="paragraph" w:styleId="4">
    <w:name w:val="annotation text"/>
    <w:basedOn w:val="1"/>
    <w:link w:val="19"/>
    <w:uiPriority w:val="0"/>
    <w:pPr>
      <w:jc w:val="left"/>
    </w:pPr>
    <w:rPr>
      <w:rFonts w:asciiTheme="minorHAnsi" w:hAnsiTheme="minorHAnsi" w:eastAsiaTheme="minorEastAsia" w:cstheme="minorBidi"/>
    </w:rPr>
  </w:style>
  <w:style w:type="paragraph" w:styleId="5">
    <w:name w:val="Body Text"/>
    <w:basedOn w:val="1"/>
    <w:link w:val="15"/>
    <w:qFormat/>
    <w:uiPriority w:val="0"/>
    <w:pPr>
      <w:spacing w:after="120"/>
    </w:pPr>
    <w:rPr>
      <w:rFonts w:ascii="Times New Roman" w:hAnsi="Times New Roma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annotation reference"/>
    <w:basedOn w:val="9"/>
    <w:semiHidden/>
    <w:unhideWhenUsed/>
    <w:uiPriority w:val="99"/>
    <w:rPr>
      <w:sz w:val="21"/>
      <w:szCs w:val="21"/>
    </w:rPr>
  </w:style>
  <w:style w:type="character" w:customStyle="1" w:styleId="12">
    <w:name w:val="标题 1 Char"/>
    <w:qFormat/>
    <w:uiPriority w:val="0"/>
    <w:rPr>
      <w:rFonts w:ascii="宋体" w:hAnsi="宋体" w:eastAsia="黑体"/>
      <w:b/>
      <w:bCs/>
      <w:kern w:val="44"/>
      <w:sz w:val="28"/>
      <w:szCs w:val="44"/>
      <w:lang w:val="en-US" w:eastAsia="zh-CN" w:bidi="ar-SA"/>
    </w:rPr>
  </w:style>
  <w:style w:type="character" w:customStyle="1" w:styleId="13">
    <w:name w:val="页眉 字符"/>
    <w:basedOn w:val="9"/>
    <w:link w:val="7"/>
    <w:qFormat/>
    <w:uiPriority w:val="0"/>
    <w:rPr>
      <w:rFonts w:ascii="Calibri" w:hAnsi="Calibri" w:eastAsia="宋体" w:cs="Times New Roman"/>
      <w:sz w:val="18"/>
      <w:szCs w:val="18"/>
    </w:rPr>
  </w:style>
  <w:style w:type="character" w:customStyle="1" w:styleId="14">
    <w:name w:val="页脚 字符"/>
    <w:basedOn w:val="9"/>
    <w:link w:val="6"/>
    <w:qFormat/>
    <w:uiPriority w:val="0"/>
    <w:rPr>
      <w:rFonts w:ascii="Calibri" w:hAnsi="Calibri" w:eastAsia="宋体" w:cs="Times New Roman"/>
      <w:sz w:val="18"/>
      <w:szCs w:val="18"/>
    </w:rPr>
  </w:style>
  <w:style w:type="character" w:customStyle="1" w:styleId="15">
    <w:name w:val="正文文本 字符"/>
    <w:basedOn w:val="9"/>
    <w:link w:val="5"/>
    <w:qFormat/>
    <w:uiPriority w:val="0"/>
    <w:rPr>
      <w:rFonts w:ascii="Times New Roman" w:hAnsi="Times New Roman" w:eastAsia="宋体" w:cs="Times New Roman"/>
      <w:szCs w:val="24"/>
    </w:rPr>
  </w:style>
  <w:style w:type="paragraph" w:customStyle="1" w:styleId="16">
    <w:name w:val="列出段落1"/>
    <w:basedOn w:val="1"/>
    <w:link w:val="17"/>
    <w:qFormat/>
    <w:uiPriority w:val="0"/>
    <w:pPr>
      <w:ind w:firstLine="420" w:firstLineChars="200"/>
    </w:pPr>
    <w:rPr>
      <w:rFonts w:ascii="Times New Roman" w:hAnsi="Times New Roman"/>
    </w:rPr>
  </w:style>
  <w:style w:type="character" w:customStyle="1" w:styleId="17">
    <w:name w:val="列表段落 字符"/>
    <w:link w:val="16"/>
    <w:qFormat/>
    <w:uiPriority w:val="0"/>
    <w:rPr>
      <w:rFonts w:ascii="Times New Roman" w:hAnsi="Times New Roman" w:eastAsia="宋体" w:cs="Times New Roman"/>
      <w:szCs w:val="24"/>
    </w:rPr>
  </w:style>
  <w:style w:type="paragraph" w:customStyle="1" w:styleId="1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9">
    <w:name w:val="批注文字 字符"/>
    <w:basedOn w:val="9"/>
    <w:link w:val="4"/>
    <w:qFormat/>
    <w:uiPriority w:val="0"/>
    <w:rPr>
      <w:kern w:val="2"/>
      <w:sz w:val="21"/>
      <w:szCs w:val="24"/>
    </w:rPr>
  </w:style>
  <w:style w:type="paragraph" w:customStyle="1" w:styleId="20">
    <w:name w:val="￥正文"/>
    <w:basedOn w:val="1"/>
    <w:qFormat/>
    <w:uiPriority w:val="0"/>
    <w:pPr>
      <w:tabs>
        <w:tab w:val="left" w:pos="426"/>
      </w:tabs>
      <w:ind w:firstLine="200" w:firstLineChars="200"/>
    </w:pPr>
    <w:rPr>
      <w:rFonts w:eastAsiaTheme="minorEastAsia"/>
      <w:sz w:val="24"/>
      <w:szCs w:val="20"/>
    </w:rPr>
  </w:style>
  <w:style w:type="paragraph" w:customStyle="1" w:styleId="21">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8930</Words>
  <Characters>9518</Characters>
  <Lines>303</Lines>
  <Paragraphs>323</Paragraphs>
  <TotalTime>24</TotalTime>
  <ScaleCrop>false</ScaleCrop>
  <LinksUpToDate>false</LinksUpToDate>
  <CharactersWithSpaces>9627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2025-09-23T10:21:00Z</dcterms:created>
  <dc:creator>User</dc:creator>
  <cp:lastModifiedBy>Limbor</cp:lastModifiedBy>
  <dcterms:modified xsi:type="dcterms:W3CDTF">2025-12-16T00:57:55Z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6228A477195949A2A534D7629A2B2EFF_12</vt:lpwstr>
  </property>
  <property fmtid="{D5CDD505-2E9C-101B-9397-08002B2CF9AE}" pid="4" name="KSOTemplateDocerSaveRecord">
    <vt:lpwstr>eyJoZGlkIjoiMDA4MTZhOTUwZDJlMGQxOTZjMDk4YTcwMmQ5MTljZmEiLCJ1c2VySWQiOiI2MjA3NDU1MjcifQ==</vt:lpwstr>
  </property>
</Properties>
</file>