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jc w:val="center"/>
        <w:rPr>
          <w:rFonts w:hint="eastAsia"/>
          <w:b/>
          <w:bCs/>
          <w:sz w:val="28"/>
          <w:szCs w:val="36"/>
          <w:lang w:eastAsia="zh-CN"/>
        </w:rPr>
      </w:pPr>
      <w:r>
        <w:rPr>
          <w:rFonts w:hint="eastAsia"/>
          <w:b/>
          <w:bCs/>
          <w:sz w:val="28"/>
          <w:szCs w:val="36"/>
          <w:lang w:eastAsia="zh-CN"/>
        </w:rPr>
        <w:t>用户需求书</w:t>
      </w:r>
    </w:p>
    <w:p w14:paraId="19CF214B">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项目名称：高通量基因测序仪</w:t>
      </w:r>
    </w:p>
    <w:p w14:paraId="3FC42F91">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采购预算：110万元</w:t>
      </w:r>
    </w:p>
    <w:p w14:paraId="410E9729">
      <w:pPr>
        <w:pStyle w:val="5"/>
        <w:numPr>
          <w:ilvl w:val="0"/>
          <w:numId w:val="1"/>
        </w:numPr>
        <w:ind w:left="0" w:leftChars="0" w:firstLine="0" w:firstLineChars="0"/>
        <w:rPr>
          <w:rFonts w:hint="eastAsia" w:ascii="宋体" w:hAnsi="宋体" w:eastAsia="宋体" w:cs="宋体"/>
          <w:bCs w:val="0"/>
          <w:spacing w:val="0"/>
          <w:kern w:val="2"/>
          <w:sz w:val="21"/>
          <w:szCs w:val="24"/>
          <w:lang w:val="en-US" w:eastAsia="zh-CN" w:bidi="ar-SA"/>
        </w:rPr>
      </w:pPr>
      <w:r>
        <w:rPr>
          <w:rFonts w:hint="eastAsia" w:ascii="宋体" w:hAnsi="宋体" w:eastAsia="宋体" w:cs="宋体"/>
          <w:bCs w:val="0"/>
          <w:spacing w:val="0"/>
          <w:kern w:val="2"/>
          <w:sz w:val="21"/>
          <w:szCs w:val="24"/>
          <w:lang w:val="en-US" w:eastAsia="zh-CN" w:bidi="ar-SA"/>
        </w:rPr>
        <w:t>采购数量：1台</w:t>
      </w:r>
    </w:p>
    <w:p w14:paraId="4193B33F">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产地：国产</w:t>
      </w:r>
    </w:p>
    <w:p w14:paraId="0B335638">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参数要求：</w:t>
      </w:r>
    </w:p>
    <w:tbl>
      <w:tblPr>
        <w:tblStyle w:val="3"/>
        <w:tblW w:w="9029"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23"/>
        <w:gridCol w:w="7906"/>
      </w:tblGrid>
      <w:tr w14:paraId="5753EB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23" w:type="dxa"/>
            <w:tcBorders>
              <w:top w:val="single" w:color="auto" w:sz="6" w:space="0"/>
              <w:left w:val="single" w:color="auto" w:sz="6" w:space="0"/>
              <w:bottom w:val="nil"/>
              <w:right w:val="nil"/>
            </w:tcBorders>
            <w:vAlign w:val="center"/>
          </w:tcPr>
          <w:p w14:paraId="2B2A3FB3">
            <w:pPr>
              <w:widowControl/>
              <w:spacing w:before="100" w:beforeAutospacing="1" w:after="100" w:afterAutospacing="1"/>
              <w:jc w:val="center"/>
              <w:rPr>
                <w:rFonts w:hint="eastAsia" w:ascii="宋体" w:hAnsi="宋体" w:cs="宋体" w:eastAsiaTheme="minorEastAsia"/>
                <w:color w:val="auto"/>
                <w:kern w:val="0"/>
                <w:sz w:val="24"/>
                <w:szCs w:val="24"/>
                <w:highlight w:val="none"/>
                <w:lang w:eastAsia="zh-CN"/>
              </w:rPr>
            </w:pPr>
            <w:r>
              <w:rPr>
                <w:rFonts w:hint="eastAsia" w:ascii="宋体" w:hAnsi="宋体" w:cs="宋体"/>
                <w:b/>
                <w:bCs/>
                <w:color w:val="auto"/>
                <w:kern w:val="0"/>
                <w:sz w:val="24"/>
                <w:szCs w:val="24"/>
                <w:highlight w:val="none"/>
                <w:lang w:eastAsia="zh-CN"/>
              </w:rPr>
              <w:t>一</w:t>
            </w:r>
          </w:p>
        </w:tc>
        <w:tc>
          <w:tcPr>
            <w:tcW w:w="7906" w:type="dxa"/>
            <w:tcBorders>
              <w:top w:val="single" w:color="auto" w:sz="6" w:space="0"/>
              <w:left w:val="single" w:color="auto" w:sz="6" w:space="0"/>
              <w:bottom w:val="nil"/>
              <w:right w:val="nil"/>
            </w:tcBorders>
            <w:vAlign w:val="center"/>
          </w:tcPr>
          <w:p w14:paraId="76628643">
            <w:pPr>
              <w:widowControl/>
              <w:spacing w:before="100" w:beforeAutospacing="1" w:after="100" w:afterAutospacing="1"/>
              <w:jc w:val="center"/>
              <w:rPr>
                <w:color w:val="auto"/>
                <w:highlight w:val="none"/>
              </w:rPr>
            </w:pPr>
            <w:r>
              <w:rPr>
                <w:rFonts w:hint="eastAsia" w:ascii="宋体" w:hAnsi="宋体" w:cs="宋体"/>
                <w:b/>
                <w:bCs/>
                <w:color w:val="auto"/>
                <w:kern w:val="0"/>
                <w:sz w:val="24"/>
                <w:szCs w:val="24"/>
                <w:highlight w:val="none"/>
                <w:lang w:eastAsia="zh-CN"/>
              </w:rPr>
              <w:t>技术需</w:t>
            </w:r>
            <w:r>
              <w:rPr>
                <w:rFonts w:hint="eastAsia" w:ascii="宋体" w:hAnsi="宋体" w:cs="宋体"/>
                <w:b/>
                <w:bCs/>
                <w:color w:val="auto"/>
                <w:kern w:val="0"/>
                <w:sz w:val="24"/>
                <w:szCs w:val="24"/>
                <w:highlight w:val="none"/>
              </w:rPr>
              <w:t>求</w:t>
            </w:r>
          </w:p>
        </w:tc>
      </w:tr>
      <w:tr w14:paraId="043EFD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vAlign w:val="center"/>
          </w:tcPr>
          <w:p w14:paraId="1126C985">
            <w:pPr>
              <w:widowControl/>
              <w:spacing w:before="100" w:beforeAutospacing="1" w:after="100" w:afterAutospacing="1"/>
              <w:ind w:firstLine="420" w:firstLineChars="200"/>
              <w:rPr>
                <w:rFonts w:hint="eastAsia" w:ascii="宋体" w:hAnsi="宋体" w:cs="宋体"/>
                <w:color w:val="auto"/>
                <w:kern w:val="0"/>
                <w:sz w:val="24"/>
                <w:szCs w:val="24"/>
                <w:highlight w:val="none"/>
              </w:rPr>
            </w:pPr>
            <w:r>
              <w:rPr>
                <w:rFonts w:hint="eastAsia"/>
                <w:color w:val="auto"/>
                <w:highlight w:val="none"/>
              </w:rPr>
              <w:t>▲1</w:t>
            </w:r>
          </w:p>
        </w:tc>
        <w:tc>
          <w:tcPr>
            <w:tcW w:w="7906" w:type="dxa"/>
            <w:tcBorders>
              <w:top w:val="single" w:color="auto" w:sz="6" w:space="0"/>
              <w:left w:val="single" w:color="auto" w:sz="6" w:space="0"/>
              <w:bottom w:val="nil"/>
              <w:right w:val="nil"/>
            </w:tcBorders>
            <w:vAlign w:val="top"/>
          </w:tcPr>
          <w:p w14:paraId="134B7076">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设备在临床上用于对来源于人体样本的脱氧核糖核酸（DNA）和核糖核酸（RNA）进行测序，以检测基因序列，这些基因序列可用于辅助诊断疾病或疾病易感性。以提供国家药品监督管理局官网</w:t>
            </w:r>
            <w:r>
              <w:rPr>
                <w:rFonts w:hint="eastAsia"/>
                <w:color w:val="auto"/>
                <w:highlight w:val="none"/>
                <w:lang w:val="en-US" w:eastAsia="zh-CN"/>
              </w:rPr>
              <w:t>标明</w:t>
            </w:r>
            <w:r>
              <w:rPr>
                <w:rFonts w:hint="eastAsia"/>
                <w:color w:val="auto"/>
                <w:highlight w:val="none"/>
              </w:rPr>
              <w:t>适用范围/预期用途作为评价依据。</w:t>
            </w:r>
          </w:p>
        </w:tc>
      </w:tr>
      <w:tr w14:paraId="488769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3" w:hRule="atLeast"/>
          <w:tblCellSpacing w:w="0" w:type="dxa"/>
        </w:trPr>
        <w:tc>
          <w:tcPr>
            <w:tcW w:w="1123" w:type="dxa"/>
            <w:tcBorders>
              <w:top w:val="single" w:color="auto" w:sz="6" w:space="0"/>
              <w:left w:val="single" w:color="auto" w:sz="6" w:space="0"/>
              <w:bottom w:val="nil"/>
              <w:right w:val="nil"/>
            </w:tcBorders>
            <w:vAlign w:val="center"/>
          </w:tcPr>
          <w:p w14:paraId="16514D0A">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7906" w:type="dxa"/>
            <w:tcBorders>
              <w:top w:val="single" w:color="auto" w:sz="6" w:space="0"/>
              <w:left w:val="single" w:color="auto" w:sz="6" w:space="0"/>
              <w:bottom w:val="nil"/>
              <w:right w:val="nil"/>
            </w:tcBorders>
            <w:vAlign w:val="top"/>
          </w:tcPr>
          <w:p w14:paraId="16D1765C">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设备通量：单次运行可产出≥150G碱基的序列信息。</w:t>
            </w:r>
          </w:p>
        </w:tc>
      </w:tr>
      <w:tr w14:paraId="7AC89D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43" w:hRule="atLeast"/>
          <w:tblCellSpacing w:w="0" w:type="dxa"/>
        </w:trPr>
        <w:tc>
          <w:tcPr>
            <w:tcW w:w="1123" w:type="dxa"/>
            <w:tcBorders>
              <w:top w:val="single" w:color="auto" w:sz="6" w:space="0"/>
              <w:left w:val="single" w:color="auto" w:sz="6" w:space="0"/>
              <w:bottom w:val="nil"/>
              <w:right w:val="nil"/>
            </w:tcBorders>
            <w:vAlign w:val="center"/>
          </w:tcPr>
          <w:p w14:paraId="0C970D5E">
            <w:pPr>
              <w:widowControl/>
              <w:spacing w:before="100" w:beforeAutospacing="1" w:after="100" w:afterAutospacing="1"/>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906" w:type="dxa"/>
            <w:tcBorders>
              <w:top w:val="single" w:color="auto" w:sz="6" w:space="0"/>
              <w:left w:val="single" w:color="auto" w:sz="6" w:space="0"/>
              <w:bottom w:val="nil"/>
              <w:right w:val="nil"/>
            </w:tcBorders>
            <w:vAlign w:val="top"/>
          </w:tcPr>
          <w:p w14:paraId="65C8D213">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测序仪配置两种规格芯片，满足不同业务需求。单末端测序模式 (SE) 下，高通量芯片能满足≥500M有效信号点。</w:t>
            </w:r>
          </w:p>
        </w:tc>
      </w:tr>
      <w:tr w14:paraId="7B0D7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38" w:hRule="atLeast"/>
          <w:tblCellSpacing w:w="0" w:type="dxa"/>
        </w:trPr>
        <w:tc>
          <w:tcPr>
            <w:tcW w:w="1123" w:type="dxa"/>
            <w:tcBorders>
              <w:top w:val="single" w:color="auto" w:sz="6" w:space="0"/>
              <w:left w:val="single" w:color="auto" w:sz="6" w:space="0"/>
              <w:bottom w:val="nil"/>
              <w:right w:val="nil"/>
            </w:tcBorders>
            <w:vAlign w:val="center"/>
          </w:tcPr>
          <w:p w14:paraId="16844E60">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color w:val="auto"/>
                <w:highlight w:val="none"/>
              </w:rPr>
              <w:t>▲</w:t>
            </w:r>
            <w:r>
              <w:rPr>
                <w:rFonts w:hint="eastAsia" w:ascii="宋体" w:hAnsi="宋体" w:cs="宋体"/>
                <w:color w:val="auto"/>
                <w:kern w:val="0"/>
                <w:sz w:val="24"/>
                <w:szCs w:val="24"/>
                <w:highlight w:val="none"/>
              </w:rPr>
              <w:t>4</w:t>
            </w:r>
          </w:p>
        </w:tc>
        <w:tc>
          <w:tcPr>
            <w:tcW w:w="7906" w:type="dxa"/>
            <w:tcBorders>
              <w:top w:val="single" w:color="auto" w:sz="6" w:space="0"/>
              <w:left w:val="single" w:color="auto" w:sz="6" w:space="0"/>
              <w:bottom w:val="nil"/>
              <w:right w:val="nil"/>
            </w:tcBorders>
            <w:vAlign w:val="top"/>
          </w:tcPr>
          <w:p w14:paraId="21EDC567">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测序读长策略有多种可选，至少包括</w:t>
            </w:r>
            <w:bookmarkStart w:id="0" w:name="_GoBack"/>
            <w:bookmarkEnd w:id="0"/>
            <w:r>
              <w:rPr>
                <w:rFonts w:hint="eastAsia"/>
                <w:color w:val="auto"/>
                <w:highlight w:val="none"/>
              </w:rPr>
              <w:t>SE50、SE100、PE50、PE100、PE150 这5种测序读长。需提供医疗器械备案证或医疗器械备案编号告知书及国家药品监督管理局官网截图明确写明要求的测序读长。</w:t>
            </w:r>
          </w:p>
        </w:tc>
      </w:tr>
      <w:tr w14:paraId="04FF05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78" w:hRule="atLeast"/>
          <w:tblCellSpacing w:w="0" w:type="dxa"/>
        </w:trPr>
        <w:tc>
          <w:tcPr>
            <w:tcW w:w="1123" w:type="dxa"/>
            <w:tcBorders>
              <w:top w:val="single" w:color="auto" w:sz="6" w:space="0"/>
              <w:left w:val="single" w:color="auto" w:sz="6" w:space="0"/>
              <w:bottom w:val="nil"/>
              <w:right w:val="nil"/>
            </w:tcBorders>
            <w:vAlign w:val="center"/>
          </w:tcPr>
          <w:p w14:paraId="2299C9BB">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7906" w:type="dxa"/>
            <w:tcBorders>
              <w:top w:val="single" w:color="auto" w:sz="6" w:space="0"/>
              <w:left w:val="single" w:color="auto" w:sz="6" w:space="0"/>
              <w:bottom w:val="nil"/>
              <w:right w:val="nil"/>
            </w:tcBorders>
            <w:vAlign w:val="top"/>
          </w:tcPr>
          <w:p w14:paraId="20FA3E1F">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获证测序试剂的最短测序时长不超过7小时，该读长需在国家药品监督管理局官网明确写明，提供国家药品监督管理局官网截图</w:t>
            </w:r>
            <w:r>
              <w:rPr>
                <w:rFonts w:hint="eastAsia"/>
                <w:color w:val="auto"/>
                <w:highlight w:val="none"/>
                <w:lang w:val="en-US" w:eastAsia="zh-CN"/>
              </w:rPr>
              <w:t>，投标时需提供产品说明书或产品彩页或技术白皮书或注册证附页的详细技术参数清单，注：对佐证材料中相关内容进行标注，原件备查</w:t>
            </w:r>
            <w:r>
              <w:rPr>
                <w:rFonts w:hint="eastAsia"/>
                <w:color w:val="auto"/>
                <w:highlight w:val="none"/>
              </w:rPr>
              <w:t>。</w:t>
            </w:r>
          </w:p>
        </w:tc>
      </w:tr>
      <w:tr w14:paraId="04ABB6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vAlign w:val="center"/>
          </w:tcPr>
          <w:p w14:paraId="1508055F">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7906" w:type="dxa"/>
            <w:tcBorders>
              <w:top w:val="single" w:color="auto" w:sz="6" w:space="0"/>
              <w:left w:val="single" w:color="auto" w:sz="6" w:space="0"/>
              <w:bottom w:val="nil"/>
              <w:right w:val="nil"/>
            </w:tcBorders>
            <w:vAlign w:val="top"/>
          </w:tcPr>
          <w:p w14:paraId="3D33E50B">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测序芯片：采用规则阵列技术，具有密度大，避免荧光信号交叉影响</w:t>
            </w:r>
            <w:r>
              <w:rPr>
                <w:color w:val="auto"/>
                <w:highlight w:val="none"/>
              </w:rPr>
              <w:t>（</w:t>
            </w:r>
            <w:r>
              <w:rPr>
                <w:rFonts w:hint="eastAsia"/>
                <w:color w:val="auto"/>
                <w:highlight w:val="none"/>
                <w:lang w:eastAsia="zh-Hans"/>
              </w:rPr>
              <w:t>需提供设备说明书</w:t>
            </w:r>
            <w:r>
              <w:rPr>
                <w:color w:val="auto"/>
                <w:highlight w:val="none"/>
                <w:lang w:eastAsia="zh-Hans"/>
              </w:rPr>
              <w:t>）</w:t>
            </w:r>
            <w:r>
              <w:rPr>
                <w:rFonts w:hint="eastAsia"/>
                <w:color w:val="auto"/>
                <w:highlight w:val="none"/>
              </w:rPr>
              <w:t>。</w:t>
            </w:r>
          </w:p>
        </w:tc>
      </w:tr>
      <w:tr w14:paraId="6B202E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vAlign w:val="center"/>
          </w:tcPr>
          <w:p w14:paraId="7F0D4DF1">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7906" w:type="dxa"/>
            <w:tcBorders>
              <w:top w:val="single" w:color="auto" w:sz="6" w:space="0"/>
              <w:left w:val="single" w:color="auto" w:sz="6" w:space="0"/>
              <w:bottom w:val="nil"/>
              <w:right w:val="nil"/>
            </w:tcBorders>
            <w:vAlign w:val="top"/>
          </w:tcPr>
          <w:p w14:paraId="1B4B3D82">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测序仪：自样品放入基因测序仪后采用线性扩增模式。</w:t>
            </w:r>
          </w:p>
        </w:tc>
      </w:tr>
      <w:tr w14:paraId="5FAB84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00FD759D">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7906" w:type="dxa"/>
            <w:tcBorders>
              <w:top w:val="single" w:color="auto" w:sz="6" w:space="0"/>
              <w:left w:val="single" w:color="auto" w:sz="6" w:space="0"/>
              <w:bottom w:val="nil"/>
              <w:right w:val="nil"/>
            </w:tcBorders>
            <w:vAlign w:val="top"/>
          </w:tcPr>
          <w:p w14:paraId="14C014E1">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测序仪适用海拔为0-3000米可以正常运行。</w:t>
            </w:r>
          </w:p>
        </w:tc>
      </w:tr>
      <w:tr w14:paraId="4FEED1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33" w:hRule="atLeast"/>
          <w:tblCellSpacing w:w="0" w:type="dxa"/>
        </w:trPr>
        <w:tc>
          <w:tcPr>
            <w:tcW w:w="1123" w:type="dxa"/>
            <w:tcBorders>
              <w:top w:val="single" w:color="auto" w:sz="6" w:space="0"/>
              <w:left w:val="single" w:color="auto" w:sz="6" w:space="0"/>
              <w:bottom w:val="nil"/>
              <w:right w:val="nil"/>
            </w:tcBorders>
            <w:vAlign w:val="center"/>
          </w:tcPr>
          <w:p w14:paraId="02B005B8">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color w:val="auto"/>
                <w:highlight w:val="none"/>
              </w:rPr>
              <w:t>▲</w:t>
            </w:r>
            <w:r>
              <w:rPr>
                <w:rFonts w:hint="eastAsia" w:ascii="宋体" w:hAnsi="宋体" w:cs="宋体"/>
                <w:color w:val="auto"/>
                <w:kern w:val="0"/>
                <w:sz w:val="24"/>
                <w:szCs w:val="24"/>
                <w:highlight w:val="none"/>
              </w:rPr>
              <w:t>9</w:t>
            </w:r>
          </w:p>
        </w:tc>
        <w:tc>
          <w:tcPr>
            <w:tcW w:w="7906" w:type="dxa"/>
            <w:tcBorders>
              <w:top w:val="single" w:color="auto" w:sz="6" w:space="0"/>
              <w:left w:val="single" w:color="auto" w:sz="6" w:space="0"/>
              <w:bottom w:val="nil"/>
              <w:right w:val="nil"/>
            </w:tcBorders>
            <w:vAlign w:val="top"/>
          </w:tcPr>
          <w:p w14:paraId="316BCFD4">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可提供与所投设备适配的不同临床应用的高通量基因检测试剂盒≥3种，需提供适配机型证明材料（以</w:t>
            </w:r>
            <w:r>
              <w:rPr>
                <w:rFonts w:hint="eastAsia"/>
                <w:color w:val="auto"/>
                <w:highlight w:val="none"/>
                <w:lang w:val="en-US" w:eastAsia="zh-CN"/>
              </w:rPr>
              <w:t>临床准入</w:t>
            </w:r>
            <w:r>
              <w:rPr>
                <w:rFonts w:hint="eastAsia"/>
                <w:color w:val="auto"/>
                <w:highlight w:val="none"/>
              </w:rPr>
              <w:t>试剂盒说明书为准）。</w:t>
            </w:r>
          </w:p>
        </w:tc>
      </w:tr>
      <w:tr w14:paraId="244380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vAlign w:val="center"/>
          </w:tcPr>
          <w:p w14:paraId="5604EFE1">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color w:val="auto"/>
                <w:highlight w:val="none"/>
              </w:rPr>
              <w:t>▲</w:t>
            </w:r>
            <w:r>
              <w:rPr>
                <w:rFonts w:hint="eastAsia" w:ascii="宋体" w:hAnsi="宋体" w:cs="宋体"/>
                <w:color w:val="auto"/>
                <w:kern w:val="0"/>
                <w:sz w:val="24"/>
                <w:szCs w:val="24"/>
                <w:highlight w:val="none"/>
              </w:rPr>
              <w:t>10</w:t>
            </w:r>
          </w:p>
        </w:tc>
        <w:tc>
          <w:tcPr>
            <w:tcW w:w="7906" w:type="dxa"/>
            <w:tcBorders>
              <w:top w:val="single" w:color="auto" w:sz="6" w:space="0"/>
              <w:left w:val="single" w:color="auto" w:sz="6" w:space="0"/>
              <w:bottom w:val="nil"/>
              <w:right w:val="nil"/>
            </w:tcBorders>
            <w:vAlign w:val="top"/>
          </w:tcPr>
          <w:p w14:paraId="302FB3EA">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可提供与上述高通量基因检测试剂盒对应配套使用的分析软件≥3种。</w:t>
            </w:r>
            <w:r>
              <w:rPr>
                <w:rFonts w:hint="default"/>
                <w:color w:val="auto"/>
                <w:highlight w:val="none"/>
              </w:rPr>
              <w:t>（</w:t>
            </w:r>
            <w:r>
              <w:rPr>
                <w:rFonts w:hint="eastAsia"/>
                <w:color w:val="auto"/>
                <w:highlight w:val="none"/>
              </w:rPr>
              <w:t>需</w:t>
            </w:r>
            <w:r>
              <w:rPr>
                <w:rFonts w:hint="eastAsia"/>
                <w:color w:val="auto"/>
                <w:highlight w:val="none"/>
                <w:lang w:val="en-US" w:eastAsia="zh-Hans"/>
              </w:rPr>
              <w:t>提供分析软件说明书</w:t>
            </w:r>
            <w:r>
              <w:rPr>
                <w:rFonts w:hint="eastAsia"/>
                <w:color w:val="auto"/>
                <w:highlight w:val="none"/>
              </w:rPr>
              <w:t>）</w:t>
            </w:r>
          </w:p>
        </w:tc>
      </w:tr>
      <w:tr w14:paraId="3A146C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13" w:hRule="atLeast"/>
          <w:tblCellSpacing w:w="0" w:type="dxa"/>
        </w:trPr>
        <w:tc>
          <w:tcPr>
            <w:tcW w:w="1123" w:type="dxa"/>
            <w:tcBorders>
              <w:top w:val="single" w:color="auto" w:sz="6" w:space="0"/>
              <w:left w:val="single" w:color="auto" w:sz="6" w:space="0"/>
              <w:bottom w:val="nil"/>
              <w:right w:val="nil"/>
            </w:tcBorders>
            <w:vAlign w:val="center"/>
          </w:tcPr>
          <w:p w14:paraId="2BD5E307">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7906" w:type="dxa"/>
            <w:tcBorders>
              <w:top w:val="single" w:color="auto" w:sz="6" w:space="0"/>
              <w:left w:val="single" w:color="auto" w:sz="6" w:space="0"/>
              <w:bottom w:val="nil"/>
              <w:right w:val="nil"/>
            </w:tcBorders>
            <w:vAlign w:val="top"/>
          </w:tcPr>
          <w:p w14:paraId="1914D2B7">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可提供与所投设备适配的病原相关试剂，需提供适配机型证明材料（以试剂盒说明书为准）。</w:t>
            </w:r>
          </w:p>
        </w:tc>
      </w:tr>
      <w:tr w14:paraId="3330F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031E8CC7">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7906" w:type="dxa"/>
            <w:tcBorders>
              <w:top w:val="single" w:color="auto" w:sz="6" w:space="0"/>
              <w:left w:val="single" w:color="auto" w:sz="6" w:space="0"/>
              <w:bottom w:val="nil"/>
              <w:right w:val="nil"/>
            </w:tcBorders>
            <w:vAlign w:val="top"/>
          </w:tcPr>
          <w:p w14:paraId="162B4557">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病原微生物宏基因组高通量基因检测分析涵盖</w:t>
            </w:r>
            <w:r>
              <w:rPr>
                <w:rFonts w:ascii="宋体" w:hAnsi="宋体"/>
                <w:color w:val="auto"/>
                <w:sz w:val="24"/>
                <w:szCs w:val="24"/>
                <w:highlight w:val="none"/>
              </w:rPr>
              <w:t>≥</w:t>
            </w:r>
            <w:r>
              <w:rPr>
                <w:rFonts w:hint="eastAsia"/>
                <w:color w:val="auto"/>
                <w:highlight w:val="none"/>
              </w:rPr>
              <w:t>35000种。</w:t>
            </w:r>
            <w:r>
              <w:rPr>
                <w:rFonts w:hint="eastAsia"/>
                <w:color w:val="auto"/>
                <w:highlight w:val="none"/>
                <w:lang w:val="en-US" w:eastAsia="zh-CN"/>
              </w:rPr>
              <w:t>需</w:t>
            </w:r>
            <w:r>
              <w:rPr>
                <w:rFonts w:hint="eastAsia"/>
                <w:color w:val="auto"/>
                <w:highlight w:val="none"/>
                <w:lang w:val="en-US" w:eastAsia="zh-Hans"/>
              </w:rPr>
              <w:t>提供产品宣传彩页</w:t>
            </w:r>
            <w:r>
              <w:rPr>
                <w:rFonts w:hint="default"/>
                <w:color w:val="auto"/>
                <w:highlight w:val="none"/>
                <w:lang w:eastAsia="zh-Hans"/>
              </w:rPr>
              <w:t>。</w:t>
            </w:r>
          </w:p>
        </w:tc>
      </w:tr>
      <w:tr w14:paraId="0031BD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1B22055C">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7906" w:type="dxa"/>
            <w:tcBorders>
              <w:top w:val="single" w:color="auto" w:sz="6" w:space="0"/>
              <w:left w:val="single" w:color="auto" w:sz="6" w:space="0"/>
              <w:bottom w:val="nil"/>
              <w:right w:val="nil"/>
            </w:tcBorders>
            <w:vAlign w:val="top"/>
          </w:tcPr>
          <w:p w14:paraId="19C79C65">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病原微生物宏基因组高通量基因检测</w:t>
            </w:r>
            <w:r>
              <w:rPr>
                <w:rFonts w:ascii="宋体" w:hAnsi="宋体"/>
                <w:color w:val="auto"/>
                <w:sz w:val="24"/>
                <w:szCs w:val="24"/>
                <w:highlight w:val="none"/>
              </w:rPr>
              <w:t>≥</w:t>
            </w:r>
            <w:r>
              <w:rPr>
                <w:rFonts w:hint="eastAsia"/>
                <w:color w:val="auto"/>
                <w:highlight w:val="none"/>
              </w:rPr>
              <w:t>30种耐药基因，</w:t>
            </w:r>
            <w:r>
              <w:rPr>
                <w:rFonts w:ascii="宋体" w:hAnsi="宋体"/>
                <w:color w:val="auto"/>
                <w:sz w:val="24"/>
                <w:szCs w:val="24"/>
                <w:highlight w:val="none"/>
              </w:rPr>
              <w:t>≥</w:t>
            </w:r>
            <w:r>
              <w:rPr>
                <w:rFonts w:hint="eastAsia"/>
                <w:color w:val="auto"/>
                <w:highlight w:val="none"/>
              </w:rPr>
              <w:t>280种毒力基因，需</w:t>
            </w:r>
            <w:r>
              <w:rPr>
                <w:rFonts w:hint="default"/>
                <w:color w:val="auto"/>
                <w:highlight w:val="none"/>
                <w:lang w:val="en-US" w:eastAsia="zh-Hans"/>
              </w:rPr>
              <w:t>提供产品宣传彩页</w:t>
            </w:r>
          </w:p>
        </w:tc>
      </w:tr>
      <w:tr w14:paraId="3FF571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26436BBF">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7906" w:type="dxa"/>
            <w:tcBorders>
              <w:top w:val="single" w:color="auto" w:sz="6" w:space="0"/>
              <w:left w:val="single" w:color="auto" w:sz="6" w:space="0"/>
              <w:bottom w:val="nil"/>
              <w:right w:val="nil"/>
            </w:tcBorders>
            <w:vAlign w:val="top"/>
          </w:tcPr>
          <w:p w14:paraId="5B8B3DEF">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可开展呼吸道感染病原微生物靶向高通量基因检测，基于超多重PCR技术，检测涵盖</w:t>
            </w:r>
            <w:r>
              <w:rPr>
                <w:rFonts w:ascii="宋体" w:hAnsi="宋体"/>
                <w:color w:val="auto"/>
                <w:sz w:val="24"/>
                <w:szCs w:val="24"/>
                <w:highlight w:val="none"/>
              </w:rPr>
              <w:t>≥</w:t>
            </w:r>
            <w:r>
              <w:rPr>
                <w:rFonts w:hint="eastAsia"/>
                <w:color w:val="auto"/>
                <w:highlight w:val="none"/>
              </w:rPr>
              <w:t>200种呼吸道感染病原微生物，</w:t>
            </w:r>
            <w:r>
              <w:rPr>
                <w:rFonts w:ascii="宋体" w:hAnsi="宋体"/>
                <w:color w:val="auto"/>
                <w:sz w:val="24"/>
                <w:szCs w:val="24"/>
                <w:highlight w:val="none"/>
              </w:rPr>
              <w:t>≥</w:t>
            </w:r>
            <w:r>
              <w:rPr>
                <w:rFonts w:hint="eastAsia"/>
                <w:color w:val="auto"/>
                <w:highlight w:val="none"/>
              </w:rPr>
              <w:t>30种耐药基因，</w:t>
            </w:r>
            <w:r>
              <w:rPr>
                <w:rFonts w:ascii="宋体" w:hAnsi="宋体"/>
                <w:color w:val="auto"/>
                <w:sz w:val="24"/>
                <w:szCs w:val="24"/>
                <w:highlight w:val="none"/>
              </w:rPr>
              <w:t>≥</w:t>
            </w:r>
            <w:r>
              <w:rPr>
                <w:rFonts w:hint="eastAsia"/>
                <w:color w:val="auto"/>
                <w:highlight w:val="none"/>
              </w:rPr>
              <w:t>10种毒力基因，</w:t>
            </w:r>
            <w:r>
              <w:rPr>
                <w:rFonts w:hint="eastAsia"/>
                <w:color w:val="auto"/>
                <w:highlight w:val="none"/>
                <w:lang w:val="en-US" w:eastAsia="zh-CN"/>
              </w:rPr>
              <w:t>需</w:t>
            </w:r>
            <w:r>
              <w:rPr>
                <w:rFonts w:hint="eastAsia"/>
                <w:color w:val="auto"/>
                <w:highlight w:val="none"/>
                <w:lang w:val="en-US" w:eastAsia="zh-Hans"/>
              </w:rPr>
              <w:t>提供产品宣传彩页</w:t>
            </w:r>
            <w:r>
              <w:rPr>
                <w:rFonts w:hint="eastAsia"/>
                <w:color w:val="auto"/>
                <w:highlight w:val="none"/>
              </w:rPr>
              <w:t>。</w:t>
            </w:r>
          </w:p>
        </w:tc>
      </w:tr>
      <w:tr w14:paraId="43BFC7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431A92B1">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7906" w:type="dxa"/>
            <w:tcBorders>
              <w:top w:val="single" w:color="auto" w:sz="6" w:space="0"/>
              <w:left w:val="single" w:color="auto" w:sz="6" w:space="0"/>
              <w:bottom w:val="nil"/>
              <w:right w:val="nil"/>
            </w:tcBorders>
            <w:vAlign w:val="top"/>
          </w:tcPr>
          <w:p w14:paraId="3CE73820">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可开展泛感染病原微生物靶向高通量基因检测，基于探针杂交捕获技术，可鉴定呼吸、血流、中枢等多种症候群感染的720种</w:t>
            </w:r>
            <w:r>
              <w:rPr>
                <w:rFonts w:hint="eastAsia"/>
                <w:color w:val="auto"/>
                <w:highlight w:val="none"/>
                <w:lang w:val="en-US" w:eastAsia="zh-CN"/>
              </w:rPr>
              <w:t>及</w:t>
            </w:r>
            <w:r>
              <w:rPr>
                <w:rFonts w:hint="eastAsia"/>
                <w:color w:val="auto"/>
                <w:highlight w:val="none"/>
              </w:rPr>
              <w:t>以上病原微生物，</w:t>
            </w:r>
            <w:r>
              <w:rPr>
                <w:rFonts w:hint="eastAsia"/>
                <w:color w:val="auto"/>
                <w:highlight w:val="none"/>
                <w:lang w:val="en-US" w:eastAsia="zh-CN"/>
              </w:rPr>
              <w:t>需</w:t>
            </w:r>
            <w:r>
              <w:rPr>
                <w:rFonts w:hint="eastAsia"/>
                <w:color w:val="auto"/>
                <w:highlight w:val="none"/>
                <w:lang w:val="en-US" w:eastAsia="zh-Hans"/>
              </w:rPr>
              <w:t>提供产品宣传彩页</w:t>
            </w:r>
          </w:p>
        </w:tc>
      </w:tr>
      <w:tr w14:paraId="50EFE5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794D07B7">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7906" w:type="dxa"/>
            <w:tcBorders>
              <w:top w:val="single" w:color="auto" w:sz="6" w:space="0"/>
              <w:left w:val="single" w:color="auto" w:sz="6" w:space="0"/>
              <w:bottom w:val="nil"/>
              <w:right w:val="nil"/>
            </w:tcBorders>
            <w:vAlign w:val="top"/>
          </w:tcPr>
          <w:p w14:paraId="0FE46C79">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可开展分枝杆菌靶向高通量基因检测，涵盖结核分枝杆菌复合群（MTBC），非结核分枝杆菌（NTM）</w:t>
            </w:r>
            <w:r>
              <w:rPr>
                <w:rFonts w:ascii="宋体" w:hAnsi="宋体"/>
                <w:color w:val="auto"/>
                <w:sz w:val="24"/>
                <w:szCs w:val="24"/>
                <w:highlight w:val="none"/>
              </w:rPr>
              <w:t>≥</w:t>
            </w:r>
            <w:r>
              <w:rPr>
                <w:rFonts w:hint="eastAsia"/>
                <w:color w:val="auto"/>
                <w:highlight w:val="none"/>
              </w:rPr>
              <w:t>50种，以及MTBC耐药基因</w:t>
            </w:r>
            <w:r>
              <w:rPr>
                <w:rFonts w:ascii="宋体" w:hAnsi="宋体"/>
                <w:color w:val="auto"/>
                <w:sz w:val="24"/>
                <w:szCs w:val="24"/>
                <w:highlight w:val="none"/>
              </w:rPr>
              <w:t>≥</w:t>
            </w:r>
            <w:r>
              <w:rPr>
                <w:rFonts w:hint="eastAsia"/>
                <w:color w:val="auto"/>
                <w:highlight w:val="none"/>
              </w:rPr>
              <w:t>20个（位点数</w:t>
            </w:r>
            <w:r>
              <w:rPr>
                <w:rFonts w:ascii="宋体" w:hAnsi="宋体"/>
                <w:color w:val="auto"/>
                <w:sz w:val="24"/>
                <w:szCs w:val="24"/>
                <w:highlight w:val="none"/>
              </w:rPr>
              <w:t>≥</w:t>
            </w:r>
            <w:r>
              <w:rPr>
                <w:rFonts w:hint="eastAsia"/>
                <w:color w:val="auto"/>
                <w:highlight w:val="none"/>
              </w:rPr>
              <w:t>200个），</w:t>
            </w:r>
            <w:r>
              <w:rPr>
                <w:rFonts w:hint="eastAsia"/>
                <w:color w:val="auto"/>
                <w:highlight w:val="none"/>
                <w:lang w:val="en-US" w:eastAsia="zh-CN"/>
              </w:rPr>
              <w:t>需</w:t>
            </w:r>
            <w:r>
              <w:rPr>
                <w:rFonts w:hint="eastAsia"/>
                <w:color w:val="auto"/>
                <w:highlight w:val="none"/>
                <w:lang w:val="en-US" w:eastAsia="zh-Hans"/>
              </w:rPr>
              <w:t>提供产品宣传彩页</w:t>
            </w:r>
            <w:r>
              <w:rPr>
                <w:rFonts w:hint="eastAsia"/>
                <w:color w:val="auto"/>
                <w:highlight w:val="none"/>
              </w:rPr>
              <w:t>。</w:t>
            </w:r>
          </w:p>
        </w:tc>
      </w:tr>
      <w:tr w14:paraId="7E24E8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5E67B6A4">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7906" w:type="dxa"/>
            <w:tcBorders>
              <w:top w:val="single" w:color="auto" w:sz="6" w:space="0"/>
              <w:left w:val="single" w:color="auto" w:sz="6" w:space="0"/>
              <w:bottom w:val="nil"/>
              <w:right w:val="nil"/>
            </w:tcBorders>
            <w:vAlign w:val="top"/>
          </w:tcPr>
          <w:p w14:paraId="1F145E80">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操作环境：环境温度：19~25℃；相对湿度：20% ~80%RH，无冷凝；气压范围：70kPa~106kPa。</w:t>
            </w:r>
          </w:p>
        </w:tc>
      </w:tr>
      <w:tr w14:paraId="06D33F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30BD6B02">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color w:val="auto"/>
                <w:highlight w:val="none"/>
              </w:rPr>
              <w:t>▲</w:t>
            </w:r>
            <w:r>
              <w:rPr>
                <w:rFonts w:hint="eastAsia" w:ascii="宋体" w:hAnsi="宋体" w:cs="宋体"/>
                <w:color w:val="auto"/>
                <w:kern w:val="0"/>
                <w:sz w:val="24"/>
                <w:szCs w:val="24"/>
                <w:highlight w:val="none"/>
              </w:rPr>
              <w:t>18</w:t>
            </w:r>
          </w:p>
        </w:tc>
        <w:tc>
          <w:tcPr>
            <w:tcW w:w="7906" w:type="dxa"/>
            <w:tcBorders>
              <w:top w:val="single" w:color="auto" w:sz="6" w:space="0"/>
              <w:left w:val="single" w:color="auto" w:sz="6" w:space="0"/>
              <w:bottom w:val="nil"/>
              <w:right w:val="nil"/>
            </w:tcBorders>
            <w:vAlign w:val="top"/>
          </w:tcPr>
          <w:p w14:paraId="58AE9D19">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设备</w:t>
            </w:r>
            <w:r>
              <w:rPr>
                <w:rFonts w:hint="eastAsia"/>
                <w:color w:val="auto"/>
                <w:highlight w:val="none"/>
                <w:lang w:val="en-US" w:eastAsia="zh-Hans"/>
              </w:rPr>
              <w:t>可进行</w:t>
            </w:r>
            <w:r>
              <w:rPr>
                <w:rFonts w:hint="eastAsia"/>
                <w:color w:val="auto"/>
                <w:highlight w:val="none"/>
              </w:rPr>
              <w:t>染色体非整倍体和缺失高通量基因检测，需提供</w:t>
            </w:r>
            <w:r>
              <w:rPr>
                <w:rFonts w:hint="eastAsia"/>
                <w:color w:val="auto"/>
                <w:highlight w:val="none"/>
                <w:lang w:val="en-US" w:eastAsia="zh-CN"/>
              </w:rPr>
              <w:t>适配机型的证明材料 （以</w:t>
            </w:r>
            <w:r>
              <w:rPr>
                <w:rFonts w:hint="default"/>
                <w:color w:val="auto"/>
                <w:highlight w:val="none"/>
              </w:rPr>
              <w:t>试剂盒</w:t>
            </w:r>
            <w:r>
              <w:rPr>
                <w:rFonts w:hint="eastAsia"/>
                <w:color w:val="auto"/>
                <w:highlight w:val="none"/>
                <w:lang w:val="en-US" w:eastAsia="zh-CN"/>
              </w:rPr>
              <w:t>说明书为准），证明</w:t>
            </w:r>
            <w:r>
              <w:rPr>
                <w:rFonts w:hint="default"/>
                <w:color w:val="auto"/>
                <w:highlight w:val="none"/>
              </w:rPr>
              <w:t>获得临床审批准入，属第三类管理</w:t>
            </w:r>
            <w:r>
              <w:rPr>
                <w:rFonts w:hint="eastAsia"/>
                <w:color w:val="auto"/>
                <w:highlight w:val="none"/>
                <w:lang w:eastAsia="zh-CN"/>
              </w:rPr>
              <w:t>。</w:t>
            </w:r>
          </w:p>
        </w:tc>
      </w:tr>
      <w:tr w14:paraId="17BCD5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35196407">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7906" w:type="dxa"/>
            <w:tcBorders>
              <w:top w:val="single" w:color="auto" w:sz="6" w:space="0"/>
              <w:left w:val="single" w:color="auto" w:sz="6" w:space="0"/>
              <w:bottom w:val="nil"/>
              <w:right w:val="nil"/>
            </w:tcBorders>
            <w:vAlign w:val="top"/>
          </w:tcPr>
          <w:p w14:paraId="507400B9">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可提供配套全自动测序文库制备仪，具备全自动一体化设计，集成样本信息录入，自动开盖，核酸提取，分仓传递，文库构建，质控定量全部实验功能模块，支持由提取开始全流程实验自动化。</w:t>
            </w:r>
            <w:r>
              <w:rPr>
                <w:rFonts w:hint="eastAsia"/>
                <w:color w:val="auto"/>
                <w:highlight w:val="none"/>
                <w:lang w:val="en-US" w:eastAsia="zh-CN"/>
              </w:rPr>
              <w:t>投标时需提供产品说明书或产品彩页或技术白皮书或注册证附页的详细技术参数清单，注：对佐证材料中相关内容进行标注，原件备查</w:t>
            </w:r>
            <w:r>
              <w:rPr>
                <w:rFonts w:hint="eastAsia"/>
                <w:color w:val="auto"/>
                <w:highlight w:val="none"/>
              </w:rPr>
              <w:t>。</w:t>
            </w:r>
          </w:p>
        </w:tc>
      </w:tr>
      <w:tr w14:paraId="4552B3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298DF933">
            <w:pPr>
              <w:widowControl/>
              <w:spacing w:before="100" w:beforeAutospacing="1" w:after="100" w:afterAutospacing="1"/>
              <w:jc w:val="center"/>
              <w:rPr>
                <w:rFonts w:hint="eastAsia" w:ascii="宋体" w:hAnsi="宋体" w:cs="宋体"/>
                <w:color w:val="auto"/>
                <w:kern w:val="0"/>
                <w:sz w:val="24"/>
                <w:szCs w:val="24"/>
                <w:highlight w:val="none"/>
              </w:rPr>
            </w:pPr>
            <w:r>
              <w:rPr>
                <w:rFonts w:hint="eastAsia"/>
                <w:color w:val="auto"/>
                <w:highlight w:val="none"/>
              </w:rPr>
              <w:t>▲</w:t>
            </w:r>
            <w:r>
              <w:rPr>
                <w:rFonts w:hint="eastAsia" w:ascii="宋体" w:hAnsi="宋体" w:cs="宋体"/>
                <w:color w:val="auto"/>
                <w:kern w:val="0"/>
                <w:sz w:val="24"/>
                <w:szCs w:val="24"/>
                <w:highlight w:val="none"/>
              </w:rPr>
              <w:t>20</w:t>
            </w:r>
          </w:p>
        </w:tc>
        <w:tc>
          <w:tcPr>
            <w:tcW w:w="7906" w:type="dxa"/>
            <w:tcBorders>
              <w:top w:val="single" w:color="auto" w:sz="6" w:space="0"/>
              <w:left w:val="single" w:color="auto" w:sz="6" w:space="0"/>
              <w:bottom w:val="nil"/>
              <w:right w:val="nil"/>
            </w:tcBorders>
            <w:vAlign w:val="top"/>
          </w:tcPr>
          <w:p w14:paraId="244F6F27">
            <w:pPr>
              <w:widowControl/>
              <w:spacing w:before="100" w:beforeAutospacing="1" w:after="100" w:afterAutospacing="1"/>
              <w:jc w:val="left"/>
              <w:rPr>
                <w:rFonts w:hint="default" w:ascii="Times New Roman" w:hAnsi="Times New Roman" w:cs="Times New Roman"/>
                <w:color w:val="auto"/>
                <w:highlight w:val="none"/>
              </w:rPr>
            </w:pPr>
            <w:r>
              <w:rPr>
                <w:rFonts w:hint="eastAsia"/>
                <w:color w:val="auto"/>
                <w:highlight w:val="none"/>
              </w:rPr>
              <w:t>可提供</w:t>
            </w:r>
            <w:r>
              <w:rPr>
                <w:rFonts w:hint="eastAsia"/>
                <w:color w:val="auto"/>
                <w:highlight w:val="none"/>
                <w:lang w:val="en-US" w:eastAsia="zh-Hans"/>
              </w:rPr>
              <w:t>同一品牌系列</w:t>
            </w:r>
            <w:r>
              <w:rPr>
                <w:rFonts w:hint="eastAsia"/>
                <w:color w:val="auto"/>
                <w:highlight w:val="none"/>
              </w:rPr>
              <w:t>测序分析系统：具备WES、CNV-seq智能化解读功能，进行智能化ACMG打分、变异注释、自动出报告等，</w:t>
            </w:r>
            <w:r>
              <w:rPr>
                <w:rFonts w:hint="eastAsia"/>
                <w:color w:val="auto"/>
                <w:highlight w:val="none"/>
                <w:lang w:val="en-US" w:eastAsia="zh-CN"/>
              </w:rPr>
              <w:t>需</w:t>
            </w:r>
            <w:r>
              <w:rPr>
                <w:rFonts w:hint="eastAsia"/>
                <w:color w:val="auto"/>
                <w:highlight w:val="none"/>
              </w:rPr>
              <w:t>提供分析界面截图。</w:t>
            </w:r>
          </w:p>
        </w:tc>
      </w:tr>
      <w:tr w14:paraId="13FB9B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127BC4CF">
            <w:pPr>
              <w:widowControl/>
              <w:spacing w:before="100" w:beforeAutospacing="1" w:after="100" w:afterAutospacing="1"/>
              <w:jc w:val="center"/>
              <w:rPr>
                <w:color w:val="auto"/>
                <w:highlight w:val="none"/>
              </w:rPr>
            </w:pPr>
            <w:r>
              <w:rPr>
                <w:rFonts w:hint="eastAsia"/>
                <w:color w:val="auto"/>
                <w:highlight w:val="none"/>
              </w:rPr>
              <w:t>★21</w:t>
            </w:r>
          </w:p>
        </w:tc>
        <w:tc>
          <w:tcPr>
            <w:tcW w:w="7906" w:type="dxa"/>
            <w:tcBorders>
              <w:top w:val="single" w:color="auto" w:sz="6" w:space="0"/>
              <w:left w:val="single" w:color="auto" w:sz="6" w:space="0"/>
              <w:bottom w:val="single" w:color="auto" w:sz="6" w:space="0"/>
              <w:right w:val="nil"/>
            </w:tcBorders>
            <w:vAlign w:val="top"/>
          </w:tcPr>
          <w:p w14:paraId="15EF2C94">
            <w:pPr>
              <w:pStyle w:val="2"/>
              <w:numPr>
                <w:ilvl w:val="0"/>
                <w:numId w:val="0"/>
              </w:numPr>
              <w:ind w:leftChars="0"/>
              <w:jc w:val="left"/>
              <w:rPr>
                <w:rFonts w:hint="eastAsia"/>
                <w:color w:val="auto"/>
                <w:highlight w:val="none"/>
              </w:rPr>
            </w:pPr>
            <w:r>
              <w:rPr>
                <w:rFonts w:hint="eastAsia"/>
                <w:color w:val="auto"/>
                <w:highlight w:val="none"/>
              </w:rPr>
              <w:t>配置清单：</w:t>
            </w:r>
          </w:p>
          <w:p w14:paraId="441BEE9B">
            <w:pPr>
              <w:pStyle w:val="2"/>
              <w:numPr>
                <w:ilvl w:val="0"/>
                <w:numId w:val="0"/>
              </w:numPr>
              <w:ind w:leftChars="0"/>
              <w:jc w:val="left"/>
              <w:rPr>
                <w:rFonts w:hint="default" w:eastAsia="宋体"/>
                <w:color w:val="auto"/>
                <w:highlight w:val="none"/>
                <w:lang w:val="en-US" w:eastAsia="zh-CN"/>
              </w:rPr>
            </w:pPr>
            <w:r>
              <w:rPr>
                <w:rFonts w:hint="eastAsia"/>
                <w:color w:val="auto"/>
                <w:highlight w:val="none"/>
                <w:lang w:val="en-US" w:eastAsia="zh-CN"/>
              </w:rPr>
              <w:t xml:space="preserve">1. </w:t>
            </w:r>
            <w:r>
              <w:rPr>
                <w:rFonts w:hint="eastAsia"/>
                <w:color w:val="auto"/>
                <w:highlight w:val="none"/>
              </w:rPr>
              <w:t xml:space="preserve">基因测序仪1台；                                                                            </w:t>
            </w:r>
            <w:r>
              <w:rPr>
                <w:rFonts w:hint="eastAsia"/>
                <w:color w:val="auto"/>
                <w:highlight w:val="none"/>
                <w:lang w:val="en-US" w:eastAsia="zh-CN"/>
              </w:rPr>
              <w:t xml:space="preserve">2. </w:t>
            </w:r>
            <w:r>
              <w:rPr>
                <w:rFonts w:hint="eastAsia"/>
                <w:color w:val="auto"/>
                <w:highlight w:val="none"/>
                <w:lang w:val="en-US" w:eastAsia="zh-Hans"/>
              </w:rPr>
              <w:t>全自动核酸提取仪</w:t>
            </w:r>
            <w:r>
              <w:rPr>
                <w:rFonts w:hint="default"/>
                <w:color w:val="auto"/>
                <w:highlight w:val="none"/>
                <w:lang w:eastAsia="zh-Hans"/>
              </w:rPr>
              <w:t>1</w:t>
            </w:r>
            <w:r>
              <w:rPr>
                <w:rFonts w:hint="eastAsia"/>
                <w:color w:val="auto"/>
                <w:highlight w:val="none"/>
                <w:lang w:val="en-US" w:eastAsia="zh-Hans"/>
              </w:rPr>
              <w:t>台</w:t>
            </w:r>
            <w:r>
              <w:rPr>
                <w:rFonts w:hint="default"/>
                <w:color w:val="auto"/>
                <w:highlight w:val="none"/>
                <w:lang w:eastAsia="zh-Hans"/>
              </w:rPr>
              <w:t>；</w:t>
            </w:r>
            <w:r>
              <w:rPr>
                <w:rFonts w:hint="eastAsia"/>
                <w:color w:val="auto"/>
                <w:highlight w:val="none"/>
                <w:lang w:val="en-US" w:eastAsia="zh-CN"/>
              </w:rPr>
              <w:t xml:space="preserve">    3.</w:t>
            </w:r>
            <w:r>
              <w:rPr>
                <w:rFonts w:hint="eastAsia"/>
                <w:color w:val="auto"/>
                <w:highlight w:val="none"/>
              </w:rPr>
              <w:t>全自动测序文库制备</w:t>
            </w:r>
            <w:r>
              <w:rPr>
                <w:rFonts w:hint="eastAsia"/>
                <w:color w:val="auto"/>
                <w:highlight w:val="none"/>
                <w:lang w:val="en-US" w:eastAsia="zh-Hans"/>
              </w:rPr>
              <w:t>仪</w:t>
            </w:r>
            <w:r>
              <w:rPr>
                <w:rFonts w:hint="default"/>
                <w:color w:val="auto"/>
                <w:highlight w:val="none"/>
                <w:lang w:eastAsia="zh-Hans"/>
              </w:rPr>
              <w:t>1</w:t>
            </w:r>
            <w:r>
              <w:rPr>
                <w:rFonts w:hint="eastAsia"/>
                <w:color w:val="auto"/>
                <w:highlight w:val="none"/>
                <w:lang w:val="en-US" w:eastAsia="zh-Hans"/>
              </w:rPr>
              <w:t>台</w:t>
            </w:r>
            <w:r>
              <w:rPr>
                <w:rFonts w:hint="default"/>
                <w:color w:val="auto"/>
                <w:highlight w:val="none"/>
                <w:lang w:eastAsia="zh-Hans"/>
              </w:rPr>
              <w:t>；</w:t>
            </w:r>
          </w:p>
          <w:p w14:paraId="04F4F166">
            <w:pPr>
              <w:pStyle w:val="2"/>
              <w:numPr>
                <w:ilvl w:val="0"/>
                <w:numId w:val="0"/>
              </w:numPr>
              <w:ind w:leftChars="0"/>
              <w:jc w:val="left"/>
              <w:rPr>
                <w:rFonts w:hint="eastAsia" w:eastAsia="宋体"/>
                <w:color w:val="auto"/>
                <w:highlight w:val="none"/>
                <w:lang w:eastAsia="zh-CN"/>
              </w:rPr>
            </w:pPr>
            <w:r>
              <w:rPr>
                <w:rFonts w:hint="eastAsia"/>
                <w:color w:val="auto"/>
                <w:highlight w:val="none"/>
                <w:lang w:val="en-US" w:eastAsia="zh-CN"/>
              </w:rPr>
              <w:t xml:space="preserve">4. </w:t>
            </w:r>
            <w:r>
              <w:rPr>
                <w:rFonts w:hint="eastAsia"/>
                <w:color w:val="auto"/>
                <w:highlight w:val="none"/>
              </w:rPr>
              <w:t>自动化样本制备系统</w:t>
            </w:r>
            <w:r>
              <w:rPr>
                <w:rFonts w:hint="default"/>
                <w:color w:val="auto"/>
                <w:highlight w:val="none"/>
              </w:rPr>
              <w:t>1</w:t>
            </w:r>
            <w:r>
              <w:rPr>
                <w:rFonts w:hint="eastAsia"/>
                <w:color w:val="auto"/>
                <w:highlight w:val="none"/>
                <w:lang w:val="en-US" w:eastAsia="zh-Hans"/>
              </w:rPr>
              <w:t>台</w:t>
            </w:r>
            <w:r>
              <w:rPr>
                <w:rFonts w:hint="eastAsia"/>
                <w:color w:val="auto"/>
                <w:highlight w:val="none"/>
                <w:lang w:val="en-US" w:eastAsia="zh-CN"/>
              </w:rPr>
              <w:t>；  5.</w:t>
            </w:r>
            <w:r>
              <w:rPr>
                <w:rFonts w:hint="eastAsia"/>
                <w:color w:val="auto"/>
                <w:highlight w:val="none"/>
              </w:rPr>
              <w:t>高通量测序分析系统1套；</w:t>
            </w:r>
          </w:p>
          <w:p w14:paraId="49268C32">
            <w:pPr>
              <w:pStyle w:val="2"/>
              <w:numPr>
                <w:ilvl w:val="0"/>
                <w:numId w:val="0"/>
              </w:numPr>
              <w:ind w:leftChars="0"/>
              <w:jc w:val="left"/>
              <w:rPr>
                <w:rFonts w:hint="eastAsia"/>
                <w:color w:val="auto"/>
                <w:highlight w:val="none"/>
              </w:rPr>
            </w:pPr>
            <w:r>
              <w:rPr>
                <w:rFonts w:hint="eastAsia"/>
                <w:color w:val="auto"/>
                <w:highlight w:val="none"/>
                <w:lang w:val="en-US" w:eastAsia="zh-CN"/>
              </w:rPr>
              <w:t xml:space="preserve">6. </w:t>
            </w:r>
            <w:r>
              <w:rPr>
                <w:rFonts w:hint="eastAsia"/>
                <w:color w:val="auto"/>
                <w:highlight w:val="none"/>
              </w:rPr>
              <w:t>真空浓缩仪1台；</w:t>
            </w:r>
            <w:r>
              <w:rPr>
                <w:rFonts w:hint="eastAsia"/>
                <w:color w:val="auto"/>
                <w:highlight w:val="none"/>
                <w:lang w:val="en-US" w:eastAsia="zh-CN"/>
              </w:rPr>
              <w:t xml:space="preserve">          7.</w:t>
            </w:r>
            <w:r>
              <w:rPr>
                <w:rFonts w:hint="eastAsia"/>
                <w:color w:val="auto"/>
                <w:highlight w:val="none"/>
              </w:rPr>
              <w:t>基因扩增仪2台；</w:t>
            </w:r>
          </w:p>
          <w:p w14:paraId="6297101A">
            <w:pPr>
              <w:pStyle w:val="2"/>
              <w:numPr>
                <w:ilvl w:val="0"/>
                <w:numId w:val="0"/>
              </w:numPr>
              <w:ind w:leftChars="0"/>
              <w:jc w:val="left"/>
              <w:rPr>
                <w:rFonts w:hint="eastAsia"/>
                <w:color w:val="auto"/>
                <w:highlight w:val="none"/>
              </w:rPr>
            </w:pPr>
            <w:r>
              <w:rPr>
                <w:rFonts w:hint="eastAsia"/>
                <w:color w:val="auto"/>
                <w:highlight w:val="none"/>
                <w:lang w:val="en-US" w:eastAsia="zh-CN"/>
              </w:rPr>
              <w:t xml:space="preserve">8. </w:t>
            </w:r>
            <w:r>
              <w:rPr>
                <w:rFonts w:hint="eastAsia"/>
                <w:color w:val="auto"/>
                <w:highlight w:val="none"/>
              </w:rPr>
              <w:t>破壁仪1台；</w:t>
            </w:r>
            <w:r>
              <w:rPr>
                <w:rFonts w:hint="eastAsia"/>
                <w:color w:val="auto"/>
                <w:highlight w:val="none"/>
                <w:lang w:val="en-US" w:eastAsia="zh-CN"/>
              </w:rPr>
              <w:t xml:space="preserve">              9.</w:t>
            </w:r>
            <w:r>
              <w:rPr>
                <w:rFonts w:hint="eastAsia"/>
                <w:color w:val="auto"/>
                <w:highlight w:val="none"/>
              </w:rPr>
              <w:t>荧光定量仪1台。</w:t>
            </w:r>
          </w:p>
          <w:p w14:paraId="6FB35B7C">
            <w:pPr>
              <w:pStyle w:val="2"/>
              <w:rPr>
                <w:color w:val="auto"/>
                <w:highlight w:val="none"/>
              </w:rPr>
            </w:pPr>
          </w:p>
        </w:tc>
      </w:tr>
      <w:tr w14:paraId="35DC86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vAlign w:val="center"/>
          </w:tcPr>
          <w:p w14:paraId="0E291CA5">
            <w:pPr>
              <w:widowControl/>
              <w:spacing w:before="100" w:beforeAutospacing="1" w:after="100" w:afterAutospacing="1"/>
              <w:jc w:val="center"/>
              <w:rPr>
                <w:rFonts w:hint="eastAsia" w:eastAsiaTheme="minorEastAsia"/>
                <w:color w:val="auto"/>
                <w:highlight w:val="none"/>
                <w:lang w:eastAsia="zh-CN"/>
              </w:rPr>
            </w:pPr>
            <w:r>
              <w:rPr>
                <w:rFonts w:hint="eastAsia"/>
                <w:color w:val="auto"/>
                <w:highlight w:val="none"/>
                <w:lang w:eastAsia="zh-CN"/>
              </w:rPr>
              <w:t>二</w:t>
            </w:r>
          </w:p>
        </w:tc>
        <w:tc>
          <w:tcPr>
            <w:tcW w:w="7906" w:type="dxa"/>
            <w:tcBorders>
              <w:top w:val="single" w:color="auto" w:sz="6" w:space="0"/>
              <w:left w:val="single" w:color="auto" w:sz="6" w:space="0"/>
              <w:bottom w:val="single" w:color="auto" w:sz="6" w:space="0"/>
              <w:right w:val="nil"/>
            </w:tcBorders>
            <w:vAlign w:val="top"/>
          </w:tcPr>
          <w:p w14:paraId="20DBC901">
            <w:pPr>
              <w:pStyle w:val="2"/>
              <w:rPr>
                <w:rFonts w:hint="eastAsia" w:eastAsiaTheme="minorEastAsia"/>
                <w:color w:val="auto"/>
                <w:highlight w:val="none"/>
                <w:lang w:val="en-US" w:eastAsia="zh-CN"/>
              </w:rPr>
            </w:pPr>
            <w:r>
              <w:rPr>
                <w:rFonts w:hint="eastAsia"/>
                <w:color w:val="auto"/>
                <w:highlight w:val="none"/>
                <w:lang w:val="en-US" w:eastAsia="zh-CN"/>
              </w:rPr>
              <w:t>商务需求</w:t>
            </w:r>
          </w:p>
        </w:tc>
      </w:tr>
      <w:tr w14:paraId="55845B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100F9187">
            <w:pPr>
              <w:widowControl/>
              <w:spacing w:before="100" w:beforeAutospacing="1" w:after="100" w:afterAutospacing="1"/>
              <w:jc w:val="center"/>
              <w:rPr>
                <w:rFonts w:hint="eastAsia" w:eastAsiaTheme="minorEastAsia"/>
                <w:color w:val="auto"/>
                <w:highlight w:val="none"/>
                <w:lang w:val="en-US" w:eastAsia="zh-CN"/>
              </w:rPr>
            </w:pPr>
            <w:r>
              <w:rPr>
                <w:rFonts w:hint="eastAsia"/>
                <w:color w:val="auto"/>
                <w:highlight w:val="none"/>
              </w:rPr>
              <w:t>★</w:t>
            </w:r>
            <w:r>
              <w:rPr>
                <w:rFonts w:hint="eastAsia"/>
                <w:color w:val="auto"/>
                <w:highlight w:val="none"/>
                <w:lang w:val="en-US" w:eastAsia="zh-CN"/>
              </w:rPr>
              <w:t>1</w:t>
            </w:r>
          </w:p>
        </w:tc>
        <w:tc>
          <w:tcPr>
            <w:tcW w:w="7906" w:type="dxa"/>
            <w:tcBorders>
              <w:top w:val="single" w:color="auto" w:sz="6" w:space="0"/>
              <w:left w:val="single" w:color="auto" w:sz="6" w:space="0"/>
              <w:bottom w:val="nil"/>
              <w:right w:val="nil"/>
            </w:tcBorders>
            <w:vAlign w:val="top"/>
          </w:tcPr>
          <w:p w14:paraId="216DAE14">
            <w:pPr>
              <w:pStyle w:val="2"/>
              <w:rPr>
                <w:rFonts w:hint="default"/>
                <w:color w:val="auto"/>
                <w:highlight w:val="none"/>
                <w:lang w:val="en-US" w:eastAsia="zh-CN"/>
              </w:rPr>
            </w:pPr>
            <w:r>
              <w:rPr>
                <w:rFonts w:hint="eastAsia"/>
                <w:color w:val="auto"/>
                <w:highlight w:val="none"/>
                <w:lang w:val="en-US" w:eastAsia="zh-CN"/>
              </w:rPr>
              <w:t>整机保修5年</w:t>
            </w:r>
          </w:p>
        </w:tc>
      </w:tr>
    </w:tbl>
    <w:p w14:paraId="3699CF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8C8B"/>
    <w:multiLevelType w:val="singleLevel"/>
    <w:tmpl w:val="A0A68C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6075E"/>
    <w:rsid w:val="595B6F8A"/>
    <w:rsid w:val="77F6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customStyle="1" w:styleId="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799</Words>
  <Characters>853</Characters>
  <Lines>0</Lines>
  <Paragraphs>0</Paragraphs>
  <TotalTime>0</TotalTime>
  <ScaleCrop>false</ScaleCrop>
  <LinksUpToDate>false</LinksUpToDate>
  <CharactersWithSpaces>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2025-11-11T02:31:00Z</dcterms:created>
  <dc:creator>茜茜 ✨</dc:creator>
  <cp:lastModifiedBy>茜茜 ✨</cp:lastModifiedBy>
  <dcterms:modified xsi:type="dcterms:W3CDTF">2025-12-10T00:04:39Z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1AB3AF033DB6489C847429F81AB1D7D4_11</vt:lpwstr>
  </property>
  <property fmtid="{D5CDD505-2E9C-101B-9397-08002B2CF9AE}" pid="4" name="KSOTemplateDocerSaveRecord">
    <vt:lpwstr>eyJoZGlkIjoiMGNjYmY0NDQ3OWE4YmY2NzJlYTA4MDM0NjNhNzdkMzYiLCJ1c2VySWQiOiI1Mzc0MjMyMDUifQ==</vt:lpwstr>
  </property>
</Properties>
</file>