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w:t>
      </w:r>
      <w:r>
        <w:rPr>
          <w:rFonts w:hint="eastAsia"/>
          <w:b/>
          <w:sz w:val="52"/>
          <w:szCs w:val="52"/>
          <w:lang w:val="en-US" w:eastAsia="zh-CN"/>
        </w:rPr>
        <w:t>工程</w:t>
      </w:r>
      <w:r>
        <w:rPr>
          <w:rFonts w:hint="eastAsia"/>
          <w:b/>
          <w:sz w:val="52"/>
          <w:szCs w:val="52"/>
        </w:rPr>
        <w:t>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p w14:paraId="5E95F3A0">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评标信息</w:t>
      </w:r>
    </w:p>
    <w:p w14:paraId="407491FF">
      <w:pPr>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价格分计算：价格分应当采用低价优先法计算，即满足文件要求且投标价格最低的投标报价为评标基准价，其价格分为满分。其他投标人的价格分统一按照下列公式计算：</w:t>
      </w:r>
    </w:p>
    <w:p w14:paraId="1436A6EB">
      <w:pPr>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投标报价得分=(评标基准价／投标报价)×权重分</w:t>
      </w:r>
    </w:p>
    <w:p w14:paraId="61D0F56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备注：投标报价得分四舍五入后，小数点后保留两位有效数；</w:t>
      </w:r>
    </w:p>
    <w:p w14:paraId="0C145BF2">
      <w:pPr>
        <w:widowControl/>
        <w:spacing w:line="450" w:lineRule="atLeast"/>
        <w:ind w:firstLine="420" w:firstLineChars="20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评标基准价是指所有有效报价中最低的投标报价(</w:t>
      </w:r>
      <w:r>
        <w:rPr>
          <w:rFonts w:hint="eastAsia" w:asciiTheme="minorEastAsia" w:hAnsiTheme="minorEastAsia" w:eastAsiaTheme="minorEastAsia" w:cstheme="minorEastAsia"/>
          <w:b/>
          <w:bCs/>
          <w:color w:val="FF0000"/>
          <w:sz w:val="21"/>
          <w:szCs w:val="21"/>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cstheme="minorEastAsia"/>
          <w:sz w:val="21"/>
          <w:szCs w:val="21"/>
        </w:rPr>
        <w:t>）。</w:t>
      </w:r>
    </w:p>
    <w:p w14:paraId="335894E6">
      <w:pPr>
        <w:spacing w:line="520" w:lineRule="exact"/>
        <w:ind w:firstLine="560" w:firstLineChars="200"/>
        <w:jc w:val="left"/>
        <w:rPr>
          <w:rFonts w:ascii="仿宋" w:hAnsi="仿宋" w:eastAsia="仿宋"/>
          <w:color w:val="FF0000"/>
          <w:sz w:val="28"/>
          <w:szCs w:val="28"/>
        </w:rPr>
      </w:pPr>
    </w:p>
    <w:tbl>
      <w:tblPr>
        <w:tblStyle w:val="16"/>
        <w:tblW w:w="836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697"/>
      </w:tblGrid>
      <w:tr w14:paraId="0EDA0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vAlign w:val="center"/>
          </w:tcPr>
          <w:p w14:paraId="158A28F8">
            <w:pPr>
              <w:ind w:left="-78" w:leftChars="-37" w:right="-73" w:rightChars="-35"/>
              <w:jc w:val="center"/>
              <w:rPr>
                <w:rFonts w:ascii="宋体" w:hAnsi="宋体" w:cs="宋体"/>
                <w:b/>
                <w:szCs w:val="21"/>
              </w:rPr>
            </w:pPr>
            <w:r>
              <w:rPr>
                <w:rFonts w:hint="eastAsia" w:ascii="宋体" w:hAnsi="宋体" w:cs="宋体"/>
                <w:b/>
                <w:szCs w:val="21"/>
              </w:rPr>
              <w:t>评审部分</w:t>
            </w:r>
          </w:p>
        </w:tc>
        <w:tc>
          <w:tcPr>
            <w:tcW w:w="1355" w:type="dxa"/>
            <w:vAlign w:val="center"/>
          </w:tcPr>
          <w:p w14:paraId="00FDACA3">
            <w:pPr>
              <w:ind w:left="-78" w:leftChars="-37" w:right="-73" w:rightChars="-35"/>
              <w:jc w:val="center"/>
              <w:rPr>
                <w:rFonts w:ascii="宋体" w:hAnsi="宋体" w:cs="宋体"/>
                <w:b/>
                <w:szCs w:val="21"/>
              </w:rPr>
            </w:pPr>
            <w:r>
              <w:rPr>
                <w:rFonts w:hint="eastAsia" w:ascii="宋体" w:hAnsi="宋体" w:cs="宋体"/>
                <w:b/>
                <w:szCs w:val="21"/>
              </w:rPr>
              <w:t>评审因素</w:t>
            </w:r>
          </w:p>
        </w:tc>
        <w:tc>
          <w:tcPr>
            <w:tcW w:w="5635" w:type="dxa"/>
            <w:vAlign w:val="center"/>
          </w:tcPr>
          <w:p w14:paraId="49C61CC7">
            <w:pPr>
              <w:ind w:left="-78" w:leftChars="-37" w:right="-73" w:rightChars="-35"/>
              <w:jc w:val="center"/>
              <w:rPr>
                <w:rFonts w:ascii="宋体" w:hAnsi="宋体" w:cs="宋体"/>
                <w:b/>
                <w:szCs w:val="21"/>
              </w:rPr>
            </w:pPr>
            <w:r>
              <w:rPr>
                <w:rFonts w:hint="eastAsia" w:ascii="宋体" w:hAnsi="宋体" w:cs="宋体"/>
                <w:b/>
                <w:szCs w:val="21"/>
              </w:rPr>
              <w:t>评分细则</w:t>
            </w:r>
          </w:p>
        </w:tc>
        <w:tc>
          <w:tcPr>
            <w:tcW w:w="697" w:type="dxa"/>
            <w:tcBorders>
              <w:left w:val="single" w:color="auto" w:sz="4" w:space="0"/>
            </w:tcBorders>
            <w:vAlign w:val="center"/>
          </w:tcPr>
          <w:p w14:paraId="609B7DA9">
            <w:pPr>
              <w:ind w:left="-78" w:leftChars="-37" w:right="-73" w:rightChars="-35"/>
              <w:jc w:val="center"/>
              <w:rPr>
                <w:rFonts w:ascii="宋体" w:hAnsi="宋体" w:cs="宋体"/>
                <w:b/>
                <w:szCs w:val="21"/>
              </w:rPr>
            </w:pPr>
            <w:r>
              <w:rPr>
                <w:rFonts w:hint="eastAsia" w:ascii="宋体" w:hAnsi="宋体" w:cs="宋体"/>
                <w:b/>
                <w:szCs w:val="21"/>
              </w:rPr>
              <w:t>分值</w:t>
            </w:r>
          </w:p>
        </w:tc>
      </w:tr>
      <w:tr w14:paraId="08B21E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7687" w:type="dxa"/>
          <w:trHeight w:val="441" w:hRule="atLeast"/>
        </w:trPr>
        <w:tc>
          <w:tcPr>
            <w:tcW w:w="680" w:type="dxa"/>
            <w:vAlign w:val="center"/>
          </w:tcPr>
          <w:p w14:paraId="1D932E7F">
            <w:pPr>
              <w:ind w:left="-78" w:leftChars="-37" w:right="-73" w:rightChars="-35"/>
              <w:jc w:val="center"/>
              <w:rPr>
                <w:rFonts w:ascii="宋体" w:hAnsi="宋体" w:cs="宋体"/>
                <w:b/>
                <w:szCs w:val="21"/>
              </w:rPr>
            </w:pPr>
            <w:r>
              <w:rPr>
                <w:rFonts w:hint="eastAsia" w:ascii="宋体" w:hAnsi="宋体" w:cs="宋体"/>
                <w:b/>
                <w:szCs w:val="21"/>
              </w:rPr>
              <w:t>一</w:t>
            </w:r>
          </w:p>
        </w:tc>
      </w:tr>
      <w:tr w14:paraId="01D52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AD53CBA">
            <w:pPr>
              <w:pStyle w:val="37"/>
              <w:numPr>
                <w:ilvl w:val="0"/>
                <w:numId w:val="1"/>
              </w:numPr>
              <w:ind w:firstLineChars="0"/>
              <w:jc w:val="right"/>
              <w:rPr>
                <w:rFonts w:ascii="宋体" w:hAnsi="宋体"/>
                <w:szCs w:val="21"/>
              </w:rPr>
            </w:pPr>
          </w:p>
        </w:tc>
        <w:tc>
          <w:tcPr>
            <w:tcW w:w="1355" w:type="dxa"/>
            <w:vAlign w:val="center"/>
          </w:tcPr>
          <w:p w14:paraId="320E2A71">
            <w:pPr>
              <w:jc w:val="center"/>
              <w:rPr>
                <w:rFonts w:ascii="宋体" w:hAnsi="宋体" w:cs="宋体"/>
                <w:color w:val="FF0000"/>
                <w:szCs w:val="21"/>
              </w:rPr>
            </w:pPr>
            <w:r>
              <w:rPr>
                <w:rFonts w:hint="eastAsia" w:ascii="宋体" w:hAnsi="宋体"/>
                <w:color w:val="FF0000"/>
                <w:szCs w:val="21"/>
              </w:rPr>
              <w:t>施工方案、质保维修及保障措施</w:t>
            </w:r>
          </w:p>
        </w:tc>
        <w:tc>
          <w:tcPr>
            <w:tcW w:w="5635" w:type="dxa"/>
            <w:vAlign w:val="center"/>
          </w:tcPr>
          <w:p w14:paraId="673E6D26">
            <w:pPr>
              <w:autoSpaceDE w:val="0"/>
              <w:autoSpaceDN w:val="0"/>
              <w:adjustRightInd w:val="0"/>
              <w:spacing w:line="360" w:lineRule="exact"/>
              <w:rPr>
                <w:rFonts w:ascii="宋体" w:hAnsi="宋体"/>
                <w:kern w:val="0"/>
                <w:szCs w:val="21"/>
              </w:rPr>
            </w:pPr>
            <w:r>
              <w:rPr>
                <w:rFonts w:hint="eastAsia" w:ascii="宋体" w:hAnsi="宋体"/>
                <w:snapToGrid w:val="0"/>
                <w:kern w:val="0"/>
                <w:szCs w:val="21"/>
              </w:rPr>
              <w:t>评审内容：考察投标人提供的</w:t>
            </w:r>
            <w:r>
              <w:rPr>
                <w:rFonts w:ascii="宋体" w:hAnsi="宋体"/>
                <w:szCs w:val="21"/>
              </w:rPr>
              <w:t>施工质量（安全、环保、工期）保障措施</w:t>
            </w:r>
            <w:r>
              <w:rPr>
                <w:rFonts w:hint="eastAsia" w:ascii="宋体" w:hAnsi="宋体"/>
                <w:szCs w:val="21"/>
              </w:rPr>
              <w:t>、售后服务</w:t>
            </w:r>
            <w:r>
              <w:rPr>
                <w:rFonts w:ascii="宋体" w:hAnsi="宋体"/>
                <w:szCs w:val="21"/>
              </w:rPr>
              <w:t>及违约承诺</w:t>
            </w:r>
            <w:r>
              <w:rPr>
                <w:rFonts w:hint="eastAsia" w:ascii="宋体" w:hAnsi="宋体"/>
                <w:kern w:val="0"/>
                <w:szCs w:val="21"/>
              </w:rPr>
              <w:t>，包含以下内容：</w:t>
            </w:r>
          </w:p>
          <w:p w14:paraId="60EE4AA1">
            <w:pPr>
              <w:autoSpaceDE w:val="0"/>
              <w:autoSpaceDN w:val="0"/>
              <w:adjustRightInd w:val="0"/>
              <w:spacing w:line="360" w:lineRule="exact"/>
              <w:rPr>
                <w:rFonts w:ascii="宋体" w:hAnsi="宋体"/>
                <w:kern w:val="0"/>
                <w:szCs w:val="21"/>
              </w:rPr>
            </w:pPr>
            <w:r>
              <w:rPr>
                <w:rFonts w:hint="eastAsia" w:ascii="宋体" w:hAnsi="宋体"/>
                <w:szCs w:val="21"/>
              </w:rPr>
              <w:t>（1）</w:t>
            </w:r>
            <w:r>
              <w:rPr>
                <w:rFonts w:ascii="宋体" w:hAnsi="宋体"/>
                <w:szCs w:val="21"/>
              </w:rPr>
              <w:t>施工质量（安全、环保、工期）保障措施</w:t>
            </w:r>
            <w:r>
              <w:rPr>
                <w:rFonts w:hint="eastAsia" w:ascii="宋体" w:hAnsi="宋体"/>
                <w:kern w:val="0"/>
                <w:szCs w:val="21"/>
              </w:rPr>
              <w:t>；</w:t>
            </w:r>
          </w:p>
          <w:p w14:paraId="30B1FE0C">
            <w:pPr>
              <w:autoSpaceDE w:val="0"/>
              <w:autoSpaceDN w:val="0"/>
              <w:adjustRightInd w:val="0"/>
              <w:spacing w:line="360" w:lineRule="exact"/>
              <w:rPr>
                <w:rFonts w:ascii="宋体" w:hAnsi="宋体"/>
                <w:szCs w:val="21"/>
              </w:rPr>
            </w:pPr>
            <w:r>
              <w:rPr>
                <w:rFonts w:hint="eastAsia" w:ascii="宋体" w:hAnsi="宋体"/>
                <w:szCs w:val="21"/>
              </w:rPr>
              <w:t>（2）售后服务承诺；</w:t>
            </w:r>
          </w:p>
          <w:p w14:paraId="376BD9FE">
            <w:pPr>
              <w:autoSpaceDE w:val="0"/>
              <w:autoSpaceDN w:val="0"/>
              <w:adjustRightInd w:val="0"/>
              <w:spacing w:line="360" w:lineRule="exact"/>
              <w:rPr>
                <w:rFonts w:ascii="宋体" w:hAnsi="宋体"/>
                <w:kern w:val="0"/>
                <w:szCs w:val="21"/>
              </w:rPr>
            </w:pPr>
            <w:r>
              <w:rPr>
                <w:rFonts w:hint="eastAsia" w:ascii="宋体" w:hAnsi="宋体"/>
                <w:szCs w:val="21"/>
              </w:rPr>
              <w:t>（3）违约承诺</w:t>
            </w:r>
            <w:r>
              <w:rPr>
                <w:rFonts w:hint="eastAsia" w:ascii="宋体" w:hAnsi="宋体"/>
                <w:kern w:val="0"/>
                <w:szCs w:val="21"/>
              </w:rPr>
              <w:t>。</w:t>
            </w:r>
          </w:p>
          <w:p w14:paraId="3F96B1A0">
            <w:pPr>
              <w:adjustRightInd w:val="0"/>
              <w:snapToGrid w:val="0"/>
              <w:spacing w:line="360" w:lineRule="exact"/>
              <w:rPr>
                <w:rFonts w:ascii="宋体" w:hAnsi="宋体"/>
                <w:snapToGrid w:val="0"/>
                <w:kern w:val="0"/>
                <w:szCs w:val="21"/>
              </w:rPr>
            </w:pPr>
            <w:r>
              <w:rPr>
                <w:rFonts w:hint="eastAsia" w:ascii="宋体" w:hAnsi="宋体"/>
                <w:snapToGrid w:val="0"/>
                <w:kern w:val="0"/>
                <w:szCs w:val="21"/>
              </w:rPr>
              <w:t>评分标准：</w:t>
            </w:r>
          </w:p>
          <w:p w14:paraId="1329247D">
            <w:pPr>
              <w:spacing w:line="360" w:lineRule="exact"/>
              <w:rPr>
                <w:rFonts w:ascii="宋体" w:hAnsi="宋体"/>
                <w:szCs w:val="21"/>
              </w:rPr>
            </w:pPr>
            <w:r>
              <w:rPr>
                <w:rFonts w:hint="eastAsia" w:ascii="宋体" w:hAnsi="宋体"/>
                <w:szCs w:val="21"/>
              </w:rPr>
              <w:t>方案包含以上三项内容得</w:t>
            </w:r>
            <w:r>
              <w:rPr>
                <w:rFonts w:hint="eastAsia" w:ascii="宋体" w:hAnsi="宋体"/>
                <w:szCs w:val="21"/>
                <w:lang w:val="en-US" w:eastAsia="zh-CN"/>
              </w:rPr>
              <w:t>6</w:t>
            </w:r>
            <w:r>
              <w:rPr>
                <w:rFonts w:hint="eastAsia" w:ascii="宋体" w:hAnsi="宋体"/>
                <w:szCs w:val="21"/>
              </w:rPr>
              <w:t>分；包含以上二项内容得</w:t>
            </w:r>
            <w:r>
              <w:rPr>
                <w:rFonts w:hint="eastAsia" w:ascii="宋体" w:hAnsi="宋体"/>
                <w:szCs w:val="21"/>
                <w:lang w:val="en-US" w:eastAsia="zh-CN"/>
              </w:rPr>
              <w:t>3</w:t>
            </w:r>
            <w:r>
              <w:rPr>
                <w:rFonts w:hint="eastAsia" w:ascii="宋体" w:hAnsi="宋体"/>
                <w:szCs w:val="21"/>
              </w:rPr>
              <w:t>分；包含以上一项内容得1分；其他情况不得分。</w:t>
            </w:r>
          </w:p>
          <w:p w14:paraId="2C698F53">
            <w:pPr>
              <w:spacing w:line="360" w:lineRule="exact"/>
              <w:rPr>
                <w:rFonts w:ascii="宋体" w:hAnsi="宋体"/>
                <w:szCs w:val="21"/>
              </w:rPr>
            </w:pPr>
            <w:bookmarkStart w:id="0" w:name="OLE_LINK5"/>
            <w:bookmarkStart w:id="1" w:name="OLE_LINK4"/>
            <w:r>
              <w:rPr>
                <w:rFonts w:hint="eastAsia" w:ascii="宋体" w:hAnsi="宋体"/>
                <w:szCs w:val="21"/>
              </w:rPr>
              <w:t>在此基础上，根据方案响应情况进一步评审：</w:t>
            </w:r>
          </w:p>
          <w:bookmarkEnd w:id="0"/>
          <w:bookmarkEnd w:id="1"/>
          <w:p w14:paraId="68AC3AAB">
            <w:pPr>
              <w:spacing w:line="360" w:lineRule="exact"/>
              <w:rPr>
                <w:rFonts w:ascii="宋体" w:hAnsi="宋体"/>
                <w:szCs w:val="21"/>
              </w:rPr>
            </w:pPr>
            <w:r>
              <w:rPr>
                <w:rFonts w:hint="eastAsia" w:ascii="宋体" w:hAnsi="宋体"/>
                <w:szCs w:val="21"/>
              </w:rPr>
              <w:t>（1）方案内容全面、具体，可行性高，加</w:t>
            </w:r>
            <w:r>
              <w:rPr>
                <w:rFonts w:hint="eastAsia" w:ascii="宋体" w:hAnsi="宋体"/>
                <w:szCs w:val="21"/>
                <w:lang w:val="en-US" w:eastAsia="zh-CN"/>
              </w:rPr>
              <w:t>9</w:t>
            </w:r>
            <w:r>
              <w:rPr>
                <w:rFonts w:hint="eastAsia" w:ascii="宋体" w:hAnsi="宋体"/>
                <w:szCs w:val="21"/>
              </w:rPr>
              <w:t>分；</w:t>
            </w:r>
          </w:p>
          <w:p w14:paraId="325391F5">
            <w:pPr>
              <w:spacing w:line="360" w:lineRule="exact"/>
              <w:rPr>
                <w:rFonts w:ascii="宋体" w:hAnsi="宋体"/>
                <w:szCs w:val="21"/>
              </w:rPr>
            </w:pPr>
            <w:r>
              <w:rPr>
                <w:rFonts w:hint="eastAsia" w:ascii="宋体" w:hAnsi="宋体"/>
                <w:szCs w:val="21"/>
              </w:rPr>
              <w:t>（2）方案内容较全面，可行性较高，加</w:t>
            </w:r>
            <w:r>
              <w:rPr>
                <w:rFonts w:hint="eastAsia" w:ascii="宋体" w:hAnsi="宋体"/>
                <w:szCs w:val="21"/>
                <w:lang w:val="en-US" w:eastAsia="zh-CN"/>
              </w:rPr>
              <w:t>6</w:t>
            </w:r>
            <w:r>
              <w:rPr>
                <w:rFonts w:hint="eastAsia" w:ascii="宋体" w:hAnsi="宋体"/>
                <w:szCs w:val="21"/>
              </w:rPr>
              <w:t>分；</w:t>
            </w:r>
          </w:p>
          <w:p w14:paraId="4B1323B1">
            <w:pPr>
              <w:spacing w:line="360" w:lineRule="exact"/>
              <w:rPr>
                <w:rFonts w:ascii="宋体" w:hAnsi="宋体"/>
                <w:szCs w:val="21"/>
              </w:rPr>
            </w:pPr>
            <w:r>
              <w:rPr>
                <w:rFonts w:hint="eastAsia" w:ascii="宋体" w:hAnsi="宋体"/>
                <w:szCs w:val="21"/>
              </w:rPr>
              <w:t>（3）方案全面性、可行性一般，加</w:t>
            </w:r>
            <w:r>
              <w:rPr>
                <w:rFonts w:hint="eastAsia" w:ascii="宋体" w:hAnsi="宋体"/>
                <w:szCs w:val="21"/>
                <w:lang w:val="en-US" w:eastAsia="zh-CN"/>
              </w:rPr>
              <w:t>3</w:t>
            </w:r>
            <w:r>
              <w:rPr>
                <w:rFonts w:hint="eastAsia" w:ascii="宋体" w:hAnsi="宋体"/>
                <w:szCs w:val="21"/>
              </w:rPr>
              <w:t>分；</w:t>
            </w:r>
          </w:p>
          <w:p w14:paraId="7508F5E0">
            <w:pPr>
              <w:ind w:left="-78" w:leftChars="-37" w:right="-73" w:rightChars="-35"/>
              <w:jc w:val="left"/>
              <w:rPr>
                <w:rFonts w:ascii="宋体" w:hAnsi="宋体" w:cs="宋体"/>
                <w:szCs w:val="21"/>
              </w:rPr>
            </w:pPr>
            <w:r>
              <w:rPr>
                <w:rFonts w:hint="eastAsia" w:ascii="宋体" w:hAnsi="宋体"/>
                <w:szCs w:val="21"/>
              </w:rPr>
              <w:t>（4）方案不全，可行性低，不加分。</w:t>
            </w:r>
          </w:p>
        </w:tc>
        <w:tc>
          <w:tcPr>
            <w:tcW w:w="697" w:type="dxa"/>
            <w:tcBorders>
              <w:left w:val="single" w:color="auto" w:sz="4" w:space="0"/>
            </w:tcBorders>
            <w:vAlign w:val="center"/>
          </w:tcPr>
          <w:p w14:paraId="78A8B6B6">
            <w:pPr>
              <w:ind w:left="-78" w:leftChars="-37" w:right="-73" w:rightChars="-35"/>
              <w:jc w:val="center"/>
              <w:rPr>
                <w:rFonts w:hint="default" w:ascii="宋体" w:hAnsi="宋体" w:eastAsia="宋体" w:cs="宋体"/>
                <w:szCs w:val="21"/>
                <w:lang w:val="en-US" w:eastAsia="zh-CN"/>
              </w:rPr>
            </w:pPr>
            <w:r>
              <w:rPr>
                <w:rFonts w:hint="eastAsia" w:ascii="宋体" w:hAnsi="宋体" w:cs="宋体"/>
                <w:szCs w:val="21"/>
                <w:lang w:val="en-US" w:eastAsia="zh-CN"/>
              </w:rPr>
              <w:t>15</w:t>
            </w:r>
          </w:p>
        </w:tc>
      </w:tr>
      <w:tr w14:paraId="2404D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544E1EC7">
            <w:pPr>
              <w:pStyle w:val="37"/>
              <w:numPr>
                <w:ilvl w:val="0"/>
                <w:numId w:val="1"/>
              </w:numPr>
              <w:ind w:firstLineChars="0"/>
              <w:jc w:val="right"/>
              <w:rPr>
                <w:rFonts w:ascii="宋体" w:hAnsi="宋体"/>
                <w:szCs w:val="21"/>
              </w:rPr>
            </w:pPr>
          </w:p>
        </w:tc>
        <w:tc>
          <w:tcPr>
            <w:tcW w:w="1355" w:type="dxa"/>
            <w:vAlign w:val="center"/>
          </w:tcPr>
          <w:p w14:paraId="04064E2B">
            <w:pPr>
              <w:jc w:val="center"/>
              <w:rPr>
                <w:rFonts w:ascii="宋体" w:hAnsi="宋体"/>
                <w:color w:val="FF0000"/>
                <w:szCs w:val="21"/>
              </w:rPr>
            </w:pPr>
            <w:r>
              <w:rPr>
                <w:rFonts w:hint="eastAsia" w:ascii="宋体" w:hAnsi="宋体"/>
                <w:color w:val="FF0000"/>
                <w:szCs w:val="21"/>
              </w:rPr>
              <w:t>技术</w:t>
            </w:r>
          </w:p>
          <w:p w14:paraId="03956268">
            <w:pPr>
              <w:jc w:val="center"/>
              <w:rPr>
                <w:rFonts w:ascii="宋体" w:hAnsi="宋体"/>
                <w:color w:val="FF0000"/>
                <w:szCs w:val="21"/>
              </w:rPr>
            </w:pPr>
            <w:r>
              <w:rPr>
                <w:rFonts w:hint="eastAsia" w:ascii="宋体" w:hAnsi="宋体"/>
                <w:color w:val="FF0000"/>
                <w:szCs w:val="21"/>
              </w:rPr>
              <w:t>保障措施</w:t>
            </w:r>
          </w:p>
        </w:tc>
        <w:tc>
          <w:tcPr>
            <w:tcW w:w="5635" w:type="dxa"/>
            <w:vAlign w:val="center"/>
          </w:tcPr>
          <w:p w14:paraId="71AF34B0">
            <w:pPr>
              <w:spacing w:line="360" w:lineRule="atLeast"/>
              <w:jc w:val="left"/>
              <w:rPr>
                <w:rFonts w:hint="eastAsia" w:ascii="宋体" w:hAnsi="宋体" w:cs="宋体"/>
                <w:sz w:val="22"/>
                <w:szCs w:val="22"/>
              </w:rPr>
            </w:pPr>
            <w:r>
              <w:rPr>
                <w:rFonts w:hint="eastAsia" w:ascii="宋体" w:hAnsi="宋体" w:cs="宋体"/>
                <w:sz w:val="22"/>
                <w:szCs w:val="22"/>
              </w:rPr>
              <w:t>评审内容：考察了技术保障措施是否含技术方案编制、交底、复核及创新，方案依据、交底频次等细节与可行性；包含以下内容：</w:t>
            </w:r>
          </w:p>
          <w:p w14:paraId="6985439D">
            <w:pPr>
              <w:spacing w:line="360" w:lineRule="atLeast"/>
              <w:jc w:val="left"/>
              <w:rPr>
                <w:rFonts w:hint="eastAsia" w:ascii="宋体" w:hAnsi="宋体" w:cs="宋体"/>
                <w:sz w:val="22"/>
                <w:szCs w:val="22"/>
              </w:rPr>
            </w:pPr>
            <w:r>
              <w:rPr>
                <w:rFonts w:hint="eastAsia" w:ascii="宋体" w:hAnsi="宋体" w:cs="宋体"/>
                <w:sz w:val="22"/>
                <w:szCs w:val="22"/>
              </w:rPr>
              <w:t>（1）技术方案编制</w:t>
            </w:r>
          </w:p>
          <w:p w14:paraId="387FCBA8">
            <w:pPr>
              <w:spacing w:line="360" w:lineRule="atLeast"/>
              <w:jc w:val="left"/>
              <w:rPr>
                <w:rFonts w:hint="eastAsia" w:ascii="宋体" w:hAnsi="宋体" w:cs="宋体"/>
                <w:sz w:val="22"/>
                <w:szCs w:val="22"/>
              </w:rPr>
            </w:pPr>
            <w:r>
              <w:rPr>
                <w:rFonts w:hint="eastAsia" w:ascii="宋体" w:hAnsi="宋体" w:cs="宋体"/>
                <w:sz w:val="22"/>
                <w:szCs w:val="22"/>
              </w:rPr>
              <w:t>（2）技术交底</w:t>
            </w:r>
          </w:p>
          <w:p w14:paraId="19B4BBE8">
            <w:pPr>
              <w:spacing w:line="360" w:lineRule="atLeast"/>
              <w:jc w:val="left"/>
              <w:rPr>
                <w:rFonts w:hint="eastAsia" w:ascii="宋体" w:hAnsi="宋体" w:cs="宋体"/>
                <w:sz w:val="22"/>
                <w:szCs w:val="22"/>
              </w:rPr>
            </w:pPr>
            <w:r>
              <w:rPr>
                <w:rFonts w:hint="eastAsia" w:ascii="宋体" w:hAnsi="宋体" w:cs="宋体"/>
                <w:sz w:val="22"/>
                <w:szCs w:val="22"/>
              </w:rPr>
              <w:t>（3）技术复核</w:t>
            </w:r>
          </w:p>
          <w:p w14:paraId="45997EE2">
            <w:pPr>
              <w:spacing w:line="360" w:lineRule="atLeast"/>
              <w:jc w:val="left"/>
              <w:rPr>
                <w:rFonts w:hint="eastAsia" w:ascii="宋体" w:hAnsi="宋体" w:cs="宋体"/>
                <w:sz w:val="22"/>
                <w:szCs w:val="22"/>
              </w:rPr>
            </w:pPr>
            <w:r>
              <w:rPr>
                <w:rFonts w:hint="eastAsia" w:ascii="宋体" w:hAnsi="宋体" w:cs="宋体"/>
                <w:sz w:val="22"/>
                <w:szCs w:val="22"/>
              </w:rPr>
              <w:t>（4）技术创新/优化</w:t>
            </w:r>
          </w:p>
          <w:p w14:paraId="2CA58882">
            <w:pPr>
              <w:spacing w:line="360" w:lineRule="atLeast"/>
              <w:jc w:val="left"/>
              <w:rPr>
                <w:rFonts w:hint="eastAsia" w:ascii="宋体" w:hAnsi="宋体" w:cs="宋体"/>
                <w:sz w:val="22"/>
                <w:szCs w:val="22"/>
              </w:rPr>
            </w:pPr>
            <w:r>
              <w:rPr>
                <w:rFonts w:hint="eastAsia" w:ascii="宋体" w:hAnsi="宋体" w:cs="宋体"/>
                <w:sz w:val="22"/>
                <w:szCs w:val="22"/>
              </w:rPr>
              <w:t>评分标准：</w:t>
            </w:r>
          </w:p>
          <w:p w14:paraId="6572A5FC">
            <w:pPr>
              <w:spacing w:line="360" w:lineRule="atLeast"/>
              <w:jc w:val="left"/>
              <w:rPr>
                <w:rFonts w:hint="eastAsia" w:ascii="宋体" w:hAnsi="宋体" w:cs="宋体"/>
                <w:sz w:val="22"/>
                <w:szCs w:val="22"/>
              </w:rPr>
            </w:pPr>
            <w:r>
              <w:rPr>
                <w:rFonts w:hint="eastAsia" w:ascii="宋体" w:hAnsi="宋体" w:cs="宋体"/>
                <w:sz w:val="22"/>
                <w:szCs w:val="22"/>
              </w:rPr>
              <w:t>完整包含四项核心内容，得4分；包含任意三项核心内容，得3分；包含任意两项核心内容，得2分；仅包含任意一项核心内容，得1分；未提及任何核心内容，不得分。</w:t>
            </w:r>
          </w:p>
          <w:p w14:paraId="7A56AEAD">
            <w:pPr>
              <w:spacing w:line="360" w:lineRule="atLeast"/>
              <w:jc w:val="left"/>
              <w:rPr>
                <w:rFonts w:hint="eastAsia" w:ascii="宋体" w:hAnsi="宋体" w:cs="宋体"/>
                <w:sz w:val="22"/>
                <w:szCs w:val="22"/>
              </w:rPr>
            </w:pPr>
            <w:r>
              <w:rPr>
                <w:rFonts w:hint="eastAsia" w:ascii="宋体" w:hAnsi="宋体" w:cs="宋体"/>
                <w:sz w:val="22"/>
                <w:szCs w:val="22"/>
              </w:rPr>
              <w:t>在此基础上，根据方案响应情况进一步评审：</w:t>
            </w:r>
          </w:p>
          <w:p w14:paraId="6A7825E5">
            <w:pPr>
              <w:spacing w:line="360" w:lineRule="atLeast"/>
              <w:jc w:val="left"/>
              <w:rPr>
                <w:rFonts w:hint="eastAsia" w:ascii="宋体" w:hAnsi="宋体" w:cs="宋体"/>
                <w:sz w:val="22"/>
                <w:szCs w:val="22"/>
              </w:rPr>
            </w:pPr>
            <w:r>
              <w:rPr>
                <w:rFonts w:hint="eastAsia" w:ascii="宋体" w:hAnsi="宋体" w:cs="宋体"/>
                <w:sz w:val="22"/>
                <w:szCs w:val="22"/>
              </w:rPr>
              <w:t>（1）方案内容全面、具体，可行性高，加</w:t>
            </w:r>
            <w:r>
              <w:rPr>
                <w:rFonts w:hint="eastAsia" w:ascii="宋体" w:hAnsi="宋体" w:cs="宋体"/>
                <w:sz w:val="22"/>
                <w:szCs w:val="22"/>
                <w:lang w:val="en-US" w:eastAsia="zh-CN"/>
              </w:rPr>
              <w:t>6</w:t>
            </w:r>
            <w:r>
              <w:rPr>
                <w:rFonts w:hint="eastAsia" w:ascii="宋体" w:hAnsi="宋体" w:cs="宋体"/>
                <w:sz w:val="22"/>
                <w:szCs w:val="22"/>
              </w:rPr>
              <w:t>分；</w:t>
            </w:r>
          </w:p>
          <w:p w14:paraId="1E52B68F">
            <w:pPr>
              <w:spacing w:line="360" w:lineRule="atLeast"/>
              <w:jc w:val="left"/>
              <w:rPr>
                <w:rFonts w:hint="eastAsia" w:ascii="宋体" w:hAnsi="宋体" w:cs="宋体"/>
                <w:sz w:val="22"/>
                <w:szCs w:val="22"/>
              </w:rPr>
            </w:pPr>
            <w:r>
              <w:rPr>
                <w:rFonts w:hint="eastAsia" w:ascii="宋体" w:hAnsi="宋体" w:cs="宋体"/>
                <w:sz w:val="22"/>
                <w:szCs w:val="22"/>
              </w:rPr>
              <w:t>（2）方案内容较全面，可行性较高，加</w:t>
            </w:r>
            <w:r>
              <w:rPr>
                <w:rFonts w:hint="eastAsia" w:ascii="宋体" w:hAnsi="宋体" w:cs="宋体"/>
                <w:sz w:val="22"/>
                <w:szCs w:val="22"/>
                <w:lang w:val="en-US" w:eastAsia="zh-CN"/>
              </w:rPr>
              <w:t>3</w:t>
            </w:r>
            <w:r>
              <w:rPr>
                <w:rFonts w:hint="eastAsia" w:ascii="宋体" w:hAnsi="宋体" w:cs="宋体"/>
                <w:sz w:val="22"/>
                <w:szCs w:val="22"/>
              </w:rPr>
              <w:t>分；</w:t>
            </w:r>
          </w:p>
          <w:p w14:paraId="663242CB">
            <w:pPr>
              <w:spacing w:line="360" w:lineRule="atLeast"/>
              <w:jc w:val="left"/>
              <w:rPr>
                <w:rFonts w:hint="eastAsia" w:ascii="宋体" w:hAnsi="宋体" w:cs="宋体"/>
                <w:sz w:val="22"/>
                <w:szCs w:val="22"/>
              </w:rPr>
            </w:pPr>
            <w:r>
              <w:rPr>
                <w:rFonts w:hint="eastAsia" w:ascii="宋体" w:hAnsi="宋体" w:cs="宋体"/>
                <w:sz w:val="22"/>
                <w:szCs w:val="22"/>
              </w:rPr>
              <w:t>（3）方案全面性、可行性一般，加1分；</w:t>
            </w:r>
          </w:p>
          <w:p w14:paraId="14FCB27E">
            <w:pPr>
              <w:ind w:left="-78" w:leftChars="-37" w:right="-73" w:rightChars="-35"/>
              <w:jc w:val="left"/>
              <w:rPr>
                <w:rFonts w:ascii="宋体" w:hAnsi="宋体" w:cs="宋体"/>
                <w:szCs w:val="21"/>
              </w:rPr>
            </w:pPr>
            <w:r>
              <w:rPr>
                <w:rFonts w:hint="eastAsia" w:ascii="宋体" w:hAnsi="宋体" w:cs="宋体"/>
                <w:sz w:val="22"/>
                <w:szCs w:val="22"/>
              </w:rPr>
              <w:t>（4）方案不全，可行性低，不加分。</w:t>
            </w:r>
          </w:p>
        </w:tc>
        <w:tc>
          <w:tcPr>
            <w:tcW w:w="697" w:type="dxa"/>
            <w:tcBorders>
              <w:left w:val="single" w:color="auto" w:sz="4" w:space="0"/>
            </w:tcBorders>
            <w:vAlign w:val="center"/>
          </w:tcPr>
          <w:p w14:paraId="38D42C5C">
            <w:pPr>
              <w:ind w:left="-78" w:leftChars="-37" w:right="-73" w:rightChars="-35"/>
              <w:jc w:val="center"/>
              <w:rPr>
                <w:rFonts w:ascii="宋体" w:hAnsi="宋体" w:cs="宋体"/>
                <w:szCs w:val="21"/>
              </w:rPr>
            </w:pPr>
            <w:r>
              <w:rPr>
                <w:rFonts w:hint="eastAsia" w:ascii="宋体" w:hAnsi="宋体" w:cs="宋体"/>
                <w:szCs w:val="21"/>
                <w:lang w:val="en-US" w:eastAsia="zh-CN"/>
              </w:rPr>
              <w:t>10</w:t>
            </w:r>
          </w:p>
        </w:tc>
      </w:tr>
      <w:tr w14:paraId="08476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4A2963D">
            <w:pPr>
              <w:pStyle w:val="37"/>
              <w:numPr>
                <w:ilvl w:val="0"/>
                <w:numId w:val="1"/>
              </w:numPr>
              <w:ind w:firstLineChars="0"/>
              <w:jc w:val="right"/>
              <w:rPr>
                <w:rFonts w:ascii="宋体" w:hAnsi="宋体"/>
                <w:szCs w:val="21"/>
              </w:rPr>
            </w:pPr>
          </w:p>
        </w:tc>
        <w:tc>
          <w:tcPr>
            <w:tcW w:w="1355" w:type="dxa"/>
            <w:vAlign w:val="center"/>
          </w:tcPr>
          <w:p w14:paraId="29D43140">
            <w:pPr>
              <w:jc w:val="center"/>
              <w:rPr>
                <w:rFonts w:ascii="宋体" w:hAnsi="宋体"/>
                <w:color w:val="FF0000"/>
                <w:szCs w:val="21"/>
              </w:rPr>
            </w:pPr>
            <w:r>
              <w:rPr>
                <w:rFonts w:hint="eastAsia" w:ascii="宋体" w:hAnsi="宋体"/>
                <w:color w:val="FF0000"/>
                <w:szCs w:val="21"/>
              </w:rPr>
              <w:t>安全</w:t>
            </w:r>
          </w:p>
          <w:p w14:paraId="4211E0CE">
            <w:pPr>
              <w:jc w:val="center"/>
              <w:rPr>
                <w:rFonts w:ascii="宋体" w:hAnsi="宋体"/>
                <w:color w:val="FF0000"/>
                <w:szCs w:val="21"/>
              </w:rPr>
            </w:pPr>
            <w:r>
              <w:rPr>
                <w:rFonts w:hint="eastAsia" w:ascii="宋体" w:hAnsi="宋体"/>
                <w:color w:val="FF0000"/>
                <w:szCs w:val="21"/>
              </w:rPr>
              <w:t>保障措施</w:t>
            </w:r>
          </w:p>
        </w:tc>
        <w:tc>
          <w:tcPr>
            <w:tcW w:w="5635" w:type="dxa"/>
            <w:vAlign w:val="center"/>
          </w:tcPr>
          <w:p w14:paraId="71499FAE">
            <w:pPr>
              <w:spacing w:line="360" w:lineRule="atLeast"/>
              <w:jc w:val="left"/>
              <w:rPr>
                <w:rFonts w:hint="eastAsia" w:ascii="宋体" w:hAnsi="宋体" w:cs="宋体"/>
                <w:sz w:val="22"/>
                <w:szCs w:val="22"/>
              </w:rPr>
            </w:pPr>
            <w:r>
              <w:rPr>
                <w:rFonts w:hint="eastAsia" w:ascii="宋体" w:hAnsi="宋体" w:cs="宋体"/>
                <w:sz w:val="22"/>
                <w:szCs w:val="22"/>
              </w:rPr>
              <w:t>评审内容：考察了投标人提供内容是否含安全制度、培训、防护及应急管理，制度条款、培训内容等细节与可行性，包含以下内容：</w:t>
            </w:r>
          </w:p>
          <w:p w14:paraId="307FCE3F">
            <w:pPr>
              <w:spacing w:line="360" w:lineRule="atLeast"/>
              <w:jc w:val="left"/>
              <w:rPr>
                <w:rFonts w:hint="eastAsia" w:ascii="宋体" w:hAnsi="宋体" w:cs="宋体"/>
                <w:sz w:val="22"/>
                <w:szCs w:val="22"/>
              </w:rPr>
            </w:pPr>
            <w:r>
              <w:rPr>
                <w:rFonts w:hint="eastAsia" w:ascii="宋体" w:hAnsi="宋体" w:cs="宋体"/>
                <w:sz w:val="22"/>
                <w:szCs w:val="22"/>
              </w:rPr>
              <w:t>（1）安全制度建立</w:t>
            </w:r>
          </w:p>
          <w:p w14:paraId="3218206D">
            <w:pPr>
              <w:spacing w:line="360" w:lineRule="atLeast"/>
              <w:jc w:val="left"/>
              <w:rPr>
                <w:rFonts w:hint="eastAsia" w:ascii="宋体" w:hAnsi="宋体" w:cs="宋体"/>
                <w:sz w:val="22"/>
                <w:szCs w:val="22"/>
              </w:rPr>
            </w:pPr>
            <w:r>
              <w:rPr>
                <w:rFonts w:hint="eastAsia" w:ascii="宋体" w:hAnsi="宋体" w:cs="宋体"/>
                <w:sz w:val="22"/>
                <w:szCs w:val="22"/>
              </w:rPr>
              <w:t>（2）安全培训</w:t>
            </w:r>
          </w:p>
          <w:p w14:paraId="62A0D1C2">
            <w:pPr>
              <w:spacing w:line="360" w:lineRule="atLeast"/>
              <w:jc w:val="left"/>
              <w:rPr>
                <w:rFonts w:hint="eastAsia" w:ascii="宋体" w:hAnsi="宋体" w:cs="宋体"/>
                <w:sz w:val="22"/>
                <w:szCs w:val="22"/>
              </w:rPr>
            </w:pPr>
            <w:r>
              <w:rPr>
                <w:rFonts w:hint="eastAsia" w:ascii="宋体" w:hAnsi="宋体" w:cs="宋体"/>
                <w:sz w:val="22"/>
                <w:szCs w:val="22"/>
              </w:rPr>
              <w:t>（3）现场安全防护</w:t>
            </w:r>
          </w:p>
          <w:p w14:paraId="4E9BE95A">
            <w:pPr>
              <w:spacing w:line="360" w:lineRule="atLeast"/>
              <w:jc w:val="left"/>
              <w:rPr>
                <w:rFonts w:hint="eastAsia" w:ascii="宋体" w:hAnsi="宋体" w:cs="宋体"/>
                <w:sz w:val="22"/>
                <w:szCs w:val="22"/>
              </w:rPr>
            </w:pPr>
            <w:r>
              <w:rPr>
                <w:rFonts w:hint="eastAsia" w:ascii="宋体" w:hAnsi="宋体" w:cs="宋体"/>
                <w:sz w:val="22"/>
                <w:szCs w:val="22"/>
              </w:rPr>
              <w:t>（4）应急管理</w:t>
            </w:r>
          </w:p>
          <w:p w14:paraId="4E53EE6C">
            <w:pPr>
              <w:spacing w:line="360" w:lineRule="atLeast"/>
              <w:jc w:val="left"/>
              <w:rPr>
                <w:rFonts w:hint="eastAsia" w:ascii="宋体" w:hAnsi="宋体" w:cs="宋体"/>
                <w:sz w:val="22"/>
                <w:szCs w:val="22"/>
              </w:rPr>
            </w:pPr>
            <w:r>
              <w:rPr>
                <w:rFonts w:hint="eastAsia" w:ascii="宋体" w:hAnsi="宋体" w:cs="宋体"/>
                <w:sz w:val="22"/>
                <w:szCs w:val="22"/>
              </w:rPr>
              <w:t>评分标准：</w:t>
            </w:r>
          </w:p>
          <w:p w14:paraId="04EE7F14">
            <w:pPr>
              <w:spacing w:line="360" w:lineRule="atLeast"/>
              <w:jc w:val="left"/>
              <w:rPr>
                <w:rFonts w:hint="eastAsia" w:ascii="宋体" w:hAnsi="宋体" w:cs="宋体"/>
                <w:sz w:val="22"/>
                <w:szCs w:val="22"/>
              </w:rPr>
            </w:pPr>
            <w:r>
              <w:rPr>
                <w:rFonts w:hint="eastAsia" w:ascii="宋体" w:hAnsi="宋体" w:cs="宋体"/>
                <w:sz w:val="22"/>
                <w:szCs w:val="22"/>
              </w:rPr>
              <w:t>完整包含四项核心内容，得4分；包含任意三项核心内容，得3分；包含任意两项核心内容，得2分；仅包含任意一项核心内容，得1分；未提及任何核心内容，不得分。</w:t>
            </w:r>
          </w:p>
          <w:p w14:paraId="4C8DCD93">
            <w:pPr>
              <w:spacing w:line="360" w:lineRule="atLeast"/>
              <w:jc w:val="left"/>
              <w:rPr>
                <w:rFonts w:hint="eastAsia" w:ascii="宋体" w:hAnsi="宋体" w:cs="宋体"/>
                <w:sz w:val="22"/>
                <w:szCs w:val="22"/>
              </w:rPr>
            </w:pPr>
            <w:r>
              <w:rPr>
                <w:rFonts w:hint="eastAsia" w:ascii="宋体" w:hAnsi="宋体" w:cs="宋体"/>
                <w:sz w:val="22"/>
                <w:szCs w:val="22"/>
              </w:rPr>
              <w:t>在此基础上，根据方案响应情况进一步评审：</w:t>
            </w:r>
          </w:p>
          <w:p w14:paraId="771459CA">
            <w:pPr>
              <w:spacing w:line="360" w:lineRule="atLeast"/>
              <w:jc w:val="left"/>
              <w:rPr>
                <w:rFonts w:hint="eastAsia" w:ascii="宋体" w:hAnsi="宋体" w:cs="宋体"/>
                <w:sz w:val="22"/>
                <w:szCs w:val="22"/>
              </w:rPr>
            </w:pPr>
            <w:r>
              <w:rPr>
                <w:rFonts w:hint="eastAsia" w:ascii="宋体" w:hAnsi="宋体" w:cs="宋体"/>
                <w:sz w:val="22"/>
                <w:szCs w:val="22"/>
              </w:rPr>
              <w:t>（1）方案内容全面、具体，可行性高，加</w:t>
            </w:r>
            <w:r>
              <w:rPr>
                <w:rFonts w:hint="eastAsia" w:ascii="宋体" w:hAnsi="宋体" w:cs="宋体"/>
                <w:sz w:val="22"/>
                <w:szCs w:val="22"/>
                <w:lang w:val="en-US" w:eastAsia="zh-CN"/>
              </w:rPr>
              <w:t>6</w:t>
            </w:r>
            <w:r>
              <w:rPr>
                <w:rFonts w:hint="eastAsia" w:ascii="宋体" w:hAnsi="宋体" w:cs="宋体"/>
                <w:sz w:val="22"/>
                <w:szCs w:val="22"/>
              </w:rPr>
              <w:t>分；</w:t>
            </w:r>
          </w:p>
          <w:p w14:paraId="62C58EF8">
            <w:pPr>
              <w:spacing w:line="360" w:lineRule="atLeast"/>
              <w:jc w:val="left"/>
              <w:rPr>
                <w:rFonts w:hint="eastAsia" w:ascii="宋体" w:hAnsi="宋体" w:cs="宋体"/>
                <w:sz w:val="22"/>
                <w:szCs w:val="22"/>
              </w:rPr>
            </w:pPr>
            <w:r>
              <w:rPr>
                <w:rFonts w:hint="eastAsia" w:ascii="宋体" w:hAnsi="宋体" w:cs="宋体"/>
                <w:sz w:val="22"/>
                <w:szCs w:val="22"/>
              </w:rPr>
              <w:t>（2）方案内容较全面，可行性较高，加</w:t>
            </w:r>
            <w:r>
              <w:rPr>
                <w:rFonts w:hint="eastAsia" w:ascii="宋体" w:hAnsi="宋体" w:cs="宋体"/>
                <w:sz w:val="22"/>
                <w:szCs w:val="22"/>
                <w:lang w:val="en-US" w:eastAsia="zh-CN"/>
              </w:rPr>
              <w:t>3</w:t>
            </w:r>
            <w:r>
              <w:rPr>
                <w:rFonts w:hint="eastAsia" w:ascii="宋体" w:hAnsi="宋体" w:cs="宋体"/>
                <w:sz w:val="22"/>
                <w:szCs w:val="22"/>
              </w:rPr>
              <w:t>分；</w:t>
            </w:r>
          </w:p>
          <w:p w14:paraId="500AB235">
            <w:pPr>
              <w:spacing w:line="360" w:lineRule="atLeast"/>
              <w:jc w:val="left"/>
              <w:rPr>
                <w:rFonts w:hint="eastAsia" w:ascii="宋体" w:hAnsi="宋体" w:cs="宋体"/>
                <w:sz w:val="22"/>
                <w:szCs w:val="22"/>
              </w:rPr>
            </w:pPr>
            <w:r>
              <w:rPr>
                <w:rFonts w:hint="eastAsia" w:ascii="宋体" w:hAnsi="宋体" w:cs="宋体"/>
                <w:sz w:val="22"/>
                <w:szCs w:val="22"/>
              </w:rPr>
              <w:t>（3）方案全面性、可行性一般，加1分；</w:t>
            </w:r>
          </w:p>
          <w:p w14:paraId="311ABA6E">
            <w:pPr>
              <w:ind w:left="-78" w:leftChars="-37" w:right="-73" w:rightChars="-35"/>
              <w:jc w:val="left"/>
              <w:rPr>
                <w:rFonts w:ascii="宋体" w:hAnsi="宋体" w:cs="宋体"/>
                <w:szCs w:val="21"/>
              </w:rPr>
            </w:pPr>
            <w:r>
              <w:rPr>
                <w:rFonts w:hint="eastAsia" w:ascii="宋体" w:hAnsi="宋体" w:cs="宋体"/>
                <w:sz w:val="22"/>
                <w:szCs w:val="22"/>
              </w:rPr>
              <w:t>（4）方案不全，可行性低，不加分。</w:t>
            </w:r>
          </w:p>
        </w:tc>
        <w:tc>
          <w:tcPr>
            <w:tcW w:w="697" w:type="dxa"/>
            <w:tcBorders>
              <w:left w:val="single" w:color="auto" w:sz="4" w:space="0"/>
            </w:tcBorders>
            <w:vAlign w:val="center"/>
          </w:tcPr>
          <w:p w14:paraId="32FD7111">
            <w:pPr>
              <w:ind w:left="-78" w:leftChars="-37" w:right="-73" w:rightChars="-35"/>
              <w:jc w:val="center"/>
              <w:rPr>
                <w:rFonts w:ascii="宋体" w:hAnsi="宋体" w:cs="宋体"/>
                <w:szCs w:val="21"/>
              </w:rPr>
            </w:pPr>
            <w:r>
              <w:rPr>
                <w:rFonts w:hint="eastAsia" w:ascii="宋体" w:hAnsi="宋体" w:cs="宋体"/>
                <w:szCs w:val="21"/>
                <w:lang w:val="en-US" w:eastAsia="zh-CN"/>
              </w:rPr>
              <w:t>10</w:t>
            </w:r>
          </w:p>
        </w:tc>
      </w:tr>
      <w:tr w14:paraId="0C29E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57E691AF">
            <w:pPr>
              <w:pStyle w:val="37"/>
              <w:numPr>
                <w:ilvl w:val="0"/>
                <w:numId w:val="1"/>
              </w:numPr>
              <w:ind w:firstLineChars="0"/>
              <w:jc w:val="right"/>
              <w:rPr>
                <w:rFonts w:ascii="宋体" w:hAnsi="宋体"/>
                <w:szCs w:val="21"/>
              </w:rPr>
            </w:pPr>
          </w:p>
        </w:tc>
        <w:tc>
          <w:tcPr>
            <w:tcW w:w="1355" w:type="dxa"/>
            <w:vAlign w:val="center"/>
          </w:tcPr>
          <w:p w14:paraId="756A2C57">
            <w:pPr>
              <w:jc w:val="center"/>
              <w:rPr>
                <w:rFonts w:ascii="宋体" w:hAnsi="宋体"/>
                <w:color w:val="FF0000"/>
                <w:szCs w:val="21"/>
              </w:rPr>
            </w:pPr>
            <w:r>
              <w:rPr>
                <w:rFonts w:hint="eastAsia" w:ascii="宋体" w:hAnsi="宋体" w:cs="宋体"/>
                <w:color w:val="FF0000"/>
              </w:rPr>
              <w:t>项目实施的重点、难点分析和解决方案</w:t>
            </w:r>
          </w:p>
        </w:tc>
        <w:tc>
          <w:tcPr>
            <w:tcW w:w="5635" w:type="dxa"/>
            <w:vAlign w:val="center"/>
          </w:tcPr>
          <w:p w14:paraId="7B1D5A82">
            <w:pPr>
              <w:autoSpaceDE w:val="0"/>
              <w:autoSpaceDN w:val="0"/>
              <w:adjustRightInd w:val="0"/>
              <w:spacing w:line="360" w:lineRule="exact"/>
              <w:rPr>
                <w:rFonts w:ascii="宋体" w:hAnsi="宋体"/>
                <w:kern w:val="0"/>
                <w:szCs w:val="21"/>
              </w:rPr>
            </w:pPr>
            <w:r>
              <w:rPr>
                <w:rFonts w:hint="eastAsia" w:ascii="宋体" w:hAnsi="宋体"/>
                <w:snapToGrid w:val="0"/>
                <w:kern w:val="0"/>
                <w:szCs w:val="21"/>
              </w:rPr>
              <w:t>评审内容：考察投标人提供的</w:t>
            </w:r>
            <w:r>
              <w:rPr>
                <w:rFonts w:hint="eastAsia" w:ascii="宋体" w:hAnsi="宋体"/>
                <w:szCs w:val="21"/>
              </w:rPr>
              <w:t>重难点分析和解决方案</w:t>
            </w:r>
            <w:r>
              <w:rPr>
                <w:rFonts w:hint="eastAsia" w:ascii="宋体" w:hAnsi="宋体"/>
                <w:kern w:val="0"/>
                <w:szCs w:val="21"/>
              </w:rPr>
              <w:t>，包含以下内容：</w:t>
            </w:r>
          </w:p>
          <w:p w14:paraId="302638E5">
            <w:pPr>
              <w:autoSpaceDE w:val="0"/>
              <w:autoSpaceDN w:val="0"/>
              <w:adjustRightInd w:val="0"/>
              <w:spacing w:line="360" w:lineRule="exact"/>
              <w:rPr>
                <w:rFonts w:ascii="宋体" w:hAnsi="宋体"/>
                <w:kern w:val="0"/>
                <w:szCs w:val="21"/>
              </w:rPr>
            </w:pPr>
            <w:r>
              <w:rPr>
                <w:rFonts w:hint="eastAsia" w:ascii="宋体" w:hAnsi="宋体"/>
                <w:szCs w:val="21"/>
              </w:rPr>
              <w:t>（1）</w:t>
            </w:r>
            <w:r>
              <w:rPr>
                <w:rStyle w:val="46"/>
                <w:rFonts w:hint="eastAsia" w:ascii="宋体" w:hAnsi="宋体"/>
                <w:bCs/>
              </w:rPr>
              <w:t>项目关键施工技术重点、难点分析</w:t>
            </w:r>
            <w:r>
              <w:rPr>
                <w:rFonts w:hint="eastAsia" w:ascii="宋体" w:hAnsi="宋体"/>
                <w:kern w:val="0"/>
                <w:szCs w:val="21"/>
              </w:rPr>
              <w:t>；</w:t>
            </w:r>
          </w:p>
          <w:p w14:paraId="456172D9">
            <w:pPr>
              <w:autoSpaceDE w:val="0"/>
              <w:autoSpaceDN w:val="0"/>
              <w:adjustRightInd w:val="0"/>
              <w:spacing w:line="360" w:lineRule="exact"/>
              <w:rPr>
                <w:rFonts w:ascii="宋体" w:hAnsi="宋体"/>
                <w:kern w:val="0"/>
                <w:szCs w:val="21"/>
              </w:rPr>
            </w:pPr>
            <w:r>
              <w:rPr>
                <w:rFonts w:hint="eastAsia" w:ascii="宋体" w:hAnsi="宋体"/>
                <w:szCs w:val="21"/>
              </w:rPr>
              <w:t>（2）</w:t>
            </w:r>
            <w:r>
              <w:rPr>
                <w:rStyle w:val="46"/>
                <w:rFonts w:hint="eastAsia" w:ascii="宋体" w:hAnsi="宋体"/>
                <w:bCs/>
              </w:rPr>
              <w:t>重点、难点解决方案</w:t>
            </w:r>
            <w:r>
              <w:rPr>
                <w:rFonts w:hint="eastAsia" w:ascii="宋体" w:hAnsi="宋体"/>
                <w:kern w:val="0"/>
                <w:szCs w:val="21"/>
              </w:rPr>
              <w:t>；</w:t>
            </w:r>
          </w:p>
          <w:p w14:paraId="467FB783">
            <w:pPr>
              <w:autoSpaceDE w:val="0"/>
              <w:autoSpaceDN w:val="0"/>
              <w:adjustRightInd w:val="0"/>
              <w:spacing w:line="360" w:lineRule="exact"/>
              <w:rPr>
                <w:rFonts w:ascii="宋体" w:hAnsi="宋体"/>
                <w:kern w:val="0"/>
                <w:szCs w:val="21"/>
              </w:rPr>
            </w:pPr>
            <w:r>
              <w:rPr>
                <w:rFonts w:hint="eastAsia" w:ascii="宋体" w:hAnsi="宋体"/>
                <w:szCs w:val="21"/>
              </w:rPr>
              <w:t>（3）相关合理化建议</w:t>
            </w:r>
            <w:r>
              <w:rPr>
                <w:rFonts w:hint="eastAsia" w:ascii="宋体" w:hAnsi="宋体"/>
                <w:kern w:val="0"/>
                <w:szCs w:val="21"/>
              </w:rPr>
              <w:t>。</w:t>
            </w:r>
          </w:p>
          <w:p w14:paraId="2CAFFDC6">
            <w:pPr>
              <w:adjustRightInd w:val="0"/>
              <w:snapToGrid w:val="0"/>
              <w:spacing w:line="360" w:lineRule="exact"/>
              <w:rPr>
                <w:rFonts w:ascii="宋体" w:hAnsi="宋体"/>
                <w:snapToGrid w:val="0"/>
                <w:kern w:val="0"/>
                <w:szCs w:val="21"/>
              </w:rPr>
            </w:pPr>
            <w:r>
              <w:rPr>
                <w:rFonts w:hint="eastAsia" w:ascii="宋体" w:hAnsi="宋体"/>
                <w:snapToGrid w:val="0"/>
                <w:kern w:val="0"/>
                <w:szCs w:val="21"/>
              </w:rPr>
              <w:t>评分标准：</w:t>
            </w:r>
          </w:p>
          <w:p w14:paraId="76A75EF5">
            <w:pPr>
              <w:spacing w:line="360" w:lineRule="exact"/>
              <w:rPr>
                <w:rFonts w:ascii="宋体" w:hAnsi="宋体"/>
                <w:szCs w:val="21"/>
              </w:rPr>
            </w:pPr>
            <w:r>
              <w:rPr>
                <w:rFonts w:hint="eastAsia" w:ascii="宋体" w:hAnsi="宋体"/>
                <w:szCs w:val="21"/>
              </w:rPr>
              <w:t>方案包含以上三项内容得</w:t>
            </w:r>
            <w:r>
              <w:rPr>
                <w:rFonts w:hint="eastAsia" w:ascii="宋体" w:hAnsi="宋体"/>
                <w:szCs w:val="21"/>
                <w:lang w:val="en-US" w:eastAsia="zh-CN"/>
              </w:rPr>
              <w:t>6</w:t>
            </w:r>
            <w:r>
              <w:rPr>
                <w:rFonts w:hint="eastAsia" w:ascii="宋体" w:hAnsi="宋体"/>
                <w:szCs w:val="21"/>
              </w:rPr>
              <w:t>分；包含以上二项内容得</w:t>
            </w:r>
            <w:r>
              <w:rPr>
                <w:rFonts w:hint="eastAsia" w:ascii="宋体" w:hAnsi="宋体"/>
                <w:szCs w:val="21"/>
                <w:lang w:val="en-US" w:eastAsia="zh-CN"/>
              </w:rPr>
              <w:t>3</w:t>
            </w:r>
            <w:r>
              <w:rPr>
                <w:rFonts w:hint="eastAsia" w:ascii="宋体" w:hAnsi="宋体"/>
                <w:szCs w:val="21"/>
              </w:rPr>
              <w:t>分；包含以上一项内容得1分；其他情况不得分。</w:t>
            </w:r>
          </w:p>
          <w:p w14:paraId="0DF2C888">
            <w:pPr>
              <w:spacing w:line="360" w:lineRule="exact"/>
              <w:rPr>
                <w:rFonts w:ascii="宋体" w:hAnsi="宋体"/>
                <w:szCs w:val="21"/>
              </w:rPr>
            </w:pPr>
            <w:r>
              <w:rPr>
                <w:rFonts w:hint="eastAsia" w:ascii="宋体" w:hAnsi="宋体"/>
                <w:szCs w:val="21"/>
              </w:rPr>
              <w:t>在此基础上，根据方案响应情况进一步评审：</w:t>
            </w:r>
          </w:p>
          <w:p w14:paraId="3603AFB2">
            <w:pPr>
              <w:spacing w:line="360" w:lineRule="exact"/>
              <w:rPr>
                <w:rFonts w:ascii="宋体" w:hAnsi="宋体"/>
                <w:szCs w:val="21"/>
              </w:rPr>
            </w:pPr>
            <w:r>
              <w:rPr>
                <w:rFonts w:hint="eastAsia" w:ascii="宋体" w:hAnsi="宋体"/>
                <w:szCs w:val="21"/>
              </w:rPr>
              <w:t>（1）方案内容全面、具体，可行性高，加</w:t>
            </w:r>
            <w:r>
              <w:rPr>
                <w:rFonts w:hint="eastAsia" w:ascii="宋体" w:hAnsi="宋体"/>
                <w:szCs w:val="21"/>
                <w:lang w:val="en-US" w:eastAsia="zh-CN"/>
              </w:rPr>
              <w:t>9</w:t>
            </w:r>
            <w:r>
              <w:rPr>
                <w:rFonts w:hint="eastAsia" w:ascii="宋体" w:hAnsi="宋体"/>
                <w:szCs w:val="21"/>
              </w:rPr>
              <w:t>分；</w:t>
            </w:r>
          </w:p>
          <w:p w14:paraId="46781289">
            <w:pPr>
              <w:spacing w:line="360" w:lineRule="exact"/>
              <w:rPr>
                <w:rFonts w:ascii="宋体" w:hAnsi="宋体"/>
                <w:szCs w:val="21"/>
              </w:rPr>
            </w:pPr>
            <w:r>
              <w:rPr>
                <w:rFonts w:hint="eastAsia" w:ascii="宋体" w:hAnsi="宋体"/>
                <w:szCs w:val="21"/>
              </w:rPr>
              <w:t>（2）方案内容较全面，可行性较高，加</w:t>
            </w:r>
            <w:r>
              <w:rPr>
                <w:rFonts w:hint="eastAsia" w:ascii="宋体" w:hAnsi="宋体"/>
                <w:szCs w:val="21"/>
                <w:lang w:val="en-US" w:eastAsia="zh-CN"/>
              </w:rPr>
              <w:t>6</w:t>
            </w:r>
            <w:r>
              <w:rPr>
                <w:rFonts w:hint="eastAsia" w:ascii="宋体" w:hAnsi="宋体"/>
                <w:szCs w:val="21"/>
              </w:rPr>
              <w:t>分；</w:t>
            </w:r>
          </w:p>
          <w:p w14:paraId="076BE791">
            <w:pPr>
              <w:spacing w:line="360" w:lineRule="exact"/>
              <w:rPr>
                <w:rFonts w:ascii="宋体" w:hAnsi="宋体"/>
                <w:szCs w:val="21"/>
              </w:rPr>
            </w:pPr>
            <w:r>
              <w:rPr>
                <w:rFonts w:hint="eastAsia" w:ascii="宋体" w:hAnsi="宋体"/>
                <w:szCs w:val="21"/>
              </w:rPr>
              <w:t>（3）方案全面性、可行性一般，加</w:t>
            </w:r>
            <w:r>
              <w:rPr>
                <w:rFonts w:hint="eastAsia" w:ascii="宋体" w:hAnsi="宋体"/>
                <w:szCs w:val="21"/>
                <w:lang w:val="en-US" w:eastAsia="zh-CN"/>
              </w:rPr>
              <w:t>3</w:t>
            </w:r>
            <w:r>
              <w:rPr>
                <w:rFonts w:hint="eastAsia" w:ascii="宋体" w:hAnsi="宋体"/>
                <w:szCs w:val="21"/>
              </w:rPr>
              <w:t>分；</w:t>
            </w:r>
          </w:p>
          <w:p w14:paraId="4F19C1BA">
            <w:pPr>
              <w:ind w:left="-78" w:leftChars="-37" w:right="-73" w:rightChars="-35"/>
              <w:jc w:val="left"/>
              <w:rPr>
                <w:rFonts w:ascii="宋体" w:hAnsi="宋体" w:cs="宋体"/>
                <w:szCs w:val="21"/>
              </w:rPr>
            </w:pPr>
            <w:r>
              <w:rPr>
                <w:rFonts w:hint="eastAsia" w:ascii="宋体" w:hAnsi="宋体"/>
                <w:szCs w:val="21"/>
              </w:rPr>
              <w:t>（4）方案不全，可行性低，不加分。</w:t>
            </w:r>
          </w:p>
        </w:tc>
        <w:tc>
          <w:tcPr>
            <w:tcW w:w="697" w:type="dxa"/>
            <w:tcBorders>
              <w:left w:val="single" w:color="auto" w:sz="4" w:space="0"/>
            </w:tcBorders>
            <w:vAlign w:val="center"/>
          </w:tcPr>
          <w:p w14:paraId="4A8DDC67">
            <w:pPr>
              <w:ind w:left="-78" w:leftChars="-37" w:right="-73" w:rightChars="-35"/>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p>
        </w:tc>
      </w:tr>
      <w:tr w14:paraId="222FA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7687" w:type="dxa"/>
          <w:trHeight w:val="387" w:hRule="atLeast"/>
        </w:trPr>
        <w:tc>
          <w:tcPr>
            <w:tcW w:w="680" w:type="dxa"/>
            <w:tcBorders>
              <w:top w:val="single" w:color="auto" w:sz="4" w:space="0"/>
            </w:tcBorders>
            <w:vAlign w:val="center"/>
          </w:tcPr>
          <w:p w14:paraId="6CB5A7B0">
            <w:pPr>
              <w:ind w:left="-78" w:leftChars="-37" w:right="-73" w:rightChars="-35"/>
              <w:jc w:val="center"/>
              <w:rPr>
                <w:rFonts w:ascii="宋体" w:hAnsi="宋体" w:cs="宋体"/>
                <w:b/>
                <w:szCs w:val="21"/>
              </w:rPr>
            </w:pPr>
            <w:r>
              <w:rPr>
                <w:rFonts w:hint="eastAsia" w:ascii="宋体" w:hAnsi="宋体" w:cs="宋体"/>
                <w:b/>
                <w:szCs w:val="21"/>
              </w:rPr>
              <w:t>二</w:t>
            </w:r>
          </w:p>
        </w:tc>
      </w:tr>
      <w:tr w14:paraId="4373E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5A4B021">
            <w:pPr>
              <w:pStyle w:val="37"/>
              <w:numPr>
                <w:ilvl w:val="0"/>
                <w:numId w:val="2"/>
              </w:numPr>
              <w:ind w:firstLineChars="0"/>
              <w:jc w:val="center"/>
              <w:rPr>
                <w:rFonts w:ascii="宋体" w:hAnsi="宋体"/>
                <w:szCs w:val="21"/>
              </w:rPr>
            </w:pPr>
          </w:p>
        </w:tc>
        <w:tc>
          <w:tcPr>
            <w:tcW w:w="1355" w:type="dxa"/>
            <w:vAlign w:val="center"/>
          </w:tcPr>
          <w:p w14:paraId="6ED8F4BA">
            <w:pPr>
              <w:jc w:val="left"/>
              <w:rPr>
                <w:rFonts w:hAnsi="宋体"/>
                <w:bCs/>
                <w:highlight w:val="green"/>
              </w:rPr>
            </w:pPr>
            <w:r>
              <w:rPr>
                <w:rFonts w:hint="eastAsia" w:ascii="宋体" w:cs="宋体"/>
              </w:rPr>
              <w:t>投标人同类项目业绩情况</w:t>
            </w:r>
          </w:p>
        </w:tc>
        <w:tc>
          <w:tcPr>
            <w:tcW w:w="5635" w:type="dxa"/>
            <w:vAlign w:val="center"/>
          </w:tcPr>
          <w:p w14:paraId="7DEB1FF2">
            <w:pPr>
              <w:ind w:left="-78" w:leftChars="-37" w:right="-73" w:rightChars="-35"/>
              <w:jc w:val="left"/>
              <w:rPr>
                <w:rFonts w:ascii="仿宋_GB2312" w:hAnsi="华文仿宋" w:cs="宋体"/>
              </w:rPr>
            </w:pPr>
            <w:r>
              <w:rPr>
                <w:rFonts w:hint="eastAsia" w:ascii="仿宋_GB2312" w:hAnsi="华文仿宋" w:cs="宋体"/>
              </w:rPr>
              <w:t>考察投标人近三年（20</w:t>
            </w:r>
            <w:r>
              <w:rPr>
                <w:rFonts w:hint="eastAsia" w:ascii="仿宋_GB2312" w:hAnsi="华文仿宋" w:cs="宋体"/>
                <w:lang w:val="en-US" w:eastAsia="zh-CN"/>
              </w:rPr>
              <w:t>22</w:t>
            </w:r>
            <w:r>
              <w:rPr>
                <w:rFonts w:hint="eastAsia" w:ascii="仿宋_GB2312" w:hAnsi="华文仿宋" w:cs="宋体"/>
              </w:rPr>
              <w:t>年1月1日至本项目招标公告发布之日）同类业绩项目，每提供</w:t>
            </w:r>
            <w:r>
              <w:rPr>
                <w:rFonts w:hint="eastAsia" w:ascii="仿宋_GB2312" w:hAnsi="华文仿宋" w:cs="宋体"/>
                <w:lang w:val="en-US" w:eastAsia="zh-CN"/>
              </w:rPr>
              <w:t>1</w:t>
            </w:r>
            <w:r>
              <w:rPr>
                <w:rFonts w:hint="eastAsia" w:ascii="仿宋_GB2312" w:hAnsi="华文仿宋" w:cs="宋体"/>
              </w:rPr>
              <w:t>个得</w:t>
            </w:r>
            <w:r>
              <w:rPr>
                <w:rFonts w:hint="eastAsia" w:ascii="仿宋_GB2312" w:hAnsi="华文仿宋" w:cs="宋体"/>
                <w:lang w:val="en-US" w:eastAsia="zh-CN"/>
              </w:rPr>
              <w:t>1</w:t>
            </w:r>
            <w:r>
              <w:rPr>
                <w:rFonts w:hint="eastAsia" w:ascii="仿宋_GB2312" w:hAnsi="华文仿宋" w:cs="宋体"/>
              </w:rPr>
              <w:t>分，最高得</w:t>
            </w:r>
            <w:r>
              <w:rPr>
                <w:rFonts w:hint="eastAsia" w:ascii="仿宋_GB2312" w:hAnsi="华文仿宋" w:cs="宋体"/>
                <w:lang w:val="en-US" w:eastAsia="zh-CN"/>
              </w:rPr>
              <w:t>5</w:t>
            </w:r>
            <w:r>
              <w:rPr>
                <w:rFonts w:hint="eastAsia" w:ascii="仿宋_GB2312" w:hAnsi="华文仿宋" w:cs="宋体"/>
              </w:rPr>
              <w:t>分。</w:t>
            </w:r>
          </w:p>
          <w:p w14:paraId="2ACEB9A7">
            <w:pPr>
              <w:ind w:left="-78" w:leftChars="-37" w:right="-73" w:rightChars="-35"/>
              <w:jc w:val="left"/>
              <w:rPr>
                <w:rFonts w:ascii="宋体" w:hAnsi="宋体"/>
                <w:szCs w:val="21"/>
                <w:highlight w:val="yellow"/>
              </w:rPr>
            </w:pPr>
            <w:r>
              <w:rPr>
                <w:rFonts w:hint="eastAsia" w:ascii="仿宋_GB2312" w:hAnsi="华文仿宋" w:cs="宋体"/>
              </w:rPr>
              <w:t>要求同时提供合同关键页和落款盖章页（通过合同关键页和落款盖章页无法判断是否得分的，也可以提供能证明得分的其它证明资料。评分中出现无证明资料或专家无法凭所提供资料判断是否得分的情况，一律作不得分处理。</w:t>
            </w:r>
          </w:p>
        </w:tc>
        <w:tc>
          <w:tcPr>
            <w:tcW w:w="697" w:type="dxa"/>
            <w:tcBorders>
              <w:left w:val="single" w:color="auto" w:sz="4" w:space="0"/>
            </w:tcBorders>
            <w:vAlign w:val="center"/>
          </w:tcPr>
          <w:p w14:paraId="0D6324C5">
            <w:pPr>
              <w:ind w:left="-78" w:leftChars="-37" w:right="-73" w:rightChars="-35"/>
              <w:jc w:val="center"/>
              <w:rPr>
                <w:rFonts w:hint="eastAsia" w:ascii="宋体" w:hAnsi="宋体" w:eastAsia="宋体" w:cs="宋体"/>
                <w:szCs w:val="21"/>
                <w:lang w:val="en-US" w:eastAsia="zh-CN"/>
              </w:rPr>
            </w:pPr>
            <w:r>
              <w:rPr>
                <w:rFonts w:hint="eastAsia" w:ascii="宋体" w:hAnsi="宋体" w:cs="宋体"/>
                <w:szCs w:val="21"/>
                <w:lang w:val="en-US" w:eastAsia="zh-CN"/>
              </w:rPr>
              <w:t>5</w:t>
            </w:r>
          </w:p>
        </w:tc>
      </w:tr>
      <w:tr w14:paraId="57987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5234A0AF">
            <w:pPr>
              <w:pStyle w:val="37"/>
              <w:numPr>
                <w:ilvl w:val="0"/>
                <w:numId w:val="2"/>
              </w:numPr>
              <w:ind w:firstLineChars="0"/>
              <w:jc w:val="center"/>
              <w:rPr>
                <w:rFonts w:ascii="宋体" w:hAnsi="宋体"/>
                <w:szCs w:val="21"/>
              </w:rPr>
            </w:pPr>
          </w:p>
        </w:tc>
        <w:tc>
          <w:tcPr>
            <w:tcW w:w="1355" w:type="dxa"/>
            <w:vAlign w:val="center"/>
          </w:tcPr>
          <w:p w14:paraId="0E0B3894">
            <w:pPr>
              <w:jc w:val="center"/>
              <w:rPr>
                <w:rFonts w:hAnsi="宋体"/>
                <w:bCs/>
                <w:highlight w:val="green"/>
              </w:rPr>
            </w:pPr>
            <w:r>
              <w:rPr>
                <w:rFonts w:hint="eastAsia" w:ascii="宋体" w:cs="宋体"/>
              </w:rPr>
              <w:t>诚信</w:t>
            </w:r>
          </w:p>
        </w:tc>
        <w:tc>
          <w:tcPr>
            <w:tcW w:w="5635" w:type="dxa"/>
            <w:vAlign w:val="center"/>
          </w:tcPr>
          <w:p w14:paraId="257B6D69">
            <w:pPr>
              <w:jc w:val="left"/>
              <w:rPr>
                <w:rFonts w:ascii="宋体" w:hAnsi="宋体"/>
                <w:szCs w:val="21"/>
              </w:rPr>
            </w:pPr>
            <w:r>
              <w:rPr>
                <w:rFonts w:hint="eastAsia" w:ascii="宋体" w:hAnsi="宋体"/>
                <w:szCs w:val="21"/>
              </w:rPr>
              <w:t>1、根据深圳市财政委员会文件《深财购【2013】27号》“深圳市财政会委员关于加强招投标评审环节诚信管理的通知”，存在通知中第一条规定情形但超出法定追诉时效，或情节轻微未给予禁止参与政府采购的行政处罚的，本项得0分，不存在上述情形的，本项得5分。注：提供《诚信承诺书》，投标人对提供的《诚信承诺书》负责。</w:t>
            </w:r>
          </w:p>
          <w:p w14:paraId="3489CA21">
            <w:pPr>
              <w:spacing w:line="360" w:lineRule="exact"/>
              <w:jc w:val="left"/>
              <w:rPr>
                <w:rFonts w:ascii="宋体" w:hAnsi="宋体"/>
                <w:szCs w:val="21"/>
                <w:highlight w:val="yellow"/>
              </w:rPr>
            </w:pPr>
            <w:r>
              <w:rPr>
                <w:rFonts w:hint="eastAsia" w:ascii="宋体" w:hAnsi="宋体"/>
                <w:szCs w:val="21"/>
              </w:rPr>
              <w:t>2、因出现违法违规行为被记入供应商诚信档案的供应商，其诚信得分一律为0分。</w:t>
            </w:r>
          </w:p>
        </w:tc>
        <w:tc>
          <w:tcPr>
            <w:tcW w:w="697" w:type="dxa"/>
            <w:tcBorders>
              <w:left w:val="single" w:color="auto" w:sz="4" w:space="0"/>
            </w:tcBorders>
            <w:vAlign w:val="center"/>
          </w:tcPr>
          <w:p w14:paraId="26BF5CA9">
            <w:pPr>
              <w:ind w:left="-78" w:leftChars="-37" w:right="-73" w:rightChars="-35"/>
              <w:jc w:val="center"/>
              <w:rPr>
                <w:rFonts w:hint="eastAsia" w:ascii="宋体" w:hAnsi="宋体" w:eastAsia="宋体" w:cs="宋体"/>
                <w:szCs w:val="21"/>
                <w:lang w:val="en-US" w:eastAsia="zh-CN"/>
              </w:rPr>
            </w:pPr>
            <w:r>
              <w:rPr>
                <w:rFonts w:hint="eastAsia" w:ascii="宋体" w:hAnsi="宋体" w:cs="宋体"/>
                <w:szCs w:val="21"/>
                <w:lang w:val="en-US" w:eastAsia="zh-CN"/>
              </w:rPr>
              <w:t>5</w:t>
            </w:r>
          </w:p>
        </w:tc>
      </w:tr>
      <w:tr w14:paraId="1E60F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3"/>
          <w:wAfter w:w="7687" w:type="dxa"/>
          <w:trHeight w:val="447" w:hRule="atLeast"/>
        </w:trPr>
        <w:tc>
          <w:tcPr>
            <w:tcW w:w="680" w:type="dxa"/>
            <w:tcBorders>
              <w:top w:val="single" w:color="auto" w:sz="4" w:space="0"/>
            </w:tcBorders>
            <w:vAlign w:val="center"/>
          </w:tcPr>
          <w:p w14:paraId="0354CA4E">
            <w:pPr>
              <w:jc w:val="center"/>
              <w:rPr>
                <w:rFonts w:ascii="宋体" w:hAnsi="宋体"/>
                <w:b/>
                <w:szCs w:val="21"/>
              </w:rPr>
            </w:pPr>
            <w:r>
              <w:rPr>
                <w:rFonts w:hint="eastAsia" w:ascii="宋体" w:hAnsi="宋体"/>
                <w:b/>
                <w:szCs w:val="21"/>
              </w:rPr>
              <w:t>三</w:t>
            </w:r>
          </w:p>
        </w:tc>
      </w:tr>
      <w:tr w14:paraId="588A4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2" w:hRule="atLeast"/>
        </w:trPr>
        <w:tc>
          <w:tcPr>
            <w:tcW w:w="680" w:type="dxa"/>
            <w:vAlign w:val="center"/>
          </w:tcPr>
          <w:p w14:paraId="118EA72C">
            <w:pPr>
              <w:jc w:val="center"/>
              <w:rPr>
                <w:rFonts w:ascii="宋体" w:hAnsi="宋体"/>
                <w:szCs w:val="21"/>
              </w:rPr>
            </w:pPr>
            <w:r>
              <w:rPr>
                <w:rFonts w:hint="eastAsia" w:ascii="宋体" w:hAnsi="宋体"/>
                <w:szCs w:val="21"/>
              </w:rPr>
              <w:t>1</w:t>
            </w:r>
          </w:p>
        </w:tc>
        <w:tc>
          <w:tcPr>
            <w:tcW w:w="1355" w:type="dxa"/>
            <w:vAlign w:val="center"/>
          </w:tcPr>
          <w:p w14:paraId="3C6EFB6F">
            <w:pPr>
              <w:jc w:val="center"/>
              <w:rPr>
                <w:rFonts w:ascii="宋体" w:hAnsi="宋体"/>
                <w:szCs w:val="21"/>
              </w:rPr>
            </w:pPr>
            <w:r>
              <w:rPr>
                <w:rFonts w:hint="eastAsia" w:ascii="宋体" w:hAnsi="宋体"/>
                <w:szCs w:val="21"/>
              </w:rPr>
              <w:t>投标报价</w:t>
            </w:r>
          </w:p>
        </w:tc>
        <w:tc>
          <w:tcPr>
            <w:tcW w:w="5635" w:type="dxa"/>
            <w:vAlign w:val="center"/>
          </w:tcPr>
          <w:p w14:paraId="299325BF">
            <w:pPr>
              <w:autoSpaceDE w:val="0"/>
              <w:autoSpaceDN w:val="0"/>
              <w:adjustRightInd w:val="0"/>
              <w:snapToGrid w:val="0"/>
              <w:rPr>
                <w:rFonts w:ascii="宋体" w:hAnsi="宋体" w:cs="宋体"/>
                <w:kern w:val="0"/>
                <w:szCs w:val="21"/>
              </w:rPr>
            </w:pPr>
            <w:r>
              <w:rPr>
                <w:rFonts w:ascii="宋体" w:hAnsi="宋体" w:cs="宋体"/>
                <w:kern w:val="0"/>
                <w:szCs w:val="21"/>
              </w:rPr>
              <w:t>价格分</w:t>
            </w:r>
            <w:r>
              <w:rPr>
                <w:rFonts w:hint="eastAsia" w:ascii="宋体" w:hAnsi="宋体" w:cs="宋体"/>
                <w:kern w:val="0"/>
                <w:szCs w:val="21"/>
              </w:rPr>
              <w:t>应当采用低价优先法计算，即满足招标文件要求且投标价格最低的投标报价为评标基准价，其价格分为满分。其他投标人的价格分统一按照下列公式计算：</w:t>
            </w:r>
          </w:p>
          <w:p w14:paraId="04C560EE">
            <w:pPr>
              <w:widowControl/>
              <w:jc w:val="left"/>
              <w:rPr>
                <w:rFonts w:ascii="宋体" w:hAnsi="宋体" w:cs="宋体"/>
                <w:kern w:val="0"/>
                <w:szCs w:val="21"/>
              </w:rPr>
            </w:pPr>
            <w:r>
              <w:rPr>
                <w:rFonts w:hint="eastAsia" w:ascii="宋体" w:hAnsi="宋体" w:cs="宋体"/>
                <w:kern w:val="0"/>
                <w:szCs w:val="21"/>
              </w:rPr>
              <w:t>投标报价得分=(评标基准价／投标报价)×100×权重</w:t>
            </w:r>
          </w:p>
          <w:p w14:paraId="72F6D7FC">
            <w:pPr>
              <w:widowControl/>
              <w:jc w:val="left"/>
              <w:rPr>
                <w:rFonts w:ascii="宋体" w:hAnsi="宋体"/>
                <w:bCs/>
              </w:rPr>
            </w:pPr>
            <w:r>
              <w:rPr>
                <w:rFonts w:hint="eastAsia" w:ascii="宋体" w:hAnsi="宋体"/>
                <w:bCs/>
              </w:rPr>
              <w:t>备注：</w:t>
            </w:r>
          </w:p>
          <w:p w14:paraId="1C90FD70">
            <w:pPr>
              <w:widowControl/>
              <w:jc w:val="left"/>
              <w:rPr>
                <w:rFonts w:ascii="宋体" w:cs="宋体"/>
                <w:szCs w:val="21"/>
              </w:rPr>
            </w:pPr>
            <w:r>
              <w:rPr>
                <w:rFonts w:hint="eastAsia" w:ascii="宋体" w:hAnsi="宋体"/>
                <w:bCs/>
              </w:rPr>
              <w:t>1、因落实政府采购政策进行价格调整的，以调整后的价格计算评标基准价和投标报价</w:t>
            </w:r>
            <w:r>
              <w:rPr>
                <w:rFonts w:hint="eastAsia" w:ascii="宋体" w:cs="宋体"/>
                <w:szCs w:val="21"/>
              </w:rPr>
              <w:t>,详见《价格扣除》。</w:t>
            </w:r>
          </w:p>
          <w:p w14:paraId="491993C8">
            <w:pPr>
              <w:rPr>
                <w:rFonts w:ascii="宋体" w:hAnsi="宋体"/>
                <w:bCs/>
              </w:rPr>
            </w:pPr>
            <w:r>
              <w:rPr>
                <w:rFonts w:hint="eastAsia" w:ascii="宋体" w:hAnsi="宋体"/>
                <w:bCs/>
              </w:rPr>
              <w:t>2、投标报价得分四舍五入后，</w:t>
            </w:r>
            <w:r>
              <w:rPr>
                <w:rFonts w:hint="eastAsia" w:ascii="Arial" w:hAnsi="Arial" w:cs="Arial"/>
                <w:szCs w:val="20"/>
              </w:rPr>
              <w:t>小数点后保留两位有效数</w:t>
            </w:r>
            <w:r>
              <w:rPr>
                <w:rFonts w:hint="eastAsia" w:ascii="宋体" w:hAnsi="宋体"/>
                <w:bCs/>
              </w:rPr>
              <w:t>；</w:t>
            </w:r>
          </w:p>
        </w:tc>
        <w:tc>
          <w:tcPr>
            <w:tcW w:w="697" w:type="dxa"/>
            <w:tcBorders>
              <w:left w:val="single" w:color="auto" w:sz="4" w:space="0"/>
            </w:tcBorders>
            <w:vAlign w:val="center"/>
          </w:tcPr>
          <w:p w14:paraId="160C0503">
            <w:pPr>
              <w:ind w:left="-78" w:leftChars="-37" w:right="-73" w:rightChars="-35"/>
              <w:jc w:val="center"/>
              <w:rPr>
                <w:rFonts w:hint="default" w:ascii="宋体" w:hAnsi="宋体" w:eastAsia="宋体" w:cs="宋体"/>
                <w:szCs w:val="21"/>
                <w:lang w:val="en-US" w:eastAsia="zh-CN"/>
              </w:rPr>
            </w:pPr>
            <w:r>
              <w:rPr>
                <w:rFonts w:hint="eastAsia" w:ascii="宋体" w:hAnsi="宋体" w:cs="宋体"/>
                <w:szCs w:val="21"/>
                <w:lang w:val="en-US" w:eastAsia="zh-CN"/>
              </w:rPr>
              <w:t>40</w:t>
            </w:r>
          </w:p>
        </w:tc>
      </w:tr>
      <w:tr w14:paraId="21AB9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vAlign w:val="center"/>
          </w:tcPr>
          <w:p w14:paraId="20E790A6">
            <w:pPr>
              <w:ind w:left="-78" w:leftChars="-37" w:right="-73" w:rightChars="-35"/>
              <w:jc w:val="center"/>
              <w:rPr>
                <w:rFonts w:ascii="宋体" w:hAnsi="宋体" w:cs="宋体"/>
                <w:szCs w:val="21"/>
              </w:rPr>
            </w:pPr>
            <w:r>
              <w:rPr>
                <w:rFonts w:hint="eastAsia" w:ascii="宋体" w:hAnsi="宋体"/>
                <w:szCs w:val="21"/>
              </w:rPr>
              <w:t>合计</w:t>
            </w:r>
          </w:p>
        </w:tc>
        <w:tc>
          <w:tcPr>
            <w:tcW w:w="697" w:type="dxa"/>
            <w:tcBorders>
              <w:left w:val="single" w:color="auto" w:sz="4" w:space="0"/>
            </w:tcBorders>
            <w:vAlign w:val="center"/>
          </w:tcPr>
          <w:p w14:paraId="441D511F">
            <w:pPr>
              <w:ind w:left="-78" w:leftChars="-37" w:right="-73" w:rightChars="-35"/>
              <w:jc w:val="center"/>
              <w:rPr>
                <w:rFonts w:ascii="宋体" w:hAnsi="宋体" w:cs="宋体"/>
                <w:szCs w:val="21"/>
              </w:rPr>
            </w:pPr>
            <w:r>
              <w:rPr>
                <w:rFonts w:hint="eastAsia" w:ascii="宋体" w:hAnsi="宋体" w:cs="宋体"/>
                <w:szCs w:val="21"/>
              </w:rPr>
              <w:t>100分</w:t>
            </w:r>
          </w:p>
        </w:tc>
      </w:tr>
    </w:tbl>
    <w:p w14:paraId="7D9ECDBB">
      <w:pPr>
        <w:snapToGrid w:val="0"/>
        <w:spacing w:line="360" w:lineRule="auto"/>
        <w:rPr>
          <w:rFonts w:ascii="宋体" w:cs="宋体"/>
          <w:snapToGrid w:val="0"/>
          <w:kern w:val="0"/>
        </w:rPr>
      </w:pPr>
      <w:r>
        <w:rPr>
          <w:rFonts w:hint="eastAsia" w:ascii="宋体" w:cs="宋体"/>
          <w:snapToGrid w:val="0"/>
          <w:kern w:val="0"/>
        </w:rPr>
        <w:t>备注：</w:t>
      </w:r>
    </w:p>
    <w:p w14:paraId="2FE3C9D9">
      <w:pPr>
        <w:spacing w:line="440" w:lineRule="exact"/>
        <w:ind w:firstLine="420" w:firstLineChars="200"/>
        <w:jc w:val="left"/>
        <w:rPr>
          <w:rFonts w:hint="eastAsia" w:ascii="仿宋_GB2312" w:hAnsi="华文仿宋" w:eastAsia="仿宋_GB2312"/>
          <w:b/>
          <w:bCs/>
          <w:color w:val="FF0000"/>
          <w:sz w:val="24"/>
        </w:rPr>
      </w:pPr>
      <w:r>
        <w:rPr>
          <w:rFonts w:hint="eastAsia" w:ascii="宋体" w:hAnsi="宋体"/>
          <w:bCs/>
        </w:rPr>
        <w:t>招标文件要求提交的与评价指标体系相关的各类有效资料，投标人如未按要求提交的，该项评分为零分。</w:t>
      </w:r>
    </w:p>
    <w:p w14:paraId="15610844">
      <w:pPr>
        <w:spacing w:after="78"/>
        <w:jc w:val="both"/>
        <w:outlineLvl w:val="0"/>
        <w:rPr>
          <w:rFonts w:hint="eastAsia" w:ascii="宋体" w:hAnsi="宋体"/>
          <w:color w:val="FF0000"/>
          <w:sz w:val="40"/>
          <w:szCs w:val="40"/>
        </w:rPr>
      </w:pPr>
    </w:p>
    <w:p w14:paraId="4B4DFEFE">
      <w:pPr>
        <w:spacing w:after="78"/>
        <w:jc w:val="both"/>
        <w:outlineLvl w:val="0"/>
        <w:rPr>
          <w:rFonts w:hint="eastAsia" w:ascii="宋体" w:hAnsi="宋体"/>
          <w:color w:val="FF0000"/>
          <w:sz w:val="40"/>
          <w:szCs w:val="40"/>
        </w:rPr>
      </w:pPr>
    </w:p>
    <w:p w14:paraId="35E35D10">
      <w:pPr>
        <w:spacing w:after="78"/>
        <w:jc w:val="both"/>
        <w:outlineLvl w:val="0"/>
        <w:rPr>
          <w:rFonts w:hint="eastAsia" w:ascii="宋体" w:hAnsi="宋体"/>
          <w:color w:val="FF0000"/>
          <w:sz w:val="40"/>
          <w:szCs w:val="40"/>
        </w:rPr>
      </w:pPr>
    </w:p>
    <w:p w14:paraId="640DA5D5">
      <w:pPr>
        <w:spacing w:after="78"/>
        <w:jc w:val="both"/>
        <w:outlineLvl w:val="0"/>
        <w:rPr>
          <w:rFonts w:hint="eastAsia" w:ascii="宋体" w:hAnsi="宋体"/>
          <w:color w:val="FF0000"/>
          <w:sz w:val="40"/>
          <w:szCs w:val="40"/>
        </w:rPr>
      </w:pPr>
    </w:p>
    <w:p w14:paraId="32829AD9">
      <w:pPr>
        <w:spacing w:after="78"/>
        <w:jc w:val="both"/>
        <w:outlineLvl w:val="0"/>
        <w:rPr>
          <w:rFonts w:hint="eastAsia" w:ascii="宋体" w:hAnsi="宋体"/>
          <w:color w:val="FF0000"/>
          <w:sz w:val="40"/>
          <w:szCs w:val="40"/>
        </w:rPr>
      </w:pPr>
    </w:p>
    <w:p w14:paraId="2ED25FEF">
      <w:pPr>
        <w:spacing w:after="78"/>
        <w:jc w:val="both"/>
        <w:outlineLvl w:val="0"/>
        <w:rPr>
          <w:rFonts w:hint="eastAsia" w:ascii="宋体" w:hAnsi="宋体"/>
          <w:color w:val="FF0000"/>
          <w:sz w:val="40"/>
          <w:szCs w:val="40"/>
        </w:rPr>
      </w:pPr>
    </w:p>
    <w:p w14:paraId="66C335FF">
      <w:pPr>
        <w:spacing w:after="78"/>
        <w:jc w:val="both"/>
        <w:outlineLvl w:val="0"/>
        <w:rPr>
          <w:rFonts w:hint="eastAsia" w:ascii="宋体" w:hAnsi="宋体"/>
          <w:color w:val="FF0000"/>
          <w:sz w:val="40"/>
          <w:szCs w:val="40"/>
        </w:rPr>
      </w:pPr>
    </w:p>
    <w:p w14:paraId="60E7A011">
      <w:pPr>
        <w:spacing w:after="78"/>
        <w:jc w:val="both"/>
        <w:outlineLvl w:val="0"/>
        <w:rPr>
          <w:rFonts w:hint="eastAsia" w:ascii="宋体" w:hAnsi="宋体"/>
          <w:color w:val="FF0000"/>
          <w:sz w:val="40"/>
          <w:szCs w:val="40"/>
        </w:rPr>
      </w:pPr>
    </w:p>
    <w:p w14:paraId="0F11460A">
      <w:pPr>
        <w:spacing w:after="78"/>
        <w:jc w:val="both"/>
        <w:outlineLvl w:val="0"/>
        <w:rPr>
          <w:rFonts w:hint="eastAsia" w:ascii="宋体" w:hAnsi="宋体"/>
          <w:color w:val="FF0000"/>
          <w:sz w:val="40"/>
          <w:szCs w:val="40"/>
        </w:rPr>
      </w:pPr>
    </w:p>
    <w:p w14:paraId="0A04D254">
      <w:pPr>
        <w:spacing w:after="78"/>
        <w:jc w:val="both"/>
        <w:outlineLvl w:val="0"/>
        <w:rPr>
          <w:rFonts w:hint="eastAsia" w:ascii="宋体" w:hAnsi="宋体"/>
          <w:color w:val="FF0000"/>
          <w:sz w:val="40"/>
          <w:szCs w:val="40"/>
        </w:rPr>
      </w:pPr>
    </w:p>
    <w:p w14:paraId="0FD173C1">
      <w:pPr>
        <w:spacing w:after="78"/>
        <w:jc w:val="both"/>
        <w:outlineLvl w:val="0"/>
        <w:rPr>
          <w:rFonts w:hint="eastAsia" w:ascii="宋体" w:hAnsi="宋体"/>
          <w:color w:val="FF0000"/>
          <w:sz w:val="40"/>
          <w:szCs w:val="40"/>
        </w:rPr>
      </w:pPr>
    </w:p>
    <w:p w14:paraId="743055ED">
      <w:pPr>
        <w:spacing w:before="156" w:beforeLines="50" w:after="156" w:afterLines="50" w:line="360" w:lineRule="auto"/>
        <w:jc w:val="center"/>
        <w:outlineLvl w:val="0"/>
      </w:pPr>
      <w:bookmarkStart w:id="2" w:name="_Toc523748105"/>
      <w:r>
        <w:rPr>
          <w:rFonts w:hint="eastAsia"/>
          <w:b/>
          <w:bCs/>
          <w:sz w:val="28"/>
          <w:szCs w:val="28"/>
        </w:rPr>
        <w:t>用户需求书</w:t>
      </w:r>
      <w:bookmarkEnd w:id="2"/>
    </w:p>
    <w:p w14:paraId="7CF22B8F">
      <w:pPr>
        <w:snapToGrid w:val="0"/>
        <w:spacing w:line="360" w:lineRule="auto"/>
        <w:rPr>
          <w:rFonts w:ascii="宋体"/>
          <w:b/>
          <w:bCs/>
          <w:szCs w:val="20"/>
        </w:rPr>
      </w:pPr>
      <w:r>
        <w:rPr>
          <w:rFonts w:hint="eastAsia" w:ascii="宋体"/>
          <w:b/>
          <w:bCs/>
          <w:szCs w:val="20"/>
        </w:rPr>
        <w:t>说明：</w:t>
      </w:r>
    </w:p>
    <w:p w14:paraId="51823A56">
      <w:pPr>
        <w:numPr>
          <w:ilvl w:val="0"/>
          <w:numId w:val="3"/>
        </w:numPr>
        <w:snapToGrid w:val="0"/>
        <w:spacing w:line="360" w:lineRule="auto"/>
        <w:ind w:left="422" w:hanging="422" w:hangingChars="200"/>
        <w:rPr>
          <w:rFonts w:ascii="宋体"/>
          <w:b/>
          <w:bCs/>
          <w:szCs w:val="20"/>
        </w:rPr>
      </w:pPr>
      <w:r>
        <w:rPr>
          <w:rFonts w:hint="eastAsia" w:ascii="宋体"/>
          <w:b/>
          <w:bCs/>
          <w:szCs w:val="20"/>
        </w:rPr>
        <w:t>投标人须对本项目为单位的进行整体响应，任何只对其中一部分内容进行的响应都被视为无效投标。</w:t>
      </w:r>
    </w:p>
    <w:p w14:paraId="7BAD4A37">
      <w:pPr>
        <w:numPr>
          <w:ilvl w:val="0"/>
          <w:numId w:val="3"/>
        </w:numPr>
        <w:snapToGrid w:val="0"/>
        <w:spacing w:line="360" w:lineRule="auto"/>
        <w:ind w:left="422" w:hanging="422" w:hangingChars="200"/>
        <w:rPr>
          <w:rFonts w:asciiTheme="minorEastAsia" w:hAnsiTheme="minorEastAsia" w:eastAsiaTheme="minorEastAsia"/>
          <w:b/>
          <w:bCs/>
          <w:szCs w:val="21"/>
        </w:rPr>
      </w:pPr>
      <w:r>
        <w:rPr>
          <w:rFonts w:hint="eastAsia" w:asciiTheme="minorEastAsia" w:hAnsiTheme="minorEastAsia" w:eastAsiaTheme="minorEastAsia"/>
          <w:b/>
          <w:bCs/>
          <w:szCs w:val="21"/>
        </w:rPr>
        <w:t>用户需求书中打</w:t>
      </w:r>
      <w:r>
        <w:rPr>
          <w:rFonts w:asciiTheme="minorEastAsia" w:hAnsiTheme="minorEastAsia" w:eastAsiaTheme="minorEastAsia"/>
          <w:b/>
          <w:bCs/>
          <w:szCs w:val="21"/>
        </w:rPr>
        <w:t>“</w:t>
      </w:r>
      <w:r>
        <w:rPr>
          <w:rFonts w:hint="eastAsia" w:asciiTheme="minorEastAsia" w:hAnsiTheme="minorEastAsia" w:eastAsiaTheme="minorEastAsia"/>
          <w:b/>
          <w:bCs/>
          <w:szCs w:val="21"/>
        </w:rPr>
        <w:t>★</w:t>
      </w:r>
      <w:r>
        <w:rPr>
          <w:rFonts w:asciiTheme="minorEastAsia" w:hAnsiTheme="minorEastAsia" w:eastAsiaTheme="minorEastAsia"/>
          <w:b/>
          <w:bCs/>
          <w:szCs w:val="21"/>
        </w:rPr>
        <w:t>”</w:t>
      </w:r>
      <w:r>
        <w:rPr>
          <w:rFonts w:hint="eastAsia" w:asciiTheme="minorEastAsia" w:hAnsiTheme="minorEastAsia" w:eastAsiaTheme="minorEastAsia"/>
          <w:b/>
          <w:bCs/>
          <w:szCs w:val="21"/>
        </w:rPr>
        <w:t>号条款为实质性条款，有任何一条负偏离则导致无效投标。</w:t>
      </w:r>
    </w:p>
    <w:p w14:paraId="000DB9C8">
      <w:pPr>
        <w:numPr>
          <w:ilvl w:val="0"/>
          <w:numId w:val="3"/>
        </w:numPr>
        <w:snapToGrid w:val="0"/>
        <w:spacing w:line="360" w:lineRule="auto"/>
        <w:ind w:hangingChars="200"/>
        <w:rPr>
          <w:rFonts w:asciiTheme="minorEastAsia" w:hAnsiTheme="minorEastAsia" w:eastAsiaTheme="minorEastAsia"/>
          <w:b/>
          <w:szCs w:val="21"/>
        </w:rPr>
      </w:pPr>
      <w:r>
        <w:rPr>
          <w:rFonts w:hint="eastAsia" w:cs="宋体" w:asciiTheme="minorEastAsia" w:hAnsiTheme="minorEastAsia" w:eastAsiaTheme="minorEastAsia"/>
          <w:szCs w:val="21"/>
          <w:lang w:eastAsia="zh-TW"/>
        </w:rPr>
        <w:t>投标报价</w:t>
      </w:r>
      <w:r>
        <w:rPr>
          <w:rFonts w:hint="eastAsia" w:cs="宋体" w:asciiTheme="minorEastAsia" w:hAnsiTheme="minorEastAsia" w:eastAsiaTheme="minorEastAsia"/>
          <w:szCs w:val="21"/>
        </w:rPr>
        <w:t>（总价）</w:t>
      </w:r>
      <w:r>
        <w:rPr>
          <w:rFonts w:hint="eastAsia" w:cs="宋体" w:asciiTheme="minorEastAsia" w:hAnsiTheme="minorEastAsia" w:eastAsiaTheme="minorEastAsia"/>
          <w:szCs w:val="21"/>
          <w:lang w:eastAsia="zh-TW"/>
        </w:rPr>
        <w:t>中不得包含招标文件要求以外的内容，否则，在评标时不予核减。</w:t>
      </w:r>
    </w:p>
    <w:p w14:paraId="092307BC">
      <w:pPr>
        <w:pStyle w:val="30"/>
        <w:numPr>
          <w:ilvl w:val="0"/>
          <w:numId w:val="3"/>
        </w:numPr>
        <w:snapToGrid w:val="0"/>
        <w:spacing w:line="360" w:lineRule="auto"/>
        <w:ind w:firstLineChars="0"/>
        <w:rPr>
          <w:rFonts w:hAnsi="宋体"/>
        </w:rPr>
      </w:pPr>
      <w:r>
        <w:rPr>
          <w:rFonts w:hint="eastAsia" w:asciiTheme="minorEastAsia" w:hAnsiTheme="minorEastAsia" w:eastAsiaTheme="minorEastAsia"/>
          <w:b/>
          <w:bCs/>
          <w:szCs w:val="21"/>
        </w:rPr>
        <w:t>本项目不允许分包。</w:t>
      </w:r>
    </w:p>
    <w:p w14:paraId="480CE47F">
      <w:pPr>
        <w:pStyle w:val="8"/>
        <w:numPr>
          <w:ilvl w:val="0"/>
          <w:numId w:val="4"/>
        </w:numPr>
        <w:tabs>
          <w:tab w:val="left" w:pos="540"/>
        </w:tabs>
        <w:adjustRightInd w:val="0"/>
        <w:snapToGrid w:val="0"/>
        <w:spacing w:line="360" w:lineRule="auto"/>
        <w:rPr>
          <w:rFonts w:hAnsi="宋体"/>
          <w:b/>
        </w:rPr>
      </w:pPr>
      <w:r>
        <w:rPr>
          <w:rFonts w:hint="eastAsia" w:asciiTheme="minorEastAsia" w:hAnsiTheme="minorEastAsia"/>
          <w:b/>
        </w:rPr>
        <w:t>项目一览表:</w:t>
      </w:r>
    </w:p>
    <w:tbl>
      <w:tblPr>
        <w:tblStyle w:val="16"/>
        <w:tblW w:w="7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709"/>
        <w:gridCol w:w="1984"/>
        <w:gridCol w:w="2216"/>
      </w:tblGrid>
      <w:tr w14:paraId="7422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842" w:type="dxa"/>
            <w:shd w:val="clear" w:color="auto" w:fill="EEECE1"/>
            <w:vAlign w:val="center"/>
          </w:tcPr>
          <w:p w14:paraId="427F295F">
            <w:pPr>
              <w:jc w:val="center"/>
              <w:rPr>
                <w:rFonts w:ascii="宋体"/>
                <w:b/>
                <w:szCs w:val="21"/>
              </w:rPr>
            </w:pPr>
            <w:r>
              <w:rPr>
                <w:rFonts w:hint="eastAsia" w:ascii="宋体"/>
                <w:b/>
                <w:szCs w:val="21"/>
              </w:rPr>
              <w:t>采购内容</w:t>
            </w:r>
          </w:p>
        </w:tc>
        <w:tc>
          <w:tcPr>
            <w:tcW w:w="709" w:type="dxa"/>
            <w:shd w:val="clear" w:color="auto" w:fill="EEECE1"/>
            <w:vAlign w:val="center"/>
          </w:tcPr>
          <w:p w14:paraId="15F5BCB8">
            <w:pPr>
              <w:jc w:val="center"/>
              <w:rPr>
                <w:rFonts w:ascii="宋体"/>
                <w:b/>
                <w:szCs w:val="21"/>
              </w:rPr>
            </w:pPr>
            <w:r>
              <w:rPr>
                <w:rFonts w:hint="eastAsia" w:ascii="宋体"/>
                <w:b/>
                <w:szCs w:val="21"/>
              </w:rPr>
              <w:t>数量</w:t>
            </w:r>
          </w:p>
        </w:tc>
        <w:tc>
          <w:tcPr>
            <w:tcW w:w="1984" w:type="dxa"/>
            <w:shd w:val="clear" w:color="auto" w:fill="EEECE1"/>
            <w:vAlign w:val="center"/>
          </w:tcPr>
          <w:p w14:paraId="490280EA">
            <w:pPr>
              <w:jc w:val="center"/>
              <w:rPr>
                <w:rFonts w:ascii="宋体"/>
                <w:b/>
                <w:szCs w:val="21"/>
              </w:rPr>
            </w:pPr>
            <w:r>
              <w:rPr>
                <w:rFonts w:hint="eastAsia" w:ascii="宋体"/>
                <w:b/>
                <w:szCs w:val="21"/>
              </w:rPr>
              <w:t>工期</w:t>
            </w:r>
          </w:p>
        </w:tc>
        <w:tc>
          <w:tcPr>
            <w:tcW w:w="2216" w:type="dxa"/>
            <w:shd w:val="clear" w:color="auto" w:fill="EEECE1"/>
            <w:vAlign w:val="center"/>
          </w:tcPr>
          <w:p w14:paraId="0E9A3358">
            <w:pPr>
              <w:jc w:val="center"/>
              <w:rPr>
                <w:rFonts w:ascii="宋体"/>
                <w:b/>
                <w:szCs w:val="21"/>
              </w:rPr>
            </w:pPr>
            <w:r>
              <w:rPr>
                <w:rFonts w:hint="eastAsia" w:ascii="宋体"/>
                <w:b/>
                <w:szCs w:val="21"/>
              </w:rPr>
              <w:t>最高限价</w:t>
            </w:r>
          </w:p>
        </w:tc>
      </w:tr>
      <w:tr w14:paraId="2831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2842" w:type="dxa"/>
            <w:vAlign w:val="center"/>
          </w:tcPr>
          <w:p w14:paraId="5AE099ED">
            <w:pPr>
              <w:numPr>
                <w:ilvl w:val="0"/>
                <w:numId w:val="0"/>
              </w:numPr>
              <w:jc w:val="center"/>
              <w:rPr>
                <w:rFonts w:ascii="宋体"/>
                <w:bCs/>
                <w:color w:val="auto"/>
                <w:szCs w:val="21"/>
                <w:highlight w:val="none"/>
              </w:rPr>
            </w:pPr>
            <w:r>
              <w:rPr>
                <w:rFonts w:hint="eastAsia" w:ascii="宋体"/>
                <w:bCs/>
                <w:color w:val="auto"/>
                <w:szCs w:val="21"/>
                <w:highlight w:val="none"/>
                <w:lang w:val="en-US" w:eastAsia="zh-CN"/>
              </w:rPr>
              <w:t>深圳市儿童医院龙华院区</w:t>
            </w:r>
          </w:p>
          <w:p w14:paraId="290601D3">
            <w:pPr>
              <w:numPr>
                <w:ilvl w:val="0"/>
                <w:numId w:val="0"/>
              </w:numPr>
              <w:ind w:left="0" w:leftChars="0" w:firstLine="0" w:firstLineChars="0"/>
              <w:jc w:val="center"/>
              <w:rPr>
                <w:rFonts w:ascii="宋体"/>
                <w:bCs/>
                <w:color w:val="FF0000"/>
                <w:szCs w:val="21"/>
              </w:rPr>
            </w:pPr>
            <w:r>
              <w:rPr>
                <w:rFonts w:hint="eastAsia" w:ascii="宋体"/>
                <w:bCs/>
                <w:color w:val="auto"/>
                <w:szCs w:val="21"/>
                <w:highlight w:val="none"/>
                <w:lang w:val="en-US" w:eastAsia="zh-CN"/>
              </w:rPr>
              <w:t>手术、急救电梯门禁</w:t>
            </w:r>
          </w:p>
        </w:tc>
        <w:tc>
          <w:tcPr>
            <w:tcW w:w="709" w:type="dxa"/>
            <w:vAlign w:val="center"/>
          </w:tcPr>
          <w:p w14:paraId="23D77895">
            <w:pPr>
              <w:jc w:val="center"/>
              <w:rPr>
                <w:rFonts w:ascii="宋体"/>
                <w:bCs/>
                <w:color w:val="FF0000"/>
                <w:szCs w:val="21"/>
              </w:rPr>
            </w:pPr>
            <w:r>
              <w:rPr>
                <w:rFonts w:hint="eastAsia" w:ascii="宋体"/>
                <w:bCs/>
                <w:color w:val="auto"/>
                <w:szCs w:val="21"/>
                <w:highlight w:val="none"/>
              </w:rPr>
              <w:t>1项</w:t>
            </w:r>
          </w:p>
        </w:tc>
        <w:tc>
          <w:tcPr>
            <w:tcW w:w="1984" w:type="dxa"/>
            <w:vAlign w:val="center"/>
          </w:tcPr>
          <w:p w14:paraId="30358E71">
            <w:pPr>
              <w:pStyle w:val="45"/>
              <w:spacing w:line="240" w:lineRule="auto"/>
              <w:ind w:hanging="67" w:firstLineChars="0"/>
              <w:rPr>
                <w:snapToGrid/>
                <w:color w:val="FF0000"/>
                <w:spacing w:val="0"/>
                <w:kern w:val="2"/>
                <w:sz w:val="21"/>
                <w:szCs w:val="24"/>
              </w:rPr>
            </w:pPr>
            <w:r>
              <w:rPr>
                <w:rFonts w:hint="eastAsia"/>
                <w:snapToGrid/>
                <w:color w:val="auto"/>
                <w:spacing w:val="0"/>
                <w:kern w:val="2"/>
                <w:sz w:val="21"/>
                <w:szCs w:val="24"/>
                <w:highlight w:val="none"/>
                <w:lang w:val="en-US" w:eastAsia="zh-CN"/>
              </w:rPr>
              <w:t>30天</w:t>
            </w:r>
          </w:p>
        </w:tc>
        <w:tc>
          <w:tcPr>
            <w:tcW w:w="2216" w:type="dxa"/>
            <w:vAlign w:val="center"/>
          </w:tcPr>
          <w:p w14:paraId="35B9804A">
            <w:pPr>
              <w:pStyle w:val="45"/>
              <w:spacing w:line="240" w:lineRule="auto"/>
              <w:ind w:firstLine="120" w:firstLineChars="0"/>
              <w:rPr>
                <w:snapToGrid/>
                <w:color w:val="FF0000"/>
                <w:spacing w:val="0"/>
                <w:kern w:val="2"/>
                <w:sz w:val="21"/>
                <w:szCs w:val="24"/>
              </w:rPr>
            </w:pPr>
            <w:r>
              <w:rPr>
                <w:rFonts w:hint="eastAsia" w:ascii="宋体" w:hAnsi="宋体"/>
                <w:snapToGrid/>
                <w:color w:val="auto"/>
                <w:spacing w:val="0"/>
                <w:kern w:val="2"/>
                <w:sz w:val="21"/>
                <w:szCs w:val="21"/>
                <w:highlight w:val="none"/>
              </w:rPr>
              <w:t>人民币</w:t>
            </w:r>
            <w:r>
              <w:rPr>
                <w:rFonts w:hint="eastAsia" w:ascii="宋体" w:hAnsi="宋体"/>
                <w:snapToGrid/>
                <w:color w:val="auto"/>
                <w:spacing w:val="0"/>
                <w:kern w:val="2"/>
                <w:sz w:val="21"/>
                <w:szCs w:val="21"/>
                <w:highlight w:val="none"/>
                <w:lang w:val="en-US" w:eastAsia="zh-CN"/>
              </w:rPr>
              <w:t>59938.39</w:t>
            </w:r>
            <w:r>
              <w:rPr>
                <w:rFonts w:hint="eastAsia" w:ascii="宋体" w:hAnsi="宋体"/>
                <w:snapToGrid/>
                <w:color w:val="auto"/>
                <w:spacing w:val="0"/>
                <w:kern w:val="2"/>
                <w:sz w:val="21"/>
                <w:szCs w:val="21"/>
                <w:highlight w:val="none"/>
              </w:rPr>
              <w:t>元</w:t>
            </w:r>
          </w:p>
        </w:tc>
      </w:tr>
    </w:tbl>
    <w:p w14:paraId="6F04C0F2">
      <w:pPr>
        <w:pStyle w:val="8"/>
        <w:numPr>
          <w:ilvl w:val="0"/>
          <w:numId w:val="4"/>
        </w:numPr>
        <w:tabs>
          <w:tab w:val="left" w:pos="540"/>
        </w:tabs>
        <w:adjustRightInd w:val="0"/>
        <w:snapToGrid w:val="0"/>
        <w:spacing w:line="360" w:lineRule="auto"/>
        <w:rPr>
          <w:rFonts w:hAnsi="宋体"/>
          <w:b/>
        </w:rPr>
      </w:pPr>
      <w:r>
        <w:rPr>
          <w:rFonts w:hint="eastAsia" w:hAnsi="宋体"/>
          <w:b/>
        </w:rPr>
        <w:t>项目背景</w:t>
      </w:r>
    </w:p>
    <w:p w14:paraId="5DD5A695">
      <w:pPr>
        <w:pStyle w:val="8"/>
        <w:numPr>
          <w:ilvl w:val="0"/>
          <w:numId w:val="0"/>
        </w:numPr>
        <w:tabs>
          <w:tab w:val="left" w:pos="540"/>
        </w:tabs>
        <w:adjustRightInd w:val="0"/>
        <w:snapToGrid w:val="0"/>
        <w:spacing w:line="360" w:lineRule="auto"/>
        <w:ind w:leftChars="0" w:firstLine="480" w:firstLineChars="200"/>
        <w:rPr>
          <w:rFonts w:hAnsi="宋体"/>
          <w:b/>
        </w:rPr>
      </w:pPr>
      <w:r>
        <w:rPr>
          <w:rFonts w:ascii="Segoe UI Emoji" w:hAnsi="Segoe UI Emoji" w:eastAsia="Segoe UI Emoji" w:cs="Segoe UI Emoji"/>
          <w:i w:val="0"/>
          <w:iCs w:val="0"/>
          <w:caps w:val="0"/>
          <w:color w:val="auto"/>
          <w:spacing w:val="0"/>
          <w:sz w:val="24"/>
          <w:szCs w:val="24"/>
          <w:highlight w:val="none"/>
          <w:shd w:val="clear" w:fill="FCFCFC"/>
        </w:rPr>
        <w:t>本次项目为儿童医院梯控系统建设，旨在通过安装脱机门禁及相关配套设备，实现对电梯呼梯权限的有效管理，提升医院的安全性与管理效率。</w:t>
      </w:r>
    </w:p>
    <w:p w14:paraId="3BBE439A">
      <w:pPr>
        <w:pStyle w:val="8"/>
        <w:numPr>
          <w:ilvl w:val="0"/>
          <w:numId w:val="4"/>
        </w:numPr>
        <w:tabs>
          <w:tab w:val="left" w:pos="540"/>
        </w:tabs>
        <w:adjustRightInd w:val="0"/>
        <w:snapToGrid w:val="0"/>
        <w:spacing w:line="360" w:lineRule="auto"/>
        <w:rPr>
          <w:rFonts w:hAnsi="宋体"/>
          <w:b/>
        </w:rPr>
      </w:pPr>
      <w:r>
        <w:rPr>
          <w:rFonts w:hint="eastAsia" w:hAnsi="宋体"/>
          <w:b/>
        </w:rPr>
        <w:t>技术参数：</w:t>
      </w:r>
    </w:p>
    <w:p w14:paraId="29AEF483">
      <w:pPr>
        <w:pStyle w:val="8"/>
        <w:numPr>
          <w:ilvl w:val="0"/>
          <w:numId w:val="5"/>
        </w:numPr>
        <w:adjustRightInd w:val="0"/>
        <w:snapToGrid w:val="0"/>
        <w:spacing w:line="360" w:lineRule="auto"/>
        <w:rPr>
          <w:rFonts w:cs="宋体" w:asciiTheme="minorEastAsia" w:hAnsiTheme="minorEastAsia"/>
          <w:kern w:val="0"/>
        </w:rPr>
      </w:pPr>
      <w:r>
        <w:rPr>
          <w:rFonts w:hint="eastAsia" w:cs="宋体" w:asciiTheme="minorEastAsia" w:hAnsiTheme="minorEastAsia"/>
          <w:kern w:val="0"/>
        </w:rPr>
        <w:t>投标人拟投产品符合政府采购政策的，投标人须按招标文件要求提供相关的证明材料。</w:t>
      </w:r>
    </w:p>
    <w:p w14:paraId="6637D421">
      <w:pPr>
        <w:pStyle w:val="8"/>
        <w:numPr>
          <w:ilvl w:val="0"/>
          <w:numId w:val="5"/>
        </w:numPr>
        <w:tabs>
          <w:tab w:val="left" w:pos="284"/>
        </w:tabs>
        <w:adjustRightInd w:val="0"/>
        <w:snapToGrid w:val="0"/>
        <w:spacing w:line="360" w:lineRule="auto"/>
        <w:ind w:left="284" w:hanging="284"/>
        <w:rPr>
          <w:rFonts w:cs="宋体" w:asciiTheme="minorEastAsia" w:hAnsiTheme="minorEastAsia"/>
          <w:kern w:val="0"/>
        </w:rPr>
      </w:pPr>
      <w:r>
        <w:rPr>
          <w:rFonts w:cs="宋体" w:asciiTheme="minorEastAsia" w:hAnsiTheme="minorEastAsia"/>
          <w:kern w:val="0"/>
        </w:rPr>
        <w:t>投标人拟投产品必须符合</w:t>
      </w:r>
      <w:r>
        <w:rPr>
          <w:rFonts w:hint="eastAsia" w:cs="宋体" w:asciiTheme="minorEastAsia" w:hAnsiTheme="minorEastAsia"/>
          <w:kern w:val="0"/>
        </w:rPr>
        <w:t>国家相关标准、行业标准、地方标准或者其他标准、规范；</w:t>
      </w:r>
    </w:p>
    <w:p w14:paraId="507D4C5D">
      <w:pPr>
        <w:pStyle w:val="8"/>
        <w:tabs>
          <w:tab w:val="left" w:pos="540"/>
        </w:tabs>
        <w:adjustRightInd w:val="0"/>
        <w:snapToGrid w:val="0"/>
        <w:spacing w:line="360" w:lineRule="auto"/>
        <w:rPr>
          <w:rFonts w:cs="宋体" w:asciiTheme="minorEastAsia" w:hAnsiTheme="minorEastAsia"/>
          <w:kern w:val="0"/>
        </w:rPr>
      </w:pPr>
      <w:r>
        <w:rPr>
          <w:rFonts w:hint="eastAsia" w:asciiTheme="minorEastAsia" w:hAnsiTheme="minorEastAsia"/>
          <w:b/>
          <w:bCs/>
        </w:rPr>
        <w:t>★</w:t>
      </w:r>
      <w:r>
        <w:rPr>
          <w:rFonts w:hint="eastAsia" w:cs="宋体" w:asciiTheme="minorEastAsia" w:hAnsiTheme="minorEastAsia"/>
          <w:kern w:val="0"/>
        </w:rPr>
        <w:t>3.工期要求：自合同签订之日起</w:t>
      </w:r>
      <w:r>
        <w:rPr>
          <w:rFonts w:hint="eastAsia" w:cs="宋体" w:asciiTheme="minorEastAsia" w:hAnsiTheme="minorEastAsia"/>
          <w:kern w:val="0"/>
          <w:lang w:val="en-US" w:eastAsia="zh-CN"/>
        </w:rPr>
        <w:t>30</w:t>
      </w:r>
      <w:r>
        <w:rPr>
          <w:rFonts w:hint="eastAsia" w:cs="宋体" w:asciiTheme="minorEastAsia" w:hAnsiTheme="minorEastAsia"/>
          <w:kern w:val="0"/>
        </w:rPr>
        <w:t>个日历天内。</w:t>
      </w:r>
    </w:p>
    <w:p w14:paraId="36AB783F">
      <w:pPr>
        <w:pStyle w:val="8"/>
        <w:tabs>
          <w:tab w:val="left" w:pos="540"/>
        </w:tabs>
        <w:adjustRightInd w:val="0"/>
        <w:snapToGrid w:val="0"/>
        <w:spacing w:line="360" w:lineRule="auto"/>
        <w:rPr>
          <w:rFonts w:cs="宋体" w:asciiTheme="minorEastAsia" w:hAnsiTheme="minorEastAsia"/>
          <w:kern w:val="0"/>
        </w:rPr>
      </w:pPr>
      <w:r>
        <w:rPr>
          <w:rFonts w:hint="eastAsia" w:asciiTheme="minorEastAsia" w:hAnsiTheme="minorEastAsia"/>
          <w:b/>
          <w:bCs/>
        </w:rPr>
        <w:t>★</w:t>
      </w:r>
      <w:r>
        <w:rPr>
          <w:rFonts w:hint="eastAsia" w:cs="宋体" w:asciiTheme="minorEastAsia" w:hAnsiTheme="minorEastAsia"/>
          <w:kern w:val="0"/>
        </w:rPr>
        <w:t>4.工程量清单—详见附件1；</w:t>
      </w:r>
    </w:p>
    <w:p w14:paraId="51E51879">
      <w:pPr>
        <w:pStyle w:val="8"/>
        <w:tabs>
          <w:tab w:val="left" w:pos="540"/>
        </w:tabs>
        <w:adjustRightInd w:val="0"/>
        <w:snapToGrid w:val="0"/>
        <w:spacing w:line="360" w:lineRule="auto"/>
        <w:rPr>
          <w:rFonts w:cs="宋体" w:asciiTheme="minorEastAsia" w:hAnsiTheme="minorEastAsia"/>
          <w:kern w:val="0"/>
        </w:rPr>
      </w:pPr>
      <w:r>
        <w:rPr>
          <w:rFonts w:hint="eastAsia" w:cs="宋体" w:asciiTheme="minorEastAsia" w:hAnsiTheme="minorEastAsia"/>
          <w:kern w:val="0"/>
          <w:lang w:val="en-US" w:eastAsia="zh-CN"/>
        </w:rPr>
        <w:t>5</w:t>
      </w:r>
      <w:r>
        <w:rPr>
          <w:rFonts w:hint="eastAsia" w:cs="宋体" w:asciiTheme="minorEastAsia" w:hAnsiTheme="minorEastAsia"/>
          <w:kern w:val="0"/>
        </w:rPr>
        <w:t>.工程实行固定总价，按实结算。即按照招标清单内容，</w:t>
      </w:r>
      <w:r>
        <w:rPr>
          <w:rFonts w:hint="eastAsia" w:hAnsi="宋体"/>
        </w:rPr>
        <w:t>包括但不限于施工图纸和施工图预算书所涉及的全部工程内容，</w:t>
      </w:r>
      <w:r>
        <w:rPr>
          <w:rFonts w:hint="eastAsia" w:cs="宋体" w:asciiTheme="minorEastAsia" w:hAnsiTheme="minorEastAsia"/>
          <w:kern w:val="0"/>
        </w:rPr>
        <w:t>要求包工、包料、包机械、包工期、包质量、包安全生产、包文明施工、包劳保、包验收、包保修等的承包方式。包组织项目整体竣工验收（含资料汇总、整理、政府申报）等，并取得相关部门认可的验收合格证明文件。</w:t>
      </w:r>
    </w:p>
    <w:p w14:paraId="5A32C95D">
      <w:pPr>
        <w:pStyle w:val="8"/>
        <w:tabs>
          <w:tab w:val="left" w:pos="540"/>
        </w:tabs>
        <w:adjustRightInd w:val="0"/>
        <w:snapToGrid w:val="0"/>
        <w:spacing w:line="360" w:lineRule="auto"/>
        <w:rPr>
          <w:rFonts w:cs="宋体" w:asciiTheme="minorEastAsia" w:hAnsiTheme="minorEastAsia"/>
          <w:kern w:val="0"/>
        </w:rPr>
      </w:pPr>
      <w:r>
        <w:rPr>
          <w:rFonts w:hint="eastAsia" w:cs="宋体" w:asciiTheme="minorEastAsia" w:hAnsiTheme="minorEastAsia"/>
          <w:kern w:val="0"/>
          <w:lang w:val="en-US" w:eastAsia="zh-CN"/>
        </w:rPr>
        <w:t>6</w:t>
      </w:r>
      <w:r>
        <w:rPr>
          <w:rFonts w:hint="eastAsia" w:cs="宋体" w:asciiTheme="minorEastAsia" w:hAnsiTheme="minorEastAsia"/>
          <w:kern w:val="0"/>
        </w:rPr>
        <w:t>.质保期：2年。</w:t>
      </w:r>
    </w:p>
    <w:p w14:paraId="7C89E50A">
      <w:pPr>
        <w:pStyle w:val="8"/>
        <w:tabs>
          <w:tab w:val="left" w:pos="540"/>
        </w:tabs>
        <w:adjustRightInd w:val="0"/>
        <w:snapToGrid w:val="0"/>
        <w:spacing w:line="360" w:lineRule="auto"/>
        <w:rPr>
          <w:rFonts w:hint="eastAsia" w:cs="宋体" w:asciiTheme="minorEastAsia" w:hAnsiTheme="minorEastAsia"/>
          <w:kern w:val="0"/>
        </w:rPr>
      </w:pPr>
      <w:r>
        <w:rPr>
          <w:rFonts w:hint="eastAsia" w:cs="宋体" w:asciiTheme="minorEastAsia" w:hAnsiTheme="minorEastAsia"/>
          <w:kern w:val="0"/>
          <w:lang w:val="en-US" w:eastAsia="zh-CN"/>
        </w:rPr>
        <w:t>7</w:t>
      </w:r>
      <w:r>
        <w:rPr>
          <w:rFonts w:hint="eastAsia" w:cs="宋体" w:asciiTheme="minorEastAsia" w:hAnsiTheme="minorEastAsia"/>
          <w:kern w:val="0"/>
        </w:rPr>
        <w:t>.质量标准：符合《工程施工质量验收规范》合格标准。</w:t>
      </w:r>
    </w:p>
    <w:p w14:paraId="02F5682D">
      <w:pPr>
        <w:pStyle w:val="8"/>
        <w:tabs>
          <w:tab w:val="left" w:pos="540"/>
        </w:tabs>
        <w:adjustRightInd w:val="0"/>
        <w:snapToGrid w:val="0"/>
        <w:spacing w:line="360" w:lineRule="auto"/>
        <w:rPr>
          <w:rFonts w:hint="default" w:cs="宋体" w:asciiTheme="minorEastAsia" w:hAnsiTheme="minorEastAsia" w:eastAsiaTheme="minorEastAsia"/>
          <w:kern w:val="0"/>
          <w:lang w:val="en-US" w:eastAsia="zh-CN"/>
        </w:rPr>
      </w:pPr>
      <w:r>
        <w:rPr>
          <w:rFonts w:hint="eastAsia" w:cs="宋体" w:asciiTheme="minorEastAsia" w:hAnsiTheme="minorEastAsia"/>
          <w:kern w:val="0"/>
          <w:lang w:val="en-US" w:eastAsia="zh-CN"/>
        </w:rPr>
        <w:t>8.</w:t>
      </w:r>
      <w:r>
        <w:rPr>
          <w:rFonts w:hint="eastAsia" w:asciiTheme="minorEastAsia" w:hAnsiTheme="minorEastAsia"/>
          <w:b/>
          <w:bCs/>
          <w:color w:val="auto"/>
          <w:highlight w:val="none"/>
        </w:rPr>
        <w:t>★</w:t>
      </w:r>
      <w:r>
        <w:rPr>
          <w:rFonts w:ascii="Segoe UI Emoji" w:hAnsi="Segoe UI Emoji" w:eastAsia="Segoe UI Emoji" w:cs="Segoe UI Emoji"/>
          <w:i w:val="0"/>
          <w:iCs w:val="0"/>
          <w:caps w:val="0"/>
          <w:color w:val="auto"/>
          <w:spacing w:val="0"/>
          <w:sz w:val="21"/>
          <w:szCs w:val="21"/>
          <w:highlight w:val="none"/>
          <w:shd w:val="clear" w:fill="FCFCFC"/>
        </w:rPr>
        <w:t>楼宇结构为一梯 16 层，两梯 18 层，共三台电梯，每层电梯厅安装一台脱机门禁一体机，总计 52 台。控制方式为通过门禁机刷卡控制上下呼梯（无权限者无法呼梯），替代传统电梯按钮；采用 IC 卡扇区</w:t>
      </w:r>
      <w:r>
        <w:rPr>
          <w:rFonts w:hint="eastAsia" w:ascii="Segoe UI Emoji" w:hAnsi="Segoe UI Emoji" w:eastAsia="宋体" w:cs="Segoe UI Emoji"/>
          <w:i w:val="0"/>
          <w:iCs w:val="0"/>
          <w:caps w:val="0"/>
          <w:color w:val="auto"/>
          <w:spacing w:val="0"/>
          <w:sz w:val="21"/>
          <w:szCs w:val="21"/>
          <w:highlight w:val="none"/>
          <w:shd w:val="clear" w:fill="FCFCFC"/>
          <w:lang w:val="en-US" w:eastAsia="zh-CN"/>
        </w:rPr>
        <w:t>加密</w:t>
      </w:r>
      <w:r>
        <w:rPr>
          <w:rFonts w:ascii="Segoe UI Emoji" w:hAnsi="Segoe UI Emoji" w:eastAsia="Segoe UI Emoji" w:cs="Segoe UI Emoji"/>
          <w:i w:val="0"/>
          <w:iCs w:val="0"/>
          <w:caps w:val="0"/>
          <w:color w:val="auto"/>
          <w:spacing w:val="0"/>
          <w:sz w:val="21"/>
          <w:szCs w:val="21"/>
          <w:highlight w:val="none"/>
          <w:shd w:val="clear" w:fill="FCFCFC"/>
        </w:rPr>
        <w:t>权限管理，通过后台软件发卡、授权，卡片无权限复制，保证了安全性。系统脱机运行，稳定可靠，即使网络或电脑故障也不影响现有权限使用，如出现单层门禁故障，不影响其他楼层使用。</w:t>
      </w:r>
    </w:p>
    <w:p w14:paraId="2580E402">
      <w:pPr>
        <w:pStyle w:val="8"/>
        <w:numPr>
          <w:ilvl w:val="0"/>
          <w:numId w:val="4"/>
        </w:numPr>
        <w:tabs>
          <w:tab w:val="left" w:pos="540"/>
        </w:tabs>
        <w:adjustRightInd w:val="0"/>
        <w:snapToGrid w:val="0"/>
        <w:spacing w:line="360" w:lineRule="auto"/>
        <w:rPr>
          <w:rFonts w:hAnsi="宋体"/>
          <w:b/>
        </w:rPr>
      </w:pPr>
      <w:r>
        <w:rPr>
          <w:rFonts w:hint="eastAsia" w:hAnsi="宋体"/>
          <w:b/>
        </w:rPr>
        <w:t>施工工期、条件及要求：</w:t>
      </w:r>
    </w:p>
    <w:p w14:paraId="4295D2A4">
      <w:pPr>
        <w:tabs>
          <w:tab w:val="left" w:pos="851"/>
        </w:tabs>
        <w:adjustRightInd w:val="0"/>
        <w:snapToGrid w:val="0"/>
        <w:spacing w:line="360" w:lineRule="auto"/>
        <w:ind w:left="424" w:hanging="424" w:hangingChars="202"/>
        <w:rPr>
          <w:rFonts w:ascii="宋体" w:hAnsi="宋体"/>
        </w:rPr>
      </w:pPr>
      <w:r>
        <w:rPr>
          <w:rFonts w:hint="eastAsia" w:ascii="宋体" w:hAnsi="宋体"/>
          <w:lang w:val="en-US" w:eastAsia="zh-CN"/>
        </w:rPr>
        <w:t>4</w:t>
      </w:r>
      <w:r>
        <w:rPr>
          <w:rFonts w:hint="eastAsia" w:ascii="宋体" w:hAnsi="宋体"/>
        </w:rPr>
        <w:t>.1按完成招标范围内全部工程内容要求，开工日期由投标人收到采购人发出的开工通知书起计。整个工程应于合同签订后</w:t>
      </w:r>
      <w:r>
        <w:rPr>
          <w:rFonts w:hint="eastAsia" w:ascii="宋体" w:hAnsi="宋体"/>
          <w:lang w:val="en-US" w:eastAsia="zh-CN"/>
        </w:rPr>
        <w:t>30</w:t>
      </w:r>
      <w:r>
        <w:rPr>
          <w:rFonts w:hint="eastAsia" w:ascii="宋体" w:hAnsi="宋体"/>
        </w:rPr>
        <w:t>个日历天内完成。</w:t>
      </w:r>
    </w:p>
    <w:p w14:paraId="41FB39C9">
      <w:pPr>
        <w:tabs>
          <w:tab w:val="left" w:pos="851"/>
        </w:tabs>
        <w:adjustRightInd w:val="0"/>
        <w:snapToGrid w:val="0"/>
        <w:spacing w:line="360" w:lineRule="auto"/>
        <w:rPr>
          <w:rFonts w:ascii="宋体" w:hAnsi="宋体"/>
        </w:rPr>
      </w:pPr>
      <w:r>
        <w:rPr>
          <w:rFonts w:hint="eastAsia" w:ascii="宋体" w:hAnsi="宋体"/>
        </w:rPr>
        <w:t>（1）完工日期以采购人和监理签认的竣工时间为准。</w:t>
      </w:r>
    </w:p>
    <w:p w14:paraId="4B08A6A9">
      <w:pPr>
        <w:adjustRightInd w:val="0"/>
        <w:snapToGrid w:val="0"/>
        <w:spacing w:line="360" w:lineRule="auto"/>
        <w:rPr>
          <w:rFonts w:ascii="宋体" w:hAnsi="宋体"/>
        </w:rPr>
      </w:pPr>
      <w:r>
        <w:rPr>
          <w:rFonts w:hint="eastAsia" w:ascii="宋体" w:hAnsi="宋体"/>
        </w:rPr>
        <w:t>（2）采购人同意在此期限内未能完成应由采购人办理的相关手续，工期起计时间相应延后。</w:t>
      </w:r>
    </w:p>
    <w:p w14:paraId="02833FAA">
      <w:pPr>
        <w:adjustRightInd w:val="0"/>
        <w:snapToGrid w:val="0"/>
        <w:spacing w:line="360" w:lineRule="auto"/>
        <w:rPr>
          <w:rFonts w:ascii="宋体" w:hAnsi="宋体"/>
        </w:rPr>
      </w:pPr>
      <w:r>
        <w:rPr>
          <w:rFonts w:hint="eastAsia" w:ascii="宋体" w:hAnsi="宋体"/>
        </w:rPr>
        <w:t>（3）工程实施过程中，出现下列情形，经采购人确认，工期予以顺延：</w:t>
      </w:r>
    </w:p>
    <w:p w14:paraId="0F5A86CF">
      <w:pPr>
        <w:adjustRightInd w:val="0"/>
        <w:snapToGrid w:val="0"/>
        <w:spacing w:line="360" w:lineRule="auto"/>
        <w:ind w:firstLine="315" w:firstLineChars="150"/>
        <w:rPr>
          <w:rFonts w:ascii="宋体" w:hAnsi="宋体"/>
        </w:rPr>
      </w:pPr>
      <w:r>
        <w:rPr>
          <w:rFonts w:hint="eastAsia" w:ascii="宋体" w:hAnsi="宋体"/>
        </w:rPr>
        <w:t>（a</w:t>
      </w:r>
      <w:r>
        <w:rPr>
          <w:rFonts w:ascii="宋体" w:hAnsi="宋体"/>
        </w:rPr>
        <w:t>）</w:t>
      </w:r>
      <w:r>
        <w:rPr>
          <w:rFonts w:hint="eastAsia" w:ascii="宋体" w:hAnsi="宋体"/>
        </w:rPr>
        <w:t>不可抗因素</w:t>
      </w:r>
    </w:p>
    <w:p w14:paraId="77BCBAFD">
      <w:pPr>
        <w:adjustRightInd w:val="0"/>
        <w:snapToGrid w:val="0"/>
        <w:spacing w:line="360" w:lineRule="auto"/>
        <w:ind w:firstLine="420" w:firstLineChars="200"/>
        <w:rPr>
          <w:rFonts w:ascii="宋体" w:hAnsi="宋体"/>
        </w:rPr>
      </w:pPr>
      <w:r>
        <w:rPr>
          <w:rFonts w:hint="eastAsia" w:ascii="宋体" w:hAnsi="宋体"/>
        </w:rPr>
        <w:t>(b) 由于设计变更，致使工程量重大增加者（超过总量的10%）</w:t>
      </w:r>
    </w:p>
    <w:p w14:paraId="0683EF70">
      <w:pPr>
        <w:adjustRightInd w:val="0"/>
        <w:snapToGrid w:val="0"/>
        <w:spacing w:line="360" w:lineRule="auto"/>
        <w:ind w:firstLine="315" w:firstLineChars="150"/>
        <w:rPr>
          <w:rFonts w:ascii="宋体" w:hAnsi="宋体"/>
        </w:rPr>
      </w:pPr>
      <w:r>
        <w:rPr>
          <w:rFonts w:hint="eastAsia" w:ascii="宋体" w:hAnsi="宋体"/>
        </w:rPr>
        <w:t>（c</w:t>
      </w:r>
      <w:r>
        <w:rPr>
          <w:rFonts w:ascii="宋体" w:hAnsi="宋体"/>
        </w:rPr>
        <w:t>）</w:t>
      </w:r>
      <w:r>
        <w:rPr>
          <w:rFonts w:hint="eastAsia" w:ascii="宋体" w:hAnsi="宋体"/>
        </w:rPr>
        <w:t>工程款不能按时或逾期支付者。</w:t>
      </w:r>
    </w:p>
    <w:p w14:paraId="7BD364FF">
      <w:pPr>
        <w:adjustRightInd w:val="0"/>
        <w:snapToGrid w:val="0"/>
        <w:spacing w:line="360" w:lineRule="auto"/>
        <w:ind w:left="525" w:hanging="525" w:hangingChars="250"/>
        <w:rPr>
          <w:rFonts w:ascii="宋体" w:hAnsi="宋体"/>
        </w:rPr>
      </w:pPr>
      <w:r>
        <w:rPr>
          <w:rFonts w:hint="eastAsia" w:ascii="宋体" w:hAnsi="宋体"/>
        </w:rPr>
        <w:t>（4）采购人欢迎各投标人根据各企业实际提出缩短工期的标书。投标因赶工而需要增加的费用应于投标价中考虑。</w:t>
      </w:r>
      <w:bookmarkStart w:id="23" w:name="_GoBack"/>
      <w:bookmarkEnd w:id="23"/>
    </w:p>
    <w:p w14:paraId="76F6C2B8">
      <w:pPr>
        <w:tabs>
          <w:tab w:val="left" w:pos="851"/>
        </w:tabs>
        <w:adjustRightInd w:val="0"/>
        <w:snapToGrid w:val="0"/>
        <w:spacing w:line="360" w:lineRule="auto"/>
        <w:ind w:left="420" w:hanging="420" w:hangingChars="200"/>
        <w:rPr>
          <w:rFonts w:ascii="宋体" w:hAnsi="宋体"/>
          <w:b/>
        </w:rPr>
      </w:pPr>
      <w:r>
        <w:rPr>
          <w:rFonts w:hint="eastAsia" w:ascii="宋体" w:hAnsi="宋体"/>
        </w:rPr>
        <w:t>4.2中标人在施工期间应严格遵守《中华人民共和国安全生产法》（国家主席70号令）、《建设工程安全生产管理条例》（中华人民共和国国务院令第393号）以及文明施工、深夜施工、环保和城管、计划生育等规定，建立规章制度和防护措施。若违反以上规定，由此造成的经济和法律责任，均由中标人负责。</w:t>
      </w:r>
    </w:p>
    <w:p w14:paraId="147C897E">
      <w:pPr>
        <w:tabs>
          <w:tab w:val="left" w:pos="851"/>
        </w:tabs>
        <w:adjustRightInd w:val="0"/>
        <w:snapToGrid w:val="0"/>
        <w:spacing w:line="360" w:lineRule="auto"/>
        <w:ind w:left="420" w:hanging="420" w:hangingChars="200"/>
        <w:rPr>
          <w:rFonts w:ascii="宋体" w:hAnsi="宋体"/>
          <w:b/>
        </w:rPr>
      </w:pPr>
      <w:r>
        <w:rPr>
          <w:rFonts w:hint="eastAsia" w:ascii="宋体" w:hAnsi="宋体"/>
        </w:rPr>
        <w:t>4.3合同约定的工程项目，中标人不得转包。否则，采购人有权单方面终止合同，并令其退场，由此而造成直接经济损失由中标人负责赔偿。</w:t>
      </w:r>
    </w:p>
    <w:p w14:paraId="2D05DC2E">
      <w:pPr>
        <w:pStyle w:val="8"/>
        <w:numPr>
          <w:ilvl w:val="0"/>
          <w:numId w:val="4"/>
        </w:numPr>
        <w:tabs>
          <w:tab w:val="left" w:pos="540"/>
        </w:tabs>
        <w:adjustRightInd w:val="0"/>
        <w:snapToGrid w:val="0"/>
        <w:spacing w:line="360" w:lineRule="auto"/>
        <w:rPr>
          <w:rFonts w:hAnsi="宋体"/>
          <w:b/>
        </w:rPr>
      </w:pPr>
      <w:r>
        <w:rPr>
          <w:rFonts w:hint="eastAsia" w:asciiTheme="minorEastAsia" w:hAnsiTheme="minorEastAsia"/>
          <w:b/>
          <w:bCs/>
        </w:rPr>
        <w:t>★</w:t>
      </w:r>
      <w:r>
        <w:rPr>
          <w:rFonts w:hint="eastAsia" w:hAnsi="宋体"/>
          <w:b/>
        </w:rPr>
        <w:t>项目款支付方式：</w:t>
      </w:r>
    </w:p>
    <w:p w14:paraId="28B2B945">
      <w:pPr>
        <w:pStyle w:val="30"/>
        <w:spacing w:line="360" w:lineRule="auto"/>
        <w:ind w:left="420" w:firstLine="0" w:firstLineChars="0"/>
        <w:rPr>
          <w:rFonts w:hint="eastAsia" w:asciiTheme="minorEastAsia" w:hAnsiTheme="minorEastAsia" w:eastAsiaTheme="minorEastAsia" w:cstheme="minorEastAsia"/>
          <w:color w:val="auto"/>
          <w:sz w:val="21"/>
          <w:szCs w:val="21"/>
          <w:highlight w:val="none"/>
          <w:u w:val="none"/>
        </w:rPr>
      </w:pPr>
      <w:bookmarkStart w:id="3" w:name="办理期中结算与支付的时间间隔和要求"/>
      <w:r>
        <w:rPr>
          <w:rFonts w:hint="eastAsia" w:asciiTheme="minorEastAsia" w:hAnsiTheme="minorEastAsia" w:eastAsiaTheme="minorEastAsia" w:cstheme="minorEastAsia"/>
          <w:color w:val="auto"/>
          <w:sz w:val="21"/>
          <w:szCs w:val="21"/>
          <w:highlight w:val="none"/>
          <w:u w:val="none"/>
        </w:rPr>
        <w:t>（1）本合同签订后，发包人向承包人支付中标金额30%的预付款。</w:t>
      </w:r>
    </w:p>
    <w:p w14:paraId="67FAD648">
      <w:pPr>
        <w:pStyle w:val="30"/>
        <w:spacing w:line="360" w:lineRule="auto"/>
        <w:ind w:left="420" w:firstLine="0" w:firstLineChars="0"/>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（2）工程量完成70%，经监理公司书面确认后发包人支付中标金额30%的工程进度款。</w:t>
      </w:r>
    </w:p>
    <w:p w14:paraId="4FD45837">
      <w:pPr>
        <w:pStyle w:val="30"/>
        <w:spacing w:line="360" w:lineRule="auto"/>
        <w:ind w:left="420" w:firstLine="0" w:firstLineChars="0"/>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3）工程竣工及经发包人验收合格后承包人及时向发包人提交竣工结算书，发包人在收到竣工结算书后提报政府指定的审核机构或发包人指定的第三方造价机构予以最终结算复核，发包人收到政府指定的审定机构或发包人指定的第三方造价机构出具的审核报告</w:t>
      </w:r>
      <w:r>
        <w:rPr>
          <w:rFonts w:hint="eastAsia" w:asciiTheme="minorEastAsia" w:hAnsiTheme="minorEastAsia" w:eastAsiaTheme="minorEastAsia" w:cstheme="minorEastAsia"/>
          <w:color w:val="auto"/>
          <w:sz w:val="21"/>
          <w:szCs w:val="21"/>
          <w:highlight w:val="none"/>
          <w:u w:val="none"/>
          <w:lang w:val="en-US" w:eastAsia="zh-CN"/>
        </w:rPr>
        <w:t>后</w:t>
      </w:r>
      <w:r>
        <w:rPr>
          <w:rFonts w:hint="eastAsia" w:asciiTheme="minorEastAsia" w:hAnsiTheme="minorEastAsia" w:eastAsiaTheme="minorEastAsia" w:cstheme="minorEastAsia"/>
          <w:color w:val="auto"/>
          <w:sz w:val="21"/>
          <w:szCs w:val="21"/>
          <w:highlight w:val="none"/>
          <w:u w:val="none"/>
        </w:rPr>
        <w:t>支付至最终审定的工程结算款的97%。剩余工程结算款的3%作为工程质量保证金。</w:t>
      </w:r>
    </w:p>
    <w:p w14:paraId="4A3E8F48">
      <w:pPr>
        <w:pStyle w:val="30"/>
        <w:spacing w:line="360" w:lineRule="auto"/>
        <w:ind w:left="420" w:firstLine="0" w:firstLineChars="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color w:val="auto"/>
          <w:sz w:val="21"/>
          <w:szCs w:val="21"/>
          <w:highlight w:val="none"/>
          <w:u w:val="none"/>
        </w:rPr>
        <w:t>（4）</w:t>
      </w:r>
      <w:r>
        <w:rPr>
          <w:rFonts w:hint="eastAsia" w:asciiTheme="minorEastAsia" w:hAnsiTheme="minorEastAsia" w:eastAsiaTheme="minorEastAsia" w:cstheme="minorEastAsia"/>
          <w:color w:val="auto"/>
          <w:sz w:val="21"/>
          <w:szCs w:val="21"/>
          <w:highlight w:val="none"/>
          <w:u w:val="none"/>
          <w:lang w:val="en-US" w:eastAsia="zh-CN"/>
        </w:rPr>
        <w:t>质保期</w:t>
      </w:r>
      <w:r>
        <w:rPr>
          <w:rFonts w:hint="eastAsia" w:asciiTheme="minorEastAsia" w:hAnsiTheme="minorEastAsia" w:eastAsiaTheme="minorEastAsia" w:cstheme="minorEastAsia"/>
          <w:color w:val="auto"/>
          <w:sz w:val="21"/>
          <w:szCs w:val="21"/>
          <w:highlight w:val="yellow"/>
          <w:u w:val="none"/>
          <w:lang w:val="en-US" w:eastAsia="zh-CN"/>
        </w:rPr>
        <w:t>2</w:t>
      </w:r>
      <w:r>
        <w:rPr>
          <w:rFonts w:hint="eastAsia" w:asciiTheme="minorEastAsia" w:hAnsiTheme="minorEastAsia" w:eastAsiaTheme="minorEastAsia" w:cstheme="minorEastAsia"/>
          <w:color w:val="auto"/>
          <w:sz w:val="21"/>
          <w:szCs w:val="21"/>
          <w:highlight w:val="none"/>
          <w:u w:val="none"/>
        </w:rPr>
        <w:t>年期满且发包人无质量异议后无息支付余下3%的工程质量保证金</w:t>
      </w:r>
      <w:r>
        <w:rPr>
          <w:rFonts w:hint="eastAsia" w:asciiTheme="minorEastAsia" w:hAnsiTheme="minorEastAsia" w:eastAsiaTheme="minorEastAsia" w:cstheme="minorEastAsia"/>
          <w:color w:val="auto"/>
          <w:sz w:val="21"/>
          <w:szCs w:val="21"/>
          <w:highlight w:val="none"/>
          <w:u w:val="none"/>
          <w:lang w:val="en-US" w:eastAsia="zh-CN"/>
        </w:rPr>
        <w:t xml:space="preserve"> </w:t>
      </w:r>
      <w:r>
        <w:rPr>
          <w:rFonts w:hint="eastAsia" w:asciiTheme="minorEastAsia" w:hAnsiTheme="minorEastAsia" w:eastAsiaTheme="minorEastAsia" w:cstheme="minorEastAsia"/>
          <w:color w:val="auto"/>
          <w:sz w:val="21"/>
          <w:szCs w:val="21"/>
          <w:highlight w:val="none"/>
          <w:u w:val="none"/>
        </w:rPr>
        <w:t>。</w:t>
      </w:r>
      <w:bookmarkEnd w:id="3"/>
    </w:p>
    <w:p w14:paraId="742438A9">
      <w:pPr>
        <w:rPr>
          <w:rFonts w:hint="eastAsia"/>
        </w:rPr>
      </w:pPr>
    </w:p>
    <w:p w14:paraId="3F86D2C8">
      <w:pPr>
        <w:rPr>
          <w:rFonts w:hint="eastAsia"/>
        </w:rPr>
      </w:pPr>
    </w:p>
    <w:p w14:paraId="5D930F3B">
      <w:pPr>
        <w:rPr>
          <w:rFonts w:hint="eastAsia"/>
        </w:rPr>
      </w:pPr>
    </w:p>
    <w:p w14:paraId="1847F5FC">
      <w:pPr>
        <w:rPr>
          <w:rFonts w:hint="eastAsia"/>
        </w:rPr>
      </w:pPr>
    </w:p>
    <w:p w14:paraId="7AFDBF15">
      <w:pPr>
        <w:rPr>
          <w:rFonts w:hint="eastAsia"/>
        </w:rPr>
      </w:pPr>
    </w:p>
    <w:p w14:paraId="4894D56E">
      <w:pPr>
        <w:rPr>
          <w:rFonts w:hint="eastAsia"/>
        </w:rPr>
      </w:pPr>
    </w:p>
    <w:p w14:paraId="67FF2ACD">
      <w:pPr>
        <w:rPr>
          <w:rFonts w:hint="eastAsia"/>
        </w:rPr>
      </w:pPr>
    </w:p>
    <w:p w14:paraId="63B1C06D">
      <w:pPr>
        <w:rPr>
          <w:rFonts w:hint="eastAsia"/>
        </w:rPr>
      </w:pPr>
    </w:p>
    <w:p w14:paraId="2F26B701">
      <w:pPr>
        <w:rPr>
          <w:rFonts w:hint="eastAsia"/>
        </w:rPr>
      </w:pPr>
    </w:p>
    <w:p w14:paraId="78E9DF1D">
      <w:pPr>
        <w:rPr>
          <w:rFonts w:hint="eastAsia"/>
        </w:rPr>
      </w:pPr>
    </w:p>
    <w:p w14:paraId="627BBF18">
      <w:pPr>
        <w:rPr>
          <w:rFonts w:hint="eastAsia"/>
        </w:rPr>
      </w:pPr>
    </w:p>
    <w:p w14:paraId="7D81804F">
      <w:pPr>
        <w:rPr>
          <w:rFonts w:hint="eastAsia"/>
        </w:rPr>
      </w:pPr>
    </w:p>
    <w:p w14:paraId="665619EC">
      <w:pPr>
        <w:rPr>
          <w:rFonts w:hint="eastAsia"/>
        </w:rPr>
      </w:pPr>
    </w:p>
    <w:p w14:paraId="386C9AB6">
      <w:pPr>
        <w:rPr>
          <w:rFonts w:hint="eastAsia"/>
        </w:rPr>
      </w:pPr>
    </w:p>
    <w:p w14:paraId="5AAA5B45">
      <w:pPr>
        <w:rPr>
          <w:rFonts w:hint="eastAsia"/>
        </w:rPr>
      </w:pPr>
    </w:p>
    <w:p w14:paraId="36977C24">
      <w:pPr>
        <w:rPr>
          <w:rFonts w:hint="eastAsia"/>
        </w:rPr>
      </w:pPr>
    </w:p>
    <w:p w14:paraId="6675DA8C">
      <w:pPr>
        <w:rPr>
          <w:rFonts w:hint="eastAsia"/>
        </w:rPr>
      </w:pPr>
    </w:p>
    <w:p w14:paraId="36046B6D">
      <w:pPr>
        <w:rPr>
          <w:rFonts w:hint="eastAsia"/>
        </w:rPr>
      </w:pPr>
    </w:p>
    <w:p w14:paraId="672B92D8">
      <w:pPr>
        <w:rPr>
          <w:rFonts w:hint="eastAsia"/>
        </w:rPr>
      </w:pPr>
    </w:p>
    <w:p w14:paraId="1B2982E7">
      <w:pPr>
        <w:rPr>
          <w:rFonts w:hint="eastAsia"/>
        </w:rPr>
      </w:pPr>
    </w:p>
    <w:p w14:paraId="5D6124FE">
      <w:pPr>
        <w:rPr>
          <w:rFonts w:hint="eastAsia"/>
        </w:rPr>
      </w:pPr>
    </w:p>
    <w:p w14:paraId="2AA7A807">
      <w:pPr>
        <w:rPr>
          <w:rFonts w:hint="eastAsia"/>
        </w:rPr>
      </w:pPr>
    </w:p>
    <w:p w14:paraId="5F6117D4">
      <w:pPr>
        <w:rPr>
          <w:rFonts w:hint="eastAsia"/>
        </w:rPr>
      </w:pPr>
    </w:p>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lang w:val="en-US" w:eastAsia="zh-CN"/>
        </w:rPr>
        <w:t xml:space="preserve">  龙华院区手术、急救电梯门禁采购安装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w:t>
      </w:r>
      <w:r>
        <w:rPr>
          <w:rFonts w:hint="eastAsia" w:asciiTheme="minorEastAsia" w:hAnsiTheme="minorEastAsia" w:eastAsiaTheme="minorEastAsia"/>
          <w:b/>
          <w:sz w:val="24"/>
          <w:szCs w:val="24"/>
          <w:u w:val="single"/>
          <w:lang w:val="en-US" w:eastAsia="zh-CN"/>
        </w:rPr>
        <w:t>GC</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2025001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4" w:name="_Toc211243316"/>
      <w:bookmarkStart w:id="5" w:name="_Toc311468376"/>
      <w:r>
        <w:rPr>
          <w:rFonts w:ascii="宋体" w:hAnsi="宋体"/>
          <w:color w:val="000000"/>
          <w:szCs w:val="21"/>
        </w:rPr>
        <w:t>格式2.</w:t>
      </w:r>
      <w:bookmarkEnd w:id="4"/>
      <w:r>
        <w:rPr>
          <w:rFonts w:ascii="宋体" w:hAnsi="宋体"/>
          <w:color w:val="000000"/>
          <w:szCs w:val="21"/>
        </w:rPr>
        <w:t xml:space="preserve"> 开标一览表格式</w:t>
      </w:r>
      <w:bookmarkEnd w:id="5"/>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rFonts w:hint="eastAsia"/>
          <w:color w:val="000000"/>
          <w:szCs w:val="21"/>
          <w:lang w:val="en-US" w:eastAsia="zh-CN"/>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rFonts w:hint="eastAsia"/>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投标</w:t>
            </w:r>
            <w:r>
              <w:rPr>
                <w:rFonts w:hint="eastAsia" w:ascii="宋体" w:hAnsi="宋体"/>
                <w:color w:val="000000"/>
                <w:szCs w:val="21"/>
                <w:lang w:eastAsia="zh-CN"/>
              </w:rPr>
              <w:t>单</w:t>
            </w:r>
            <w:r>
              <w:rPr>
                <w:rFonts w:hint="eastAsia" w:ascii="宋体" w:hAnsi="宋体"/>
                <w:color w:val="000000"/>
                <w:szCs w:val="21"/>
              </w:rPr>
              <w:t>价</w:t>
            </w:r>
            <w:r>
              <w:rPr>
                <w:rFonts w:hint="eastAsia" w:ascii="宋体" w:hAnsi="宋体"/>
                <w:color w:val="000000"/>
                <w:szCs w:val="21"/>
                <w:lang w:eastAsia="zh-CN"/>
              </w:rPr>
              <w:t>（元</w:t>
            </w:r>
            <w:r>
              <w:rPr>
                <w:rFonts w:hint="eastAsia" w:ascii="宋体" w:hAnsi="宋体"/>
                <w:color w:val="000000"/>
                <w:szCs w:val="21"/>
                <w:lang w:val="en-US" w:eastAsia="zh-CN"/>
              </w:rPr>
              <w:t>/月）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bCs/>
                <w:color w:val="000000"/>
                <w:szCs w:val="24"/>
                <w:lang w:val="en-US" w:eastAsia="zh-CN"/>
              </w:rPr>
              <w:t>工期</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top"/>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p>
        </w:tc>
        <w:tc>
          <w:tcPr>
            <w:tcW w:w="714" w:type="pct"/>
            <w:vAlign w:val="top"/>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vAlign w:val="top"/>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6" w:name="_Toc211243319"/>
      <w:bookmarkStart w:id="7" w:name="_Toc311468378"/>
      <w:r>
        <w:rPr>
          <w:rFonts w:ascii="宋体" w:hAnsi="宋体"/>
          <w:color w:val="000000"/>
          <w:szCs w:val="21"/>
        </w:rPr>
        <w:t>格式</w:t>
      </w:r>
      <w:r>
        <w:rPr>
          <w:rFonts w:hint="eastAsia" w:ascii="宋体" w:hAnsi="宋体"/>
          <w:color w:val="000000"/>
          <w:szCs w:val="21"/>
          <w:lang w:val="en-US" w:eastAsia="zh-CN"/>
        </w:rPr>
        <w:t>3</w:t>
      </w:r>
      <w:r>
        <w:rPr>
          <w:rFonts w:ascii="宋体" w:hAnsi="宋体"/>
          <w:color w:val="000000"/>
          <w:szCs w:val="21"/>
        </w:rPr>
        <w:t>.</w:t>
      </w:r>
      <w:bookmarkEnd w:id="6"/>
      <w:r>
        <w:rPr>
          <w:rFonts w:ascii="宋体" w:hAnsi="宋体"/>
          <w:color w:val="000000"/>
          <w:szCs w:val="21"/>
        </w:rPr>
        <w:t xml:space="preserve"> </w:t>
      </w:r>
      <w:bookmarkEnd w:id="7"/>
      <w:r>
        <w:rPr>
          <w:rFonts w:hint="eastAsia" w:ascii="宋体" w:hAnsi="宋体"/>
          <w:color w:val="000000"/>
          <w:szCs w:val="21"/>
        </w:rPr>
        <w:t>技术标投标文件格式</w:t>
      </w:r>
    </w:p>
    <w:p w14:paraId="6A5E4672">
      <w:pPr>
        <w:jc w:val="center"/>
        <w:rPr>
          <w:rFonts w:hint="eastAsia"/>
          <w:b/>
          <w:bCs/>
          <w:sz w:val="32"/>
        </w:rPr>
      </w:pPr>
      <w:r>
        <w:rPr>
          <w:rFonts w:hint="eastAsia"/>
          <w:b/>
          <w:bCs/>
          <w:sz w:val="32"/>
        </w:rPr>
        <w:t>技术标投标文件格式</w:t>
      </w:r>
    </w:p>
    <w:p w14:paraId="475F3FE1">
      <w:pPr>
        <w:jc w:val="center"/>
        <w:rPr>
          <w:rFonts w:hint="eastAsia"/>
          <w:b/>
          <w:bCs/>
        </w:rPr>
      </w:pPr>
    </w:p>
    <w:p w14:paraId="36BBF254">
      <w:pPr>
        <w:spacing w:line="360" w:lineRule="auto"/>
        <w:jc w:val="center"/>
        <w:rPr>
          <w:rFonts w:hint="eastAsia"/>
          <w:b/>
          <w:bCs/>
          <w:sz w:val="28"/>
        </w:rPr>
      </w:pPr>
    </w:p>
    <w:p w14:paraId="74C9A09F">
      <w:pPr>
        <w:numPr>
          <w:ilvl w:val="0"/>
          <w:numId w:val="6"/>
        </w:numPr>
        <w:spacing w:line="360" w:lineRule="auto"/>
        <w:ind w:hanging="11"/>
        <w:rPr>
          <w:rFonts w:hint="eastAsia"/>
          <w:sz w:val="28"/>
        </w:rPr>
      </w:pPr>
      <w:r>
        <w:rPr>
          <w:rFonts w:hint="eastAsia"/>
          <w:sz w:val="28"/>
        </w:rPr>
        <w:t>施工方案</w:t>
      </w:r>
      <w:r>
        <w:rPr>
          <w:rFonts w:hint="eastAsia"/>
          <w:sz w:val="28"/>
          <w:lang w:eastAsia="zh-CN"/>
        </w:rPr>
        <w:t>、</w:t>
      </w:r>
      <w:r>
        <w:rPr>
          <w:rFonts w:hint="eastAsia"/>
          <w:sz w:val="28"/>
          <w:lang w:val="en-US" w:eastAsia="zh-CN"/>
        </w:rPr>
        <w:t>质保维修及保障措施</w:t>
      </w:r>
    </w:p>
    <w:p w14:paraId="77C53A59">
      <w:pPr>
        <w:numPr>
          <w:ilvl w:val="0"/>
          <w:numId w:val="6"/>
        </w:numPr>
        <w:spacing w:line="360" w:lineRule="auto"/>
        <w:ind w:hanging="11"/>
        <w:rPr>
          <w:rFonts w:hint="eastAsia"/>
          <w:sz w:val="28"/>
        </w:rPr>
      </w:pPr>
      <w:r>
        <w:rPr>
          <w:rFonts w:hint="eastAsia"/>
          <w:sz w:val="28"/>
          <w:lang w:val="en-US" w:eastAsia="zh-CN"/>
        </w:rPr>
        <w:t>技术保障措施</w:t>
      </w:r>
    </w:p>
    <w:p w14:paraId="7AF3D335">
      <w:pPr>
        <w:numPr>
          <w:ilvl w:val="0"/>
          <w:numId w:val="6"/>
        </w:numPr>
        <w:spacing w:line="360" w:lineRule="auto"/>
        <w:ind w:hanging="11"/>
        <w:rPr>
          <w:rFonts w:hint="eastAsia"/>
          <w:sz w:val="28"/>
        </w:rPr>
      </w:pPr>
      <w:r>
        <w:rPr>
          <w:rFonts w:hint="eastAsia"/>
          <w:sz w:val="28"/>
          <w:lang w:val="en-US" w:eastAsia="zh-CN"/>
        </w:rPr>
        <w:t>安全保证措施</w:t>
      </w:r>
    </w:p>
    <w:p w14:paraId="4C9241B3">
      <w:pPr>
        <w:numPr>
          <w:ilvl w:val="0"/>
          <w:numId w:val="6"/>
        </w:numPr>
        <w:spacing w:line="360" w:lineRule="auto"/>
        <w:ind w:hanging="11"/>
        <w:rPr>
          <w:rFonts w:hint="eastAsia"/>
          <w:sz w:val="28"/>
        </w:rPr>
      </w:pPr>
      <w:r>
        <w:rPr>
          <w:rFonts w:hint="eastAsia"/>
          <w:sz w:val="28"/>
          <w:lang w:val="en-US" w:eastAsia="zh-CN"/>
        </w:rPr>
        <w:t>劳动力、机械设备（或者场地）、材料投入计划及保障措施</w:t>
      </w:r>
    </w:p>
    <w:p w14:paraId="75256036">
      <w:pPr>
        <w:numPr>
          <w:ilvl w:val="0"/>
          <w:numId w:val="6"/>
        </w:numPr>
        <w:spacing w:line="360" w:lineRule="auto"/>
        <w:ind w:hanging="11"/>
        <w:rPr>
          <w:rFonts w:hint="eastAsia"/>
          <w:sz w:val="28"/>
        </w:rPr>
      </w:pPr>
      <w:r>
        <w:rPr>
          <w:rFonts w:hint="eastAsia"/>
          <w:sz w:val="28"/>
          <w:lang w:val="en-US" w:eastAsia="zh-CN"/>
        </w:rPr>
        <w:t>项目实施的重点、难点分析和解决方案</w:t>
      </w:r>
    </w:p>
    <w:p w14:paraId="71167A84">
      <w:pPr>
        <w:numPr>
          <w:ilvl w:val="0"/>
          <w:numId w:val="6"/>
        </w:numPr>
        <w:spacing w:line="360" w:lineRule="auto"/>
        <w:ind w:hanging="11"/>
        <w:rPr>
          <w:rFonts w:hint="eastAsia"/>
          <w:sz w:val="28"/>
        </w:rPr>
      </w:pPr>
      <w:r>
        <w:rPr>
          <w:rFonts w:hint="eastAsia"/>
          <w:sz w:val="28"/>
        </w:rPr>
        <w:t>招标文件要求的其他资料或投标人认为需要补充的资料</w:t>
      </w:r>
    </w:p>
    <w:p w14:paraId="70640286">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4</w:t>
      </w:r>
      <w:r>
        <w:rPr>
          <w:rFonts w:ascii="宋体" w:hAnsi="宋体"/>
          <w:color w:val="000000"/>
          <w:szCs w:val="21"/>
        </w:rPr>
        <w:t xml:space="preserve"> </w:t>
      </w:r>
    </w:p>
    <w:p w14:paraId="2862B4B5">
      <w:pPr>
        <w:jc w:val="center"/>
        <w:rPr>
          <w:rFonts w:hint="eastAsia"/>
          <w:b/>
          <w:bCs/>
          <w:sz w:val="32"/>
        </w:rPr>
      </w:pPr>
      <w:r>
        <w:rPr>
          <w:rFonts w:hint="eastAsia"/>
          <w:b/>
          <w:bCs/>
          <w:sz w:val="32"/>
        </w:rPr>
        <w:t>商务标投标文件格式</w:t>
      </w:r>
    </w:p>
    <w:p w14:paraId="4A0434A3">
      <w:pPr>
        <w:jc w:val="center"/>
        <w:rPr>
          <w:rFonts w:hint="eastAsia"/>
          <w:b/>
          <w:bCs/>
        </w:rPr>
      </w:pPr>
    </w:p>
    <w:p w14:paraId="5C401BF0">
      <w:pPr>
        <w:rPr>
          <w:rFonts w:hint="eastAsia"/>
          <w:b/>
          <w:bCs/>
          <w:sz w:val="28"/>
        </w:rPr>
      </w:pPr>
    </w:p>
    <w:p w14:paraId="7C7DA1C5">
      <w:pPr>
        <w:numPr>
          <w:ilvl w:val="0"/>
          <w:numId w:val="7"/>
        </w:numPr>
        <w:spacing w:line="480" w:lineRule="auto"/>
        <w:ind w:firstLine="131"/>
        <w:rPr>
          <w:rFonts w:hint="eastAsia"/>
          <w:sz w:val="28"/>
        </w:rPr>
      </w:pPr>
      <w:r>
        <w:rPr>
          <w:rFonts w:hint="eastAsia"/>
          <w:sz w:val="28"/>
        </w:rPr>
        <w:t>工程量清单报价表</w:t>
      </w:r>
    </w:p>
    <w:p w14:paraId="674B1CEE">
      <w:pPr>
        <w:numPr>
          <w:ilvl w:val="0"/>
          <w:numId w:val="7"/>
        </w:numPr>
        <w:spacing w:line="480" w:lineRule="auto"/>
        <w:ind w:firstLine="131"/>
        <w:rPr>
          <w:rFonts w:hint="eastAsia"/>
          <w:sz w:val="28"/>
        </w:rPr>
      </w:pPr>
      <w:r>
        <w:rPr>
          <w:rFonts w:hint="eastAsia"/>
          <w:sz w:val="28"/>
        </w:rPr>
        <w:t>投标人资格情况及通过相关认证情况</w:t>
      </w:r>
    </w:p>
    <w:p w14:paraId="23FFD7C9">
      <w:pPr>
        <w:numPr>
          <w:ilvl w:val="0"/>
          <w:numId w:val="7"/>
        </w:numPr>
        <w:spacing w:line="480" w:lineRule="auto"/>
        <w:ind w:firstLine="131"/>
        <w:rPr>
          <w:rFonts w:hint="eastAsia"/>
          <w:sz w:val="28"/>
        </w:rPr>
      </w:pPr>
      <w:r>
        <w:rPr>
          <w:rFonts w:hint="eastAsia"/>
          <w:sz w:val="28"/>
        </w:rPr>
        <w:t>投标人同类项目业绩情况</w:t>
      </w:r>
    </w:p>
    <w:p w14:paraId="309D3FC5">
      <w:pPr>
        <w:numPr>
          <w:ilvl w:val="0"/>
          <w:numId w:val="7"/>
        </w:numPr>
        <w:spacing w:line="480" w:lineRule="auto"/>
        <w:ind w:firstLine="131"/>
        <w:rPr>
          <w:rFonts w:hint="eastAsia"/>
          <w:sz w:val="28"/>
        </w:rPr>
      </w:pPr>
      <w:r>
        <w:rPr>
          <w:rFonts w:hint="eastAsia"/>
          <w:sz w:val="28"/>
        </w:rPr>
        <w:t>招标文件要求的其他资料或投标人认为需要补充的资料</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8" w:name="_Toc100052473"/>
      <w:bookmarkStart w:id="9" w:name="_Toc10107490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8"/>
      <w:bookmarkEnd w:id="9"/>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2DAB2375">
            <w:pPr>
              <w:rPr>
                <w:rFonts w:hint="eastAsia" w:ascii="宋体" w:hAnsi="宋体"/>
                <w:color w:val="000000"/>
                <w:szCs w:val="21"/>
              </w:rPr>
            </w:pPr>
          </w:p>
        </w:tc>
        <w:tc>
          <w:tcPr>
            <w:tcW w:w="981" w:type="dxa"/>
            <w:vAlign w:val="top"/>
          </w:tcPr>
          <w:p w14:paraId="1A3DBE7B">
            <w:pPr>
              <w:rPr>
                <w:rFonts w:hint="eastAsia" w:ascii="宋体" w:hAnsi="宋体"/>
                <w:color w:val="000000"/>
                <w:szCs w:val="21"/>
              </w:rPr>
            </w:pPr>
          </w:p>
        </w:tc>
        <w:tc>
          <w:tcPr>
            <w:tcW w:w="976" w:type="dxa"/>
            <w:vAlign w:val="top"/>
          </w:tcPr>
          <w:p w14:paraId="06308AD9">
            <w:pPr>
              <w:rPr>
                <w:rFonts w:hint="eastAsia" w:ascii="宋体" w:hAnsi="宋体"/>
                <w:color w:val="000000"/>
                <w:szCs w:val="21"/>
              </w:rPr>
            </w:pPr>
          </w:p>
        </w:tc>
        <w:tc>
          <w:tcPr>
            <w:tcW w:w="1501" w:type="dxa"/>
            <w:vAlign w:val="top"/>
          </w:tcPr>
          <w:p w14:paraId="7825014D">
            <w:pPr>
              <w:rPr>
                <w:rFonts w:hint="eastAsia" w:ascii="宋体" w:hAnsi="宋体"/>
                <w:color w:val="000000"/>
                <w:szCs w:val="21"/>
              </w:rPr>
            </w:pPr>
          </w:p>
        </w:tc>
        <w:tc>
          <w:tcPr>
            <w:tcW w:w="785" w:type="dxa"/>
            <w:vAlign w:val="top"/>
          </w:tcPr>
          <w:p w14:paraId="7F086115">
            <w:pPr>
              <w:rPr>
                <w:rFonts w:hint="eastAsia" w:ascii="宋体" w:hAnsi="宋体"/>
                <w:color w:val="000000"/>
                <w:szCs w:val="21"/>
              </w:rPr>
            </w:pPr>
          </w:p>
        </w:tc>
        <w:tc>
          <w:tcPr>
            <w:tcW w:w="786" w:type="dxa"/>
            <w:vAlign w:val="top"/>
          </w:tcPr>
          <w:p w14:paraId="72E66CC0">
            <w:pPr>
              <w:rPr>
                <w:rFonts w:hint="eastAsia" w:ascii="宋体" w:hAnsi="宋体"/>
                <w:color w:val="000000"/>
                <w:szCs w:val="21"/>
              </w:rPr>
            </w:pPr>
          </w:p>
        </w:tc>
        <w:tc>
          <w:tcPr>
            <w:tcW w:w="1187" w:type="dxa"/>
            <w:vAlign w:val="top"/>
          </w:tcPr>
          <w:p w14:paraId="6D1206A7">
            <w:pPr>
              <w:rPr>
                <w:rFonts w:hint="eastAsia" w:ascii="宋体" w:hAnsi="宋体"/>
                <w:color w:val="000000"/>
                <w:szCs w:val="21"/>
              </w:rPr>
            </w:pPr>
          </w:p>
        </w:tc>
        <w:tc>
          <w:tcPr>
            <w:tcW w:w="1528" w:type="dxa"/>
            <w:vAlign w:val="top"/>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4EE7784">
            <w:pPr>
              <w:rPr>
                <w:rFonts w:hint="eastAsia" w:ascii="宋体" w:hAnsi="宋体"/>
                <w:color w:val="000000"/>
                <w:szCs w:val="21"/>
              </w:rPr>
            </w:pPr>
          </w:p>
        </w:tc>
        <w:tc>
          <w:tcPr>
            <w:tcW w:w="981" w:type="dxa"/>
            <w:vAlign w:val="top"/>
          </w:tcPr>
          <w:p w14:paraId="64568F9B">
            <w:pPr>
              <w:rPr>
                <w:rFonts w:hint="eastAsia" w:ascii="宋体" w:hAnsi="宋体"/>
                <w:color w:val="000000"/>
                <w:szCs w:val="21"/>
              </w:rPr>
            </w:pPr>
          </w:p>
        </w:tc>
        <w:tc>
          <w:tcPr>
            <w:tcW w:w="976" w:type="dxa"/>
            <w:vAlign w:val="top"/>
          </w:tcPr>
          <w:p w14:paraId="1CFB16F7">
            <w:pPr>
              <w:rPr>
                <w:rFonts w:hint="eastAsia" w:ascii="宋体" w:hAnsi="宋体"/>
                <w:color w:val="000000"/>
                <w:szCs w:val="21"/>
              </w:rPr>
            </w:pPr>
          </w:p>
        </w:tc>
        <w:tc>
          <w:tcPr>
            <w:tcW w:w="1501" w:type="dxa"/>
            <w:vAlign w:val="top"/>
          </w:tcPr>
          <w:p w14:paraId="1BE9A6B4">
            <w:pPr>
              <w:rPr>
                <w:rFonts w:hint="eastAsia" w:ascii="宋体" w:hAnsi="宋体"/>
                <w:color w:val="000000"/>
                <w:szCs w:val="21"/>
              </w:rPr>
            </w:pPr>
          </w:p>
        </w:tc>
        <w:tc>
          <w:tcPr>
            <w:tcW w:w="785" w:type="dxa"/>
            <w:vAlign w:val="top"/>
          </w:tcPr>
          <w:p w14:paraId="18D6F397">
            <w:pPr>
              <w:rPr>
                <w:rFonts w:hint="eastAsia" w:ascii="宋体" w:hAnsi="宋体"/>
                <w:color w:val="000000"/>
                <w:szCs w:val="21"/>
              </w:rPr>
            </w:pPr>
          </w:p>
        </w:tc>
        <w:tc>
          <w:tcPr>
            <w:tcW w:w="786" w:type="dxa"/>
            <w:vAlign w:val="top"/>
          </w:tcPr>
          <w:p w14:paraId="484749FF">
            <w:pPr>
              <w:rPr>
                <w:rFonts w:hint="eastAsia" w:ascii="宋体" w:hAnsi="宋体"/>
                <w:color w:val="000000"/>
                <w:szCs w:val="21"/>
              </w:rPr>
            </w:pPr>
          </w:p>
        </w:tc>
        <w:tc>
          <w:tcPr>
            <w:tcW w:w="1187" w:type="dxa"/>
            <w:vAlign w:val="top"/>
          </w:tcPr>
          <w:p w14:paraId="243CB90F">
            <w:pPr>
              <w:rPr>
                <w:rFonts w:hint="eastAsia" w:ascii="宋体" w:hAnsi="宋体"/>
                <w:color w:val="000000"/>
                <w:szCs w:val="21"/>
              </w:rPr>
            </w:pPr>
          </w:p>
        </w:tc>
        <w:tc>
          <w:tcPr>
            <w:tcW w:w="1528" w:type="dxa"/>
            <w:vAlign w:val="top"/>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0" w:name="_Toc73521707"/>
      <w:bookmarkStart w:id="11" w:name="_Toc73521619"/>
      <w:bookmarkStart w:id="12" w:name="_Toc101074904"/>
      <w:bookmarkStart w:id="13" w:name="_Toc100052474"/>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10"/>
      <w:bookmarkEnd w:id="11"/>
      <w:bookmarkEnd w:id="12"/>
      <w:bookmarkEnd w:id="13"/>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4" w:name="_Toc100052475"/>
      <w:bookmarkStart w:id="15" w:name="_Toc73521620"/>
      <w:bookmarkStart w:id="16" w:name="_Toc101074905"/>
      <w:bookmarkStart w:id="17" w:name="_Toc73521708"/>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4"/>
      <w:bookmarkEnd w:id="15"/>
      <w:bookmarkEnd w:id="16"/>
      <w:bookmarkEnd w:id="17"/>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8" w:name="_Toc201719118"/>
      <w:bookmarkStart w:id="19" w:name="_Toc201401658"/>
      <w:bookmarkStart w:id="20" w:name="_Toc201997946"/>
      <w:bookmarkStart w:id="21" w:name="_Toc201743116"/>
      <w:bookmarkStart w:id="22" w:name="_Toc201742861"/>
    </w:p>
    <w:p w14:paraId="18DE14E9">
      <w:pPr>
        <w:spacing w:line="300" w:lineRule="auto"/>
        <w:rPr>
          <w:rFonts w:hint="eastAsia" w:ascii="宋体" w:hAnsi="宋体"/>
          <w:color w:val="000000"/>
          <w:szCs w:val="21"/>
        </w:rPr>
      </w:pPr>
      <w:r>
        <w:rPr>
          <w:rFonts w:hint="eastAsia" w:ascii="宋体" w:hAnsi="宋体"/>
          <w:color w:val="000000"/>
          <w:szCs w:val="21"/>
        </w:rPr>
        <w:t>格式</w:t>
      </w:r>
      <w:r>
        <w:rPr>
          <w:rFonts w:hint="eastAsia" w:ascii="宋体" w:hAnsi="宋体"/>
          <w:color w:val="000000"/>
          <w:szCs w:val="21"/>
          <w:lang w:val="en-US" w:eastAsia="zh-CN"/>
        </w:rPr>
        <w:t>6</w:t>
      </w:r>
      <w:r>
        <w:rPr>
          <w:rFonts w:hint="eastAsia" w:ascii="宋体" w:hAnsi="宋体"/>
          <w:color w:val="000000"/>
          <w:szCs w:val="21"/>
        </w:rPr>
        <w:t>：法人授权书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8"/>
    <w:bookmarkEnd w:id="19"/>
    <w:bookmarkEnd w:id="20"/>
    <w:bookmarkEnd w:id="21"/>
    <w:bookmarkEnd w:id="22"/>
    <w:p w14:paraId="69D53534">
      <w:pPr>
        <w:rPr>
          <w:rFonts w:hint="eastAsia" w:ascii="宋体" w:hAnsi="宋体"/>
          <w:bCs/>
          <w:sz w:val="24"/>
          <w:szCs w:val="24"/>
        </w:rPr>
      </w:pPr>
      <w:r>
        <w:rPr>
          <w:rFonts w:hint="eastAsia" w:ascii="宋体" w:hAnsi="宋体"/>
          <w:bCs/>
          <w:sz w:val="24"/>
          <w:szCs w:val="24"/>
        </w:rPr>
        <w:t>格式</w:t>
      </w:r>
      <w:r>
        <w:rPr>
          <w:rFonts w:hint="eastAsia" w:ascii="宋体" w:hAnsi="宋体"/>
          <w:bCs/>
          <w:sz w:val="24"/>
          <w:szCs w:val="24"/>
          <w:lang w:val="en-US" w:eastAsia="zh-CN"/>
        </w:rPr>
        <w:t>7</w:t>
      </w:r>
      <w:r>
        <w:rPr>
          <w:rFonts w:hint="eastAsia" w:ascii="宋体" w:hAnsi="宋体"/>
          <w:bCs/>
          <w:sz w:val="24"/>
          <w:szCs w:val="24"/>
        </w:rPr>
        <w:t>：诚信承诺函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8"/>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8"/>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8"/>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8"/>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8"/>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8"/>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8"/>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8"/>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8"/>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8"/>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UI Emoji">
    <w:panose1 w:val="020B0502040204020203"/>
    <w:charset w:val="00"/>
    <w:family w:val="auto"/>
    <w:pitch w:val="default"/>
    <w:sig w:usb0="00000001" w:usb1="02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5521" w:y="-50"/>
      <w:rPr>
        <w:rStyle w:val="20"/>
      </w:rPr>
    </w:pPr>
    <w:r>
      <w:fldChar w:fldCharType="begin"/>
    </w:r>
    <w:r>
      <w:rPr>
        <w:rStyle w:val="20"/>
      </w:rPr>
      <w:instrText xml:space="preserve">PAGE  </w:instrText>
    </w:r>
    <w:r>
      <w:fldChar w:fldCharType="separate"/>
    </w:r>
    <w:r>
      <w:rPr>
        <w:rStyle w:val="20"/>
      </w:rPr>
      <w:t>14</w:t>
    </w:r>
    <w:r>
      <w:fldChar w:fldCharType="end"/>
    </w:r>
  </w:p>
  <w:p w14:paraId="52B4CE8A">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006744"/>
    <w:multiLevelType w:val="multilevel"/>
    <w:tmpl w:val="2300674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2356AF"/>
    <w:multiLevelType w:val="multilevel"/>
    <w:tmpl w:val="562356AF"/>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AB754DF"/>
    <w:multiLevelType w:val="multilevel"/>
    <w:tmpl w:val="5AB754DF"/>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4"/>
  </w:num>
  <w:num w:numId="4">
    <w:abstractNumId w:val="3"/>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7D52C2C"/>
    <w:rsid w:val="18A962E7"/>
    <w:rsid w:val="18B20DA1"/>
    <w:rsid w:val="197C450A"/>
    <w:rsid w:val="19931B20"/>
    <w:rsid w:val="1A154751"/>
    <w:rsid w:val="1A580152"/>
    <w:rsid w:val="1B733CDF"/>
    <w:rsid w:val="1BDC6183"/>
    <w:rsid w:val="1C06547A"/>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4E47FD8"/>
    <w:rsid w:val="251C3613"/>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8AF11D4"/>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4F8121CC"/>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1907A1"/>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937F81"/>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Char"/>
    <w:basedOn w:val="18"/>
    <w:link w:val="4"/>
    <w:autoRedefine/>
    <w:qFormat/>
    <w:uiPriority w:val="0"/>
    <w:rPr>
      <w:b/>
      <w:kern w:val="2"/>
      <w:sz w:val="24"/>
    </w:rPr>
  </w:style>
  <w:style w:type="character" w:customStyle="1" w:styleId="24">
    <w:name w:val="纯文本 Char"/>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Char"/>
    <w:basedOn w:val="18"/>
    <w:link w:val="12"/>
    <w:autoRedefine/>
    <w:qFormat/>
    <w:uiPriority w:val="0"/>
    <w:rPr>
      <w:kern w:val="2"/>
      <w:sz w:val="18"/>
      <w:szCs w:val="18"/>
    </w:rPr>
  </w:style>
  <w:style w:type="character" w:customStyle="1" w:styleId="28">
    <w:name w:val="页脚 Char"/>
    <w:basedOn w:val="18"/>
    <w:link w:val="11"/>
    <w:autoRedefine/>
    <w:qFormat/>
    <w:uiPriority w:val="99"/>
    <w:rPr>
      <w:kern w:val="2"/>
      <w:sz w:val="18"/>
      <w:szCs w:val="18"/>
    </w:rPr>
  </w:style>
  <w:style w:type="character" w:customStyle="1" w:styleId="29">
    <w:name w:val="标题 2 Char"/>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List Paragraph"/>
    <w:basedOn w:val="1"/>
    <w:autoRedefine/>
    <w:qFormat/>
    <w:uiPriority w:val="34"/>
    <w:pPr>
      <w:ind w:firstLine="420" w:firstLineChars="200"/>
    </w:pPr>
    <w:rPr>
      <w:rFonts w:ascii="Calibri" w:hAnsi="Calibri"/>
      <w:szCs w:val="22"/>
    </w:rPr>
  </w:style>
  <w:style w:type="character" w:customStyle="1" w:styleId="31">
    <w:name w:val="标题 1 Char"/>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eastAsia="宋体" w:cs="宋体"/>
      <w:sz w:val="21"/>
      <w:szCs w:val="21"/>
      <w:lang w:val="en-US" w:eastAsia="en-US" w:bidi="ar-SA"/>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6">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4586</Words>
  <Characters>4665</Characters>
  <Lines>48</Lines>
  <Paragraphs>13</Paragraphs>
  <TotalTime>10</TotalTime>
  <ScaleCrop>false</ScaleCrop>
  <LinksUpToDate>false</LinksUpToDate>
  <CharactersWithSpaces>5307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2025-11-21T09:22:33Z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0112B537B1DB43509CD8BB37399ED439_13</vt:lpwstr>
  </property>
  <property fmtid="{D5CDD505-2E9C-101B-9397-08002B2CF9AE}" pid="4" name="KSOTemplateDocerSaveRecord">
    <vt:lpwstr>eyJoZGlkIjoiYmQyMzEwZDg0NDc1ZTBhYzYyYWY0NjAzMTllZmQ3Y2EiLCJ1c2VySWQiOiI0MTA5ODU3OTQifQ==</vt:lpwstr>
  </property>
</Properties>
</file>