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用户需求书</w:t>
      </w:r>
    </w:p>
    <w:p w14:paraId="19CF214B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项目名称：全自动凝血分析仪</w:t>
      </w:r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采购预算：15万元</w:t>
      </w:r>
    </w:p>
    <w:p w14:paraId="410E9729"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32"/>
          <w:szCs w:val="32"/>
          <w:lang w:val="en-US" w:eastAsia="zh-CN" w:bidi="ar-SA"/>
        </w:rPr>
        <w:t>采购数量：1台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产地：国产</w:t>
      </w:r>
    </w:p>
    <w:p w14:paraId="0B335638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参数要求：</w:t>
      </w:r>
    </w:p>
    <w:tbl>
      <w:tblPr>
        <w:tblStyle w:val="3"/>
        <w:tblW w:w="9480" w:type="dxa"/>
        <w:tblCellSpacing w:w="0" w:type="dxa"/>
        <w:tblInd w:w="-53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8357"/>
      </w:tblGrid>
      <w:tr w14:paraId="0E5978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EADC80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11BFF7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32"/>
                <w:szCs w:val="32"/>
                <w:lang w:eastAsia="zh-CN"/>
              </w:rPr>
              <w:t>技术需求</w:t>
            </w:r>
          </w:p>
        </w:tc>
      </w:tr>
      <w:tr w14:paraId="25F282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95B0257">
            <w:pPr>
              <w:widowControl/>
              <w:spacing w:before="100" w:beforeAutospacing="1" w:after="100" w:afterAutospacing="1"/>
              <w:ind w:firstLine="640" w:firstLineChars="200"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7BD491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检测原理：≥3种，可提供凝固法、发色底物法、免疫比浊法等三种检测方法。</w:t>
            </w:r>
          </w:p>
          <w:p w14:paraId="341C37E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凝固法检测采用磁珠法检测系统，可排除黄疸、乳糜/脂血、溶血（HIL）等临床异常标本带来的干扰。</w:t>
            </w:r>
          </w:p>
        </w:tc>
      </w:tr>
      <w:tr w14:paraId="79DDD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BBB6E3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8C0D5A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单台全自动凝血分析仪处理能力PT ≥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测试/小时</w:t>
            </w:r>
          </w:p>
        </w:tc>
      </w:tr>
      <w:tr w14:paraId="04B7D8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0EBDB2D">
            <w:pPr>
              <w:widowControl/>
              <w:spacing w:before="100" w:beforeAutospacing="1" w:after="100" w:afterAutospacing="1"/>
              <w:ind w:firstLine="640" w:firstLineChars="200"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8FEF8D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进样方式：样本架进样，可连续进样，可装载多种规格的样本管。</w:t>
            </w:r>
          </w:p>
        </w:tc>
      </w:tr>
      <w:tr w14:paraId="2C3966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2E99A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86D689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样本位置：同时在线样本 ≥150个，检测完样本可在机存储，便于快速复测及增加检测项目。</w:t>
            </w:r>
          </w:p>
        </w:tc>
      </w:tr>
      <w:tr w14:paraId="4DE2B8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C9FBAD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E0357E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样本条码智能管理：采用旋转式条码扫描，样本随意放置，无需人工干预，提高扫描效率，具备样本信息自动识别功能。</w:t>
            </w:r>
          </w:p>
        </w:tc>
      </w:tr>
      <w:tr w14:paraId="0E8BC9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2F1BEF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DF22C7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急诊样本管理：具备专用急诊通道，急诊样本可随时插入。且任意在机样本可加急设置为急诊样本，优先处理，急诊样本位 ≥30个。</w:t>
            </w:r>
          </w:p>
        </w:tc>
      </w:tr>
      <w:tr w14:paraId="7DC840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BB5545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03CD54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试剂位置：≥60个，均为冷藏位，具备微量模式和搅拌功能。试剂可任意放置，可自动识别试剂信息。</w:t>
            </w:r>
          </w:p>
        </w:tc>
      </w:tr>
      <w:tr w14:paraId="4D7D4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CB414F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F7EF47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检测项目：凝血七项（PT, APTT, Fib, TT, D-Dimer, FDP, AT）具备仪器原厂配套试剂，具备NMPA认证。</w:t>
            </w:r>
          </w:p>
        </w:tc>
      </w:tr>
      <w:tr w14:paraId="0F3E7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4E325E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4E15B7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特殊检测项目：可开展PC、PS、LA，外源性凝血因子：II、V、VII、X，内源性凝血因子：VIII、IX、XI、XII，vWF、抗Xa、纤溶酶原等，原厂配套试剂，具备NMPA认证。</w:t>
            </w:r>
          </w:p>
        </w:tc>
      </w:tr>
      <w:tr w14:paraId="6E23B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922BAE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6306E6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定标系统：具备预定标和自定标两种定标模式，预定标模式节约试剂和定标品，节省操作时间。对同一项目，仪器可同时保存≥2条定标曲线。</w:t>
            </w:r>
          </w:p>
        </w:tc>
      </w:tr>
      <w:tr w14:paraId="5A66E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3F0085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C48659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分析前质量控制：可提供完整的样本分析前质量信息，包括HIL检测和样本量检测等。</w:t>
            </w:r>
          </w:p>
        </w:tc>
      </w:tr>
      <w:tr w14:paraId="3AA112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C9B09E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43AA1C9">
            <w:pPr>
              <w:pStyle w:val="6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反应杯：单次装载≥1000个，可导入单个反应杯，一个测试只需一个反应杯，无需分装，不浪费。</w:t>
            </w:r>
          </w:p>
        </w:tc>
      </w:tr>
      <w:tr w14:paraId="3621D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8A3ED2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AABB7F2">
            <w:pPr>
              <w:pStyle w:val="6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D-二聚体检测可用于VTE的排除，阴性预测值（NPV）≥99%；可提供用于VTE排除诊断的多中心临床验证证明材料，需要符合行标要求，需满足多中心、三个月随访、影像学确诊等要求。</w:t>
            </w:r>
          </w:p>
        </w:tc>
      </w:tr>
      <w:tr w14:paraId="41DC1B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C0CFCE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48A36009">
            <w:pPr>
              <w:pStyle w:val="6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国家卫健委临检中心室间质评（EQA）实验结果组中的单组参与实验室家数≥4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0家，参加的室间质评项目包含常规四项、DD、FDP、凝血因子、抗Xa、vWF和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抗凝蛋白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(ATIII、PC、PS)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项目。</w:t>
            </w:r>
          </w:p>
        </w:tc>
      </w:tr>
      <w:tr w14:paraId="0E5CA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D97A2C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4E942350">
            <w:pPr>
              <w:spacing w:line="24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可提供X－bar/L-J质控管理、多种Westgard 质控规则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，可实现实时室内质控室间比对，可提供原厂国际室间质评项目，包括凝血常规、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DD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、FDP、凝血因子、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抗凝蛋白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(ATIII、PC、PS)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等。</w:t>
            </w:r>
          </w:p>
        </w:tc>
      </w:tr>
      <w:tr w14:paraId="3D615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48C99A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405F216">
            <w:pPr>
              <w:spacing w:line="24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可连接至中间件系统，实现信息的智能化、集成化管理。</w:t>
            </w:r>
          </w:p>
        </w:tc>
      </w:tr>
      <w:tr w14:paraId="398F35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108FBB5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02BAC944">
            <w:pPr>
              <w:spacing w:line="24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  <w:t>可拓展至全自动凝血流水线，可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highlight w:val="none"/>
              </w:rPr>
              <w:t>与多种实验室自动化系统兼容。</w:t>
            </w:r>
          </w:p>
        </w:tc>
      </w:tr>
      <w:tr w14:paraId="7A954B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17CA5E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3FA98B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32"/>
                <w:szCs w:val="32"/>
                <w:highlight w:val="none"/>
                <w:lang w:eastAsia="zh-CN"/>
              </w:rPr>
              <w:t>商务需求</w:t>
            </w:r>
          </w:p>
        </w:tc>
      </w:tr>
      <w:tr w14:paraId="78669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5A724F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★1</w:t>
            </w:r>
          </w:p>
        </w:tc>
        <w:tc>
          <w:tcPr>
            <w:tcW w:w="8357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863898C"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整机保修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  <w:t>5年</w:t>
            </w:r>
          </w:p>
        </w:tc>
      </w:tr>
    </w:tbl>
    <w:p w14:paraId="527AEECF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6B9AFC5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专机配套耗材：</w:t>
      </w:r>
    </w:p>
    <w:p w14:paraId="382DB4C3">
      <w:pPr>
        <w:numPr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3"/>
        <w:tblW w:w="9438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717"/>
        <w:gridCol w:w="3469"/>
      </w:tblGrid>
      <w:tr w14:paraId="7980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2" w:type="dxa"/>
            <w:noWrap w:val="0"/>
            <w:vAlign w:val="center"/>
          </w:tcPr>
          <w:p w14:paraId="385FA3DC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序号</w:t>
            </w:r>
          </w:p>
        </w:tc>
        <w:tc>
          <w:tcPr>
            <w:tcW w:w="4717" w:type="dxa"/>
            <w:noWrap w:val="0"/>
            <w:vAlign w:val="center"/>
          </w:tcPr>
          <w:p w14:paraId="672C729B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名称</w:t>
            </w:r>
          </w:p>
        </w:tc>
        <w:tc>
          <w:tcPr>
            <w:tcW w:w="3469" w:type="dxa"/>
            <w:noWrap w:val="0"/>
            <w:vAlign w:val="center"/>
          </w:tcPr>
          <w:p w14:paraId="537023C1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单位</w:t>
            </w:r>
          </w:p>
        </w:tc>
      </w:tr>
      <w:tr w14:paraId="3A90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52" w:type="dxa"/>
            <w:noWrap w:val="0"/>
            <w:vAlign w:val="center"/>
          </w:tcPr>
          <w:p w14:paraId="405A17B2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1</w:t>
            </w:r>
          </w:p>
        </w:tc>
        <w:tc>
          <w:tcPr>
            <w:tcW w:w="4717" w:type="dxa"/>
            <w:noWrap w:val="0"/>
            <w:vAlign w:val="center"/>
          </w:tcPr>
          <w:p w14:paraId="43AA7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深度清洗液  </w:t>
            </w:r>
          </w:p>
        </w:tc>
        <w:tc>
          <w:tcPr>
            <w:tcW w:w="3469" w:type="dxa"/>
            <w:noWrap w:val="0"/>
            <w:vAlign w:val="center"/>
          </w:tcPr>
          <w:p w14:paraId="3F6C391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  <w:woUserID w:val="1"/>
              </w:rPr>
              <w:t>人份</w:t>
            </w:r>
          </w:p>
        </w:tc>
      </w:tr>
      <w:tr w14:paraId="56C2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52" w:type="dxa"/>
            <w:noWrap w:val="0"/>
            <w:vAlign w:val="center"/>
          </w:tcPr>
          <w:p w14:paraId="7CA17EA4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2</w:t>
            </w:r>
          </w:p>
        </w:tc>
        <w:tc>
          <w:tcPr>
            <w:tcW w:w="4717" w:type="dxa"/>
            <w:noWrap w:val="0"/>
            <w:vAlign w:val="center"/>
          </w:tcPr>
          <w:p w14:paraId="0A3D6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清洗液   </w:t>
            </w:r>
          </w:p>
        </w:tc>
        <w:tc>
          <w:tcPr>
            <w:tcW w:w="3469" w:type="dxa"/>
            <w:noWrap w:val="0"/>
            <w:vAlign w:val="center"/>
          </w:tcPr>
          <w:p w14:paraId="53D4671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  <w:woUserID w:val="1"/>
              </w:rPr>
              <w:t>人份</w:t>
            </w:r>
          </w:p>
        </w:tc>
      </w:tr>
      <w:tr w14:paraId="7288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52" w:type="dxa"/>
            <w:noWrap w:val="0"/>
            <w:vAlign w:val="center"/>
          </w:tcPr>
          <w:p w14:paraId="4EA2819B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3</w:t>
            </w:r>
          </w:p>
        </w:tc>
        <w:tc>
          <w:tcPr>
            <w:tcW w:w="4717" w:type="dxa"/>
            <w:noWrap w:val="0"/>
            <w:vAlign w:val="center"/>
          </w:tcPr>
          <w:p w14:paraId="40B1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一次性塑料反应杯</w:t>
            </w:r>
          </w:p>
        </w:tc>
        <w:tc>
          <w:tcPr>
            <w:tcW w:w="3469" w:type="dxa"/>
            <w:shd w:val="clear" w:color="auto" w:fill="auto"/>
            <w:noWrap w:val="0"/>
            <w:vAlign w:val="center"/>
          </w:tcPr>
          <w:p w14:paraId="7501664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32"/>
                <w:szCs w:val="32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32"/>
                <w:szCs w:val="32"/>
                <w:lang w:eastAsia="zh-CN" w:bidi="ar-SA"/>
                <w:woUserID w:val="1"/>
              </w:rPr>
              <w:t>人份</w:t>
            </w:r>
          </w:p>
        </w:tc>
      </w:tr>
      <w:tr w14:paraId="0291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52" w:type="dxa"/>
            <w:noWrap w:val="0"/>
            <w:vAlign w:val="center"/>
          </w:tcPr>
          <w:p w14:paraId="30AFEBB4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717" w:type="dxa"/>
            <w:shd w:val="clear" w:color="auto" w:fill="auto"/>
            <w:noWrap w:val="0"/>
            <w:vAlign w:val="center"/>
          </w:tcPr>
          <w:p w14:paraId="1B3FF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氯化钙试剂盒</w:t>
            </w:r>
          </w:p>
        </w:tc>
        <w:tc>
          <w:tcPr>
            <w:tcW w:w="3469" w:type="dxa"/>
            <w:shd w:val="clear" w:color="auto" w:fill="auto"/>
            <w:noWrap w:val="0"/>
            <w:vAlign w:val="center"/>
          </w:tcPr>
          <w:p w14:paraId="0E374E9A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  <w:t>人份</w:t>
            </w:r>
          </w:p>
        </w:tc>
      </w:tr>
      <w:tr w14:paraId="0979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52" w:type="dxa"/>
            <w:noWrap w:val="0"/>
            <w:vAlign w:val="center"/>
          </w:tcPr>
          <w:p w14:paraId="09F128D4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717" w:type="dxa"/>
            <w:shd w:val="clear" w:color="auto" w:fill="auto"/>
            <w:noWrap w:val="0"/>
            <w:vAlign w:val="center"/>
          </w:tcPr>
          <w:p w14:paraId="34094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凝血分析用稀释液</w:t>
            </w:r>
          </w:p>
        </w:tc>
        <w:tc>
          <w:tcPr>
            <w:tcW w:w="3469" w:type="dxa"/>
            <w:shd w:val="clear" w:color="auto" w:fill="auto"/>
            <w:noWrap w:val="0"/>
            <w:vAlign w:val="center"/>
          </w:tcPr>
          <w:p w14:paraId="1214D30D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  <w:t>人份</w:t>
            </w:r>
          </w:p>
        </w:tc>
      </w:tr>
    </w:tbl>
    <w:p w14:paraId="2AA614F7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及开展以下项目所需专机配套耗材：</w:t>
      </w:r>
    </w:p>
    <w:tbl>
      <w:tblPr>
        <w:tblStyle w:val="3"/>
        <w:tblW w:w="936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747"/>
        <w:gridCol w:w="1476"/>
      </w:tblGrid>
      <w:tr w14:paraId="1877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40" w:type="dxa"/>
            <w:noWrap w:val="0"/>
            <w:vAlign w:val="center"/>
          </w:tcPr>
          <w:p w14:paraId="348D4A48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序号</w:t>
            </w:r>
          </w:p>
        </w:tc>
        <w:tc>
          <w:tcPr>
            <w:tcW w:w="6747" w:type="dxa"/>
            <w:noWrap w:val="0"/>
            <w:vAlign w:val="center"/>
          </w:tcPr>
          <w:p w14:paraId="4CD8EF8A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名称</w:t>
            </w:r>
          </w:p>
        </w:tc>
        <w:tc>
          <w:tcPr>
            <w:tcW w:w="1476" w:type="dxa"/>
            <w:noWrap w:val="0"/>
            <w:vAlign w:val="center"/>
          </w:tcPr>
          <w:p w14:paraId="2E8956D0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单位</w:t>
            </w:r>
          </w:p>
        </w:tc>
      </w:tr>
      <w:tr w14:paraId="0EFD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0" w:type="dxa"/>
            <w:noWrap w:val="0"/>
            <w:vAlign w:val="center"/>
          </w:tcPr>
          <w:p w14:paraId="32F31B92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46416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凝血酶原时间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477A9C0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  <w:woUserID w:val="1"/>
              </w:rPr>
              <w:t>人份</w:t>
            </w:r>
          </w:p>
        </w:tc>
      </w:tr>
      <w:tr w14:paraId="0CE8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noWrap w:val="0"/>
            <w:vAlign w:val="center"/>
          </w:tcPr>
          <w:p w14:paraId="2B878D6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4A3D6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活化部分凝血活酶时间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APTT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05AA83B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43BB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6B7DFEF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3B12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纤维蛋白原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FIB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  <w:bookmarkStart w:id="0" w:name="_GoBack"/>
            <w:bookmarkEnd w:id="0"/>
          </w:p>
        </w:tc>
        <w:tc>
          <w:tcPr>
            <w:tcW w:w="1476" w:type="dxa"/>
            <w:noWrap w:val="0"/>
            <w:vAlign w:val="center"/>
          </w:tcPr>
          <w:p w14:paraId="0CD207F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1BFA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36B53C0D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481D1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凝血酶时间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41EBEBA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5E66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5805DB10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4A658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II因子活性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474773F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103A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2316AB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75537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V因子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（FV）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4BBF51F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237E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550F377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51DB3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VII因子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（FV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）检测（凝固法）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79C8B20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103D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12C211BA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41A7C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X因子活性（F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68F6D5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7D28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23F53B9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40C99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VIII因子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（FVIII）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40FDCCF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2564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773E41C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2AF84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IX因子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（FIX）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6CEDED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28D7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60476892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099D4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XI因子活性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（FXI）检测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1555D8C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3554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7C97F42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30CA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XII因子活性测定试剂盒（凝固法）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32F29FE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65D2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6E57F634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3F929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纤维蛋白单体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检测FM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（免疫比浊法）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1B94347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7FD6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3C64C346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2995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D-二聚体定量检测（免疫比浊法）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46FCE92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07A0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71DF893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71C29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纤维蛋白/纤维蛋白原降解产物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检测FDP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（免疫比浊法）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18DE4DA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461A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62E65193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noWrap w:val="0"/>
            <w:vAlign w:val="center"/>
          </w:tcPr>
          <w:p w14:paraId="5DD3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抗Xa活性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（发色底物法）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noWrap w:val="0"/>
            <w:vAlign w:val="center"/>
          </w:tcPr>
          <w:p w14:paraId="50E36E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woUserID w:val="1"/>
              </w:rPr>
              <w:t>人份</w:t>
            </w:r>
          </w:p>
        </w:tc>
      </w:tr>
      <w:tr w14:paraId="57B8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3844E3CA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shd w:val="clear" w:color="auto" w:fill="auto"/>
            <w:noWrap w:val="0"/>
            <w:vAlign w:val="center"/>
          </w:tcPr>
          <w:p w14:paraId="210FD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抗凝血酶III（AT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III）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（发色底物法）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2A907D7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  <w:t>人份</w:t>
            </w:r>
          </w:p>
        </w:tc>
      </w:tr>
      <w:tr w14:paraId="150F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0C05D9FA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shd w:val="clear" w:color="auto" w:fill="auto"/>
            <w:noWrap w:val="0"/>
            <w:vAlign w:val="center"/>
          </w:tcPr>
          <w:p w14:paraId="0B44C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蛋白C活性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（发色底物法）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CD2253C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  <w:t>人份</w:t>
            </w:r>
          </w:p>
        </w:tc>
      </w:tr>
      <w:tr w14:paraId="600B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4BD01FCD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shd w:val="clear" w:color="auto" w:fill="auto"/>
            <w:noWrap w:val="0"/>
            <w:vAlign w:val="center"/>
          </w:tcPr>
          <w:p w14:paraId="586C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蛋白S活性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702D935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  <w:t>人份</w:t>
            </w:r>
          </w:p>
        </w:tc>
      </w:tr>
      <w:tr w14:paraId="0C85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5742EEE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shd w:val="clear" w:color="auto" w:fill="auto"/>
            <w:noWrap w:val="0"/>
            <w:vAlign w:val="center"/>
          </w:tcPr>
          <w:p w14:paraId="3CB3A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狼疮抗凝物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（凝固法）（筛选）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DC7F5F0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  <w:t>人份</w:t>
            </w:r>
          </w:p>
        </w:tc>
      </w:tr>
      <w:tr w14:paraId="5FC7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752BBB9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shd w:val="clear" w:color="auto" w:fill="auto"/>
            <w:noWrap w:val="0"/>
            <w:vAlign w:val="center"/>
          </w:tcPr>
          <w:p w14:paraId="68625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狼疮抗凝物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（凝固法）（确认）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A4BD8AF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 w:bidi="ar-SA"/>
                <w:woUserID w:val="1"/>
              </w:rPr>
              <w:t>人份</w:t>
            </w:r>
          </w:p>
        </w:tc>
      </w:tr>
      <w:tr w14:paraId="0BA3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noWrap w:val="0"/>
            <w:vAlign w:val="center"/>
          </w:tcPr>
          <w:p w14:paraId="13AAFE8A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747" w:type="dxa"/>
            <w:shd w:val="clear" w:color="auto" w:fill="auto"/>
            <w:noWrap w:val="0"/>
            <w:vAlign w:val="center"/>
          </w:tcPr>
          <w:p w14:paraId="4E002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血管性血友病因子抗原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（免疫比浊法）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配套试剂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3A60B73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highlight w:val="none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highlight w:val="none"/>
                <w:lang w:eastAsia="zh-CN" w:bidi="ar-SA"/>
                <w:woUserID w:val="1"/>
              </w:rPr>
              <w:t>人份</w:t>
            </w:r>
          </w:p>
        </w:tc>
      </w:tr>
    </w:tbl>
    <w:p w14:paraId="56DD9FDE"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25E8D"/>
    <w:rsid w:val="56225E8D"/>
    <w:rsid w:val="6CA1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351</Words>
  <Characters>380</Characters>
  <Lines>0</Lines>
  <Paragraphs>0</Paragraphs>
  <TotalTime>3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2025-10-10T07:45:00Z</dcterms:created>
  <dc:creator>茜茜 ✨</dc:creator>
  <cp:lastModifiedBy>茜茜 ✨</cp:lastModifiedBy>
  <dcterms:modified xsi:type="dcterms:W3CDTF">2025-11-19T01:15:39Z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2EC63AB60B40411DBF48C06B1F968FF9_11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