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3739C">
      <w:pPr>
        <w:jc w:val="center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用户需求书</w:t>
      </w:r>
    </w:p>
    <w:p w14:paraId="19CF214B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项目名称：落地高速离心机</w:t>
      </w:r>
    </w:p>
    <w:p w14:paraId="3FC42F91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采购预算：70万元</w:t>
      </w:r>
    </w:p>
    <w:p w14:paraId="410E9729">
      <w:pPr>
        <w:pStyle w:val="4"/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spacing w:val="0"/>
          <w:kern w:val="2"/>
          <w:sz w:val="21"/>
          <w:szCs w:val="24"/>
          <w:lang w:val="en-US" w:eastAsia="zh-CN" w:bidi="ar-SA"/>
        </w:rPr>
        <w:t>采购数量：1台</w:t>
      </w:r>
    </w:p>
    <w:p w14:paraId="4193B33F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产地：国产</w:t>
      </w:r>
    </w:p>
    <w:p w14:paraId="0B335638">
      <w:pPr>
        <w:numPr>
          <w:ilvl w:val="0"/>
          <w:numId w:val="1"/>
        </w:num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参数要求：</w:t>
      </w:r>
    </w:p>
    <w:tbl>
      <w:tblPr>
        <w:tblStyle w:val="2"/>
        <w:tblW w:w="965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4"/>
      </w:tblGrid>
      <w:tr w14:paraId="69B3A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73D6472A">
            <w:pPr>
              <w:widowControl/>
              <w:jc w:val="left"/>
              <w:rPr>
                <w:rFonts w:ascii="宋体" w:hAnsi="宋体" w:cs="宋体"/>
                <w:b/>
                <w:bCs/>
                <w:color w:val="3F3F3F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3F3F3F"/>
                <w:kern w:val="0"/>
                <w:sz w:val="22"/>
              </w:rPr>
              <w:t>技术要求</w:t>
            </w:r>
          </w:p>
        </w:tc>
      </w:tr>
      <w:tr w14:paraId="3D047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E1055A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1、主机最高转速≥26,000 rpm，最大相对离心力≥81,000 × g，最大单次实际装液总体积≥6000 mL；</w:t>
            </w:r>
          </w:p>
        </w:tc>
      </w:tr>
      <w:tr w14:paraId="10624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C8C731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▲2、转速控制精度：≤设定转速的±10rpm或±0.1%（提供产品彩页或产品说明书作为佐证材料）；</w:t>
            </w:r>
          </w:p>
        </w:tc>
      </w:tr>
      <w:tr w14:paraId="4236F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6702F7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▲3、采用≥10英寸触幕式液晶显示屏，便于操作，减少误操作带来的损失（提供产品彩页或产品说明书作为佐证材料）；</w:t>
            </w:r>
          </w:p>
        </w:tc>
      </w:tr>
      <w:tr w14:paraId="616D8F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7A14D213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4、具备中文操作界面；</w:t>
            </w:r>
          </w:p>
        </w:tc>
      </w:tr>
      <w:tr w14:paraId="17042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164F024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5、可使用手机远程监控仪器状态；</w:t>
            </w:r>
          </w:p>
        </w:tc>
      </w:tr>
      <w:tr w14:paraId="00408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2389F8E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▲6、主机内置即时运行曲线图功能，可实时显示运行曲线图，便于追踪实验过程（提供产品彩页或产品说明书作为佐证材料）；</w:t>
            </w:r>
          </w:p>
        </w:tc>
      </w:tr>
      <w:tr w14:paraId="617C1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105840B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▲7、≥20种主机同品牌转头（不含适配器）可供选择（提供产品彩页或产品说明书作为佐证材料）；</w:t>
            </w:r>
          </w:p>
        </w:tc>
      </w:tr>
      <w:tr w14:paraId="73354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392BE9B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8、具备密码保护功能，用户密码锁功能内置于主机软件，并可设置三个级别；</w:t>
            </w:r>
          </w:p>
        </w:tc>
      </w:tr>
      <w:tr w14:paraId="0171D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E4FE4A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9、仪器具备动态惯量检测功能，在动态情况下进行转头惯量检测和能量计算以保证仪器的安全运行，若发现有超载情况，会自动回至最高容许转速, 保护电机和转头；</w:t>
            </w:r>
          </w:p>
        </w:tc>
      </w:tr>
      <w:tr w14:paraId="4DB9B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2159C38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▲10、采用可变磁阻驱动系统（非无碳刷免维护或感应电机或变频电机），实现快速升/降速（提供产品彩页或产品说明书作为佐证材料）；</w:t>
            </w:r>
          </w:p>
        </w:tc>
      </w:tr>
      <w:tr w14:paraId="6F139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B8861D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11、具有智能化的真空减磨系统，减少风阻，以加快达到最高转速，增长转</w:t>
            </w: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</w:rPr>
              <w:t>头寿命；</w:t>
            </w:r>
          </w:p>
        </w:tc>
      </w:tr>
      <w:tr w14:paraId="7B43A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C3DDB59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12、样品容量不平衡容忍度为5%，可“目视平衡”；</w:t>
            </w:r>
          </w:p>
        </w:tc>
      </w:tr>
      <w:tr w14:paraId="482715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36D83CF6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13、仪器具备可视孔，以便于用户进行定期的转速校准；</w:t>
            </w:r>
          </w:p>
        </w:tc>
      </w:tr>
      <w:tr w14:paraId="02B23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A5B7D21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▲14、加/减速设定：≥11/12档（提供产品彩页或产品说明书作为佐证材料）；</w:t>
            </w:r>
          </w:p>
        </w:tc>
      </w:tr>
      <w:tr w14:paraId="14C92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265FC1A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15、时间设定：1分钟至99:59小时，另有“连续时间运行”选择；</w:t>
            </w:r>
          </w:p>
        </w:tc>
      </w:tr>
      <w:tr w14:paraId="2F9B7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9832D92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▲16、区带/连续流操作界面以流程图显示（提供产品彩页或产品说明书作为佐证材料）；</w:t>
            </w:r>
          </w:p>
        </w:tc>
      </w:tr>
      <w:tr w14:paraId="477EC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0EB111DF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17、可选配生物安全转头及HEPA过滤膜，防止样品悬浮粒子扩散到空气中；</w:t>
            </w:r>
          </w:p>
        </w:tc>
      </w:tr>
      <w:tr w14:paraId="0F6CB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AEAB97D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▲18、有原厂≥1L样品分离袋可供选择，且原厂≥1L样品分离袋可直接在离心瓶中使用（提供产品彩页或产品说明书作为佐证材料）；</w:t>
            </w:r>
          </w:p>
        </w:tc>
      </w:tr>
      <w:tr w14:paraId="278D1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5B8CAA0C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19、新老型号高离转头库可持续兼容。</w:t>
            </w:r>
          </w:p>
        </w:tc>
      </w:tr>
      <w:tr w14:paraId="0B90C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6687F0F7"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20、主机重量≤290 kg。</w:t>
            </w:r>
          </w:p>
        </w:tc>
      </w:tr>
      <w:tr w14:paraId="06104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41483DFB">
            <w:pPr>
              <w:rPr>
                <w:rFonts w:hint="eastAsia" w:ascii="宋体" w:hAnsi="宋体" w:cs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商务要求</w:t>
            </w:r>
          </w:p>
        </w:tc>
      </w:tr>
      <w:tr w14:paraId="495CC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5574" w:type="dxa"/>
            <w:tcBorders>
              <w:top w:val="single" w:color="3F3F3F" w:sz="4" w:space="0"/>
              <w:left w:val="nil"/>
              <w:bottom w:val="single" w:color="3F3F3F" w:sz="4" w:space="0"/>
              <w:right w:val="single" w:color="3F3F3F" w:sz="4" w:space="0"/>
            </w:tcBorders>
            <w:shd w:val="clear" w:color="000000" w:fill="FFFFFF"/>
            <w:noWrap w:val="0"/>
            <w:vAlign w:val="top"/>
          </w:tcPr>
          <w:p w14:paraId="2FD982BE">
            <w:pPr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★1、整机保修5年</w:t>
            </w:r>
          </w:p>
        </w:tc>
      </w:tr>
    </w:tbl>
    <w:p w14:paraId="49CBF8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68C8B"/>
    <w:multiLevelType w:val="singleLevel"/>
    <w:tmpl w:val="A0A68C8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6075E"/>
    <w:rsid w:val="77F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2025-11-11T02:31:00Z</dcterms:created>
  <dc:creator>茜茜 ✨</dc:creator>
  <cp:lastModifiedBy>茜茜 ✨</cp:lastModifiedBy>
  <dcterms:modified xsi:type="dcterms:W3CDTF">2025-11-11T02:41:45Z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1AB3AF033DB6489C847429F81AB1D7D4_11</vt:lpwstr>
  </property>
  <property fmtid="{D5CDD505-2E9C-101B-9397-08002B2CF9AE}" pid="4" name="KSOTemplateDocerSaveRecord">
    <vt:lpwstr>eyJoZGlkIjoiMGNjYmY0NDQ3OWE4YmY2NzJlYTA4MDM0NjNhNzdkMzYiLCJ1c2VySWQiOiI1Mzc0MjMyMDUifQ==</vt:lpwstr>
  </property>
</Properties>
</file>