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FC4E0C">
      <w:pPr>
        <w:snapToGrid w:val="0"/>
        <w:ind w:right="-315" w:rightChars="-150"/>
        <w:rPr>
          <w:rFonts w:hint="eastAsia" w:ascii="宋体" w:hAnsi="宋体"/>
          <w:bCs/>
          <w:color w:val="000000"/>
          <w:szCs w:val="21"/>
        </w:rPr>
      </w:pPr>
      <w:r>
        <w:rPr>
          <w:rFonts w:hint="eastAsia" w:ascii="宋体" w:hAnsi="宋体"/>
          <w:color w:val="000000"/>
          <w:szCs w:val="21"/>
        </w:rPr>
        <w:t xml:space="preserve">1.  </w:t>
      </w:r>
      <w:r>
        <w:rPr>
          <w:rFonts w:hint="eastAsia" w:ascii="宋体" w:hAnsi="宋体"/>
          <w:bCs/>
          <w:color w:val="000000"/>
          <w:szCs w:val="21"/>
        </w:rPr>
        <w:t>评分表</w:t>
      </w:r>
    </w:p>
    <w:p w14:paraId="3E4B14ED">
      <w:pPr>
        <w:snapToGrid w:val="0"/>
        <w:ind w:right="-315" w:rightChars="-150"/>
        <w:rPr>
          <w:rFonts w:hint="eastAsia" w:ascii="宋体" w:hAnsi="宋体"/>
          <w:szCs w:val="21"/>
        </w:rPr>
      </w:pPr>
      <w:r>
        <w:rPr>
          <w:rFonts w:hint="eastAsia" w:ascii="宋体" w:hAnsi="宋体"/>
          <w:szCs w:val="21"/>
        </w:rPr>
        <w:t>价格分计算方法可分为两种：</w:t>
      </w:r>
    </w:p>
    <w:p w14:paraId="616E9785">
      <w:pPr>
        <w:snapToGrid w:val="0"/>
        <w:ind w:right="-315" w:rightChars="-150" w:firstLine="420" w:firstLineChars="200"/>
        <w:rPr>
          <w:rFonts w:hint="eastAsia" w:ascii="宋体" w:hAnsi="宋体"/>
          <w:szCs w:val="21"/>
        </w:rPr>
      </w:pPr>
      <w:r>
        <w:rPr>
          <w:rFonts w:hint="eastAsia" w:ascii="宋体" w:hAnsi="宋体"/>
          <w:szCs w:val="21"/>
        </w:rPr>
        <w:t>方法一：价格分计算：价格分=（评标基准价/投标报价）×价格权重分。（每个供应商可进行两次报价，以第二次报价为最终报价），当价格分&lt;0时，取0。</w:t>
      </w:r>
    </w:p>
    <w:p w14:paraId="6AB7B7D5">
      <w:pPr>
        <w:spacing w:line="360" w:lineRule="exact"/>
        <w:ind w:firstLine="420" w:firstLineChars="200"/>
        <w:rPr>
          <w:rFonts w:hint="eastAsia" w:ascii="宋体" w:hAnsi="宋体"/>
          <w:szCs w:val="21"/>
        </w:rPr>
      </w:pPr>
      <w:r>
        <w:rPr>
          <w:rFonts w:hint="eastAsia" w:ascii="宋体" w:hAnsi="宋体"/>
          <w:szCs w:val="21"/>
        </w:rPr>
        <w:t>方法二：价格分=[1-A×丨1-投标价报价/Z丨]×价格权重×100；Z---即本次招标的最佳报价，即对所有通过资格性检查和符合性检查且报价不超过预算控制金额的有效投标报价取算术平均指，并对算术平均值下浮</w:t>
      </w:r>
      <w:r>
        <w:rPr>
          <w:rFonts w:hint="eastAsia" w:ascii="宋体" w:hAnsi="宋体"/>
          <w:color w:val="FF0000"/>
          <w:szCs w:val="21"/>
        </w:rPr>
        <w:t>5%</w:t>
      </w:r>
      <w:r>
        <w:rPr>
          <w:rFonts w:hint="eastAsia" w:ascii="宋体" w:hAnsi="宋体"/>
          <w:szCs w:val="21"/>
        </w:rPr>
        <w:t>作为本次招标的最佳报价。A---价格调整系数，当投标报价低与本次招标最佳报价时，A=0.5；当投标报价高于与本次招标最佳报价时，取A=1。当价格分＜0时，取0；方法二仅适用于工程和服务项目，且通过资格性检查和符合性检查且报价不超过预算控制金额的投标供应商数量不少于7家。当选用此方法不满足上述条件时，使用方法一。</w:t>
      </w:r>
    </w:p>
    <w:p w14:paraId="25146383">
      <w:pPr>
        <w:spacing w:line="360" w:lineRule="exact"/>
        <w:ind w:firstLine="420" w:firstLineChars="200"/>
        <w:rPr>
          <w:rFonts w:hint="eastAsia" w:ascii="宋体" w:hAnsi="宋体"/>
          <w:szCs w:val="21"/>
        </w:rPr>
      </w:pPr>
    </w:p>
    <w:tbl>
      <w:tblPr>
        <w:tblStyle w:val="6"/>
        <w:tblW w:w="84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301"/>
        <w:gridCol w:w="2238"/>
        <w:gridCol w:w="66"/>
        <w:gridCol w:w="681"/>
        <w:gridCol w:w="738"/>
        <w:gridCol w:w="2642"/>
      </w:tblGrid>
      <w:tr w14:paraId="209F8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tcBorders>
              <w:top w:val="single" w:color="auto" w:sz="4" w:space="0"/>
              <w:left w:val="single" w:color="auto" w:sz="4" w:space="0"/>
              <w:bottom w:val="single" w:color="auto" w:sz="4" w:space="0"/>
              <w:right w:val="single" w:color="auto" w:sz="4" w:space="0"/>
            </w:tcBorders>
          </w:tcPr>
          <w:p w14:paraId="1A3A591B">
            <w:pPr>
              <w:jc w:val="center"/>
              <w:rPr>
                <w:rFonts w:hint="eastAsia" w:asciiTheme="minorEastAsia" w:hAnsiTheme="minorEastAsia" w:eastAsiaTheme="minorEastAsia"/>
                <w:b/>
                <w:sz w:val="20"/>
              </w:rPr>
            </w:pPr>
            <w:r>
              <w:rPr>
                <w:rFonts w:hint="eastAsia" w:asciiTheme="minorEastAsia" w:hAnsiTheme="minorEastAsia" w:eastAsiaTheme="minorEastAsia"/>
                <w:b/>
                <w:sz w:val="20"/>
              </w:rPr>
              <w:t>序号</w:t>
            </w:r>
          </w:p>
        </w:tc>
        <w:tc>
          <w:tcPr>
            <w:tcW w:w="4286" w:type="dxa"/>
            <w:gridSpan w:val="4"/>
            <w:tcBorders>
              <w:top w:val="single" w:color="auto" w:sz="4" w:space="0"/>
              <w:left w:val="single" w:color="auto" w:sz="4" w:space="0"/>
              <w:bottom w:val="single" w:color="auto" w:sz="4" w:space="0"/>
              <w:right w:val="single" w:color="auto" w:sz="4" w:space="0"/>
            </w:tcBorders>
          </w:tcPr>
          <w:p w14:paraId="4B792358">
            <w:pPr>
              <w:jc w:val="center"/>
              <w:rPr>
                <w:rFonts w:hint="eastAsia" w:asciiTheme="minorEastAsia" w:hAnsiTheme="minorEastAsia" w:eastAsiaTheme="minorEastAsia"/>
                <w:b/>
                <w:sz w:val="20"/>
              </w:rPr>
            </w:pPr>
            <w:r>
              <w:rPr>
                <w:rFonts w:hint="eastAsia" w:asciiTheme="minorEastAsia" w:hAnsiTheme="minorEastAsia" w:eastAsiaTheme="minorEastAsia"/>
                <w:b/>
                <w:sz w:val="20"/>
              </w:rPr>
              <w:t>评分项</w:t>
            </w:r>
          </w:p>
        </w:tc>
        <w:tc>
          <w:tcPr>
            <w:tcW w:w="3380" w:type="dxa"/>
            <w:gridSpan w:val="2"/>
            <w:tcBorders>
              <w:top w:val="single" w:color="auto" w:sz="4" w:space="0"/>
              <w:left w:val="single" w:color="auto" w:sz="4" w:space="0"/>
              <w:bottom w:val="single" w:color="auto" w:sz="4" w:space="0"/>
              <w:right w:val="single" w:color="auto" w:sz="4" w:space="0"/>
            </w:tcBorders>
          </w:tcPr>
          <w:p w14:paraId="014DCC33">
            <w:pPr>
              <w:jc w:val="center"/>
              <w:rPr>
                <w:rFonts w:hint="eastAsia" w:asciiTheme="minorEastAsia" w:hAnsiTheme="minorEastAsia" w:eastAsiaTheme="minorEastAsia"/>
                <w:b/>
                <w:sz w:val="20"/>
              </w:rPr>
            </w:pPr>
            <w:r>
              <w:rPr>
                <w:rFonts w:hint="eastAsia" w:asciiTheme="minorEastAsia" w:hAnsiTheme="minorEastAsia" w:eastAsiaTheme="minorEastAsia"/>
                <w:b/>
                <w:sz w:val="20"/>
              </w:rPr>
              <w:t>权重</w:t>
            </w:r>
          </w:p>
        </w:tc>
      </w:tr>
      <w:tr w14:paraId="6391B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tcBorders>
              <w:top w:val="single" w:color="auto" w:sz="4" w:space="0"/>
              <w:left w:val="single" w:color="auto" w:sz="4" w:space="0"/>
              <w:bottom w:val="single" w:color="auto" w:sz="4" w:space="0"/>
              <w:right w:val="single" w:color="auto" w:sz="4" w:space="0"/>
            </w:tcBorders>
          </w:tcPr>
          <w:p w14:paraId="2279A1C9">
            <w:pPr>
              <w:jc w:val="center"/>
              <w:rPr>
                <w:rFonts w:hint="eastAsia" w:asciiTheme="minorEastAsia" w:hAnsiTheme="minorEastAsia" w:eastAsiaTheme="minorEastAsia"/>
                <w:b/>
                <w:sz w:val="20"/>
              </w:rPr>
            </w:pPr>
            <w:r>
              <w:rPr>
                <w:rFonts w:asciiTheme="minorEastAsia" w:hAnsiTheme="minorEastAsia" w:eastAsiaTheme="minorEastAsia"/>
                <w:b/>
                <w:sz w:val="20"/>
              </w:rPr>
              <w:t>1</w:t>
            </w:r>
          </w:p>
        </w:tc>
        <w:tc>
          <w:tcPr>
            <w:tcW w:w="4286" w:type="dxa"/>
            <w:gridSpan w:val="4"/>
            <w:tcBorders>
              <w:top w:val="single" w:color="auto" w:sz="4" w:space="0"/>
              <w:left w:val="single" w:color="auto" w:sz="4" w:space="0"/>
              <w:bottom w:val="single" w:color="auto" w:sz="4" w:space="0"/>
              <w:right w:val="single" w:color="auto" w:sz="4" w:space="0"/>
            </w:tcBorders>
          </w:tcPr>
          <w:p w14:paraId="2F4061F7">
            <w:pPr>
              <w:jc w:val="center"/>
              <w:rPr>
                <w:rFonts w:hint="eastAsia" w:asciiTheme="minorEastAsia" w:hAnsiTheme="minorEastAsia" w:eastAsiaTheme="minorEastAsia"/>
                <w:b/>
                <w:sz w:val="20"/>
              </w:rPr>
            </w:pPr>
            <w:r>
              <w:rPr>
                <w:rFonts w:hint="eastAsia" w:asciiTheme="minorEastAsia" w:hAnsiTheme="minorEastAsia" w:eastAsiaTheme="minorEastAsia"/>
                <w:b/>
                <w:sz w:val="20"/>
              </w:rPr>
              <w:t>价格部分</w:t>
            </w:r>
          </w:p>
        </w:tc>
        <w:tc>
          <w:tcPr>
            <w:tcW w:w="3380" w:type="dxa"/>
            <w:gridSpan w:val="2"/>
            <w:tcBorders>
              <w:top w:val="single" w:color="auto" w:sz="4" w:space="0"/>
              <w:left w:val="single" w:color="auto" w:sz="4" w:space="0"/>
              <w:bottom w:val="single" w:color="auto" w:sz="4" w:space="0"/>
              <w:right w:val="single" w:color="auto" w:sz="4" w:space="0"/>
            </w:tcBorders>
          </w:tcPr>
          <w:p w14:paraId="53FB1CEE">
            <w:pPr>
              <w:jc w:val="center"/>
              <w:rPr>
                <w:rFonts w:hint="eastAsia" w:asciiTheme="minorEastAsia" w:hAnsiTheme="minorEastAsia" w:eastAsiaTheme="minorEastAsia"/>
                <w:b/>
                <w:sz w:val="20"/>
              </w:rPr>
            </w:pPr>
            <w:r>
              <w:rPr>
                <w:rFonts w:hint="eastAsia" w:asciiTheme="minorEastAsia" w:hAnsiTheme="minorEastAsia" w:eastAsiaTheme="minorEastAsia"/>
                <w:b/>
                <w:sz w:val="20"/>
              </w:rPr>
              <w:t>2</w:t>
            </w:r>
            <w:r>
              <w:rPr>
                <w:rFonts w:asciiTheme="minorEastAsia" w:hAnsiTheme="minorEastAsia" w:eastAsiaTheme="minorEastAsia"/>
                <w:b/>
                <w:sz w:val="20"/>
              </w:rPr>
              <w:t>0</w:t>
            </w:r>
          </w:p>
        </w:tc>
      </w:tr>
      <w:tr w14:paraId="4C81D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tcBorders>
              <w:top w:val="single" w:color="auto" w:sz="4" w:space="0"/>
              <w:left w:val="single" w:color="auto" w:sz="4" w:space="0"/>
              <w:bottom w:val="single" w:color="auto" w:sz="4" w:space="0"/>
              <w:right w:val="single" w:color="auto" w:sz="4" w:space="0"/>
            </w:tcBorders>
          </w:tcPr>
          <w:p w14:paraId="67323B06">
            <w:pPr>
              <w:jc w:val="center"/>
              <w:rPr>
                <w:rFonts w:hint="eastAsia" w:asciiTheme="minorEastAsia" w:hAnsiTheme="minorEastAsia" w:eastAsiaTheme="minorEastAsia"/>
                <w:b/>
                <w:sz w:val="20"/>
              </w:rPr>
            </w:pPr>
            <w:r>
              <w:rPr>
                <w:rFonts w:asciiTheme="minorEastAsia" w:hAnsiTheme="minorEastAsia" w:eastAsiaTheme="minorEastAsia"/>
                <w:b/>
                <w:sz w:val="20"/>
              </w:rPr>
              <w:t>2</w:t>
            </w:r>
          </w:p>
        </w:tc>
        <w:tc>
          <w:tcPr>
            <w:tcW w:w="4286" w:type="dxa"/>
            <w:gridSpan w:val="4"/>
            <w:tcBorders>
              <w:top w:val="single" w:color="auto" w:sz="4" w:space="0"/>
              <w:left w:val="single" w:color="auto" w:sz="4" w:space="0"/>
              <w:bottom w:val="single" w:color="auto" w:sz="4" w:space="0"/>
              <w:right w:val="single" w:color="auto" w:sz="4" w:space="0"/>
            </w:tcBorders>
          </w:tcPr>
          <w:p w14:paraId="0D0F3EE8">
            <w:pPr>
              <w:jc w:val="center"/>
              <w:rPr>
                <w:rFonts w:hint="eastAsia" w:asciiTheme="minorEastAsia" w:hAnsiTheme="minorEastAsia" w:eastAsiaTheme="minorEastAsia"/>
                <w:b/>
                <w:sz w:val="20"/>
              </w:rPr>
            </w:pPr>
            <w:r>
              <w:rPr>
                <w:rFonts w:hint="eastAsia" w:asciiTheme="minorEastAsia" w:hAnsiTheme="minorEastAsia" w:eastAsiaTheme="minorEastAsia"/>
                <w:b/>
                <w:sz w:val="20"/>
              </w:rPr>
              <w:t>技术部分</w:t>
            </w:r>
          </w:p>
        </w:tc>
        <w:tc>
          <w:tcPr>
            <w:tcW w:w="3380" w:type="dxa"/>
            <w:gridSpan w:val="2"/>
            <w:tcBorders>
              <w:top w:val="single" w:color="auto" w:sz="4" w:space="0"/>
              <w:left w:val="single" w:color="auto" w:sz="4" w:space="0"/>
              <w:bottom w:val="single" w:color="auto" w:sz="4" w:space="0"/>
              <w:right w:val="single" w:color="auto" w:sz="4" w:space="0"/>
            </w:tcBorders>
          </w:tcPr>
          <w:p w14:paraId="1CED0913">
            <w:pPr>
              <w:jc w:val="center"/>
              <w:rPr>
                <w:rFonts w:hint="eastAsia" w:asciiTheme="minorEastAsia" w:hAnsiTheme="minorEastAsia" w:eastAsiaTheme="minorEastAsia"/>
                <w:b/>
                <w:sz w:val="20"/>
              </w:rPr>
            </w:pPr>
            <w:r>
              <w:rPr>
                <w:rFonts w:hint="eastAsia" w:asciiTheme="minorEastAsia" w:hAnsiTheme="minorEastAsia" w:eastAsiaTheme="minorEastAsia"/>
                <w:b/>
                <w:sz w:val="20"/>
              </w:rPr>
              <w:t>60</w:t>
            </w:r>
          </w:p>
        </w:tc>
      </w:tr>
      <w:tr w14:paraId="2A6F9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780" w:type="dxa"/>
            <w:vMerge w:val="restart"/>
            <w:tcBorders>
              <w:top w:val="single" w:color="auto" w:sz="4" w:space="0"/>
              <w:left w:val="single" w:color="auto" w:sz="4" w:space="0"/>
              <w:right w:val="single" w:color="auto" w:sz="4" w:space="0"/>
            </w:tcBorders>
          </w:tcPr>
          <w:p w14:paraId="2C8679B0">
            <w:pPr>
              <w:jc w:val="center"/>
              <w:rPr>
                <w:rFonts w:hint="eastAsia" w:asciiTheme="minorEastAsia" w:hAnsiTheme="minorEastAsia" w:eastAsiaTheme="minorEastAsia"/>
                <w:sz w:val="20"/>
              </w:rPr>
            </w:pPr>
          </w:p>
        </w:tc>
        <w:tc>
          <w:tcPr>
            <w:tcW w:w="1301" w:type="dxa"/>
            <w:tcBorders>
              <w:top w:val="single" w:color="auto" w:sz="4" w:space="0"/>
              <w:left w:val="single" w:color="auto" w:sz="4" w:space="0"/>
              <w:bottom w:val="single" w:color="auto" w:sz="4" w:space="0"/>
              <w:right w:val="single" w:color="auto" w:sz="4" w:space="0"/>
            </w:tcBorders>
          </w:tcPr>
          <w:p w14:paraId="3DF70F02">
            <w:pPr>
              <w:jc w:val="center"/>
              <w:rPr>
                <w:rFonts w:hint="eastAsia" w:asciiTheme="minorEastAsia" w:hAnsiTheme="minorEastAsia" w:eastAsiaTheme="minorEastAsia"/>
                <w:sz w:val="20"/>
              </w:rPr>
            </w:pPr>
            <w:r>
              <w:rPr>
                <w:rFonts w:hint="eastAsia" w:asciiTheme="minorEastAsia" w:hAnsiTheme="minorEastAsia" w:eastAsiaTheme="minorEastAsia"/>
                <w:sz w:val="20"/>
              </w:rPr>
              <w:t>序号</w:t>
            </w:r>
          </w:p>
        </w:tc>
        <w:tc>
          <w:tcPr>
            <w:tcW w:w="2238" w:type="dxa"/>
            <w:tcBorders>
              <w:top w:val="single" w:color="auto" w:sz="4" w:space="0"/>
              <w:left w:val="single" w:color="auto" w:sz="4" w:space="0"/>
              <w:bottom w:val="single" w:color="auto" w:sz="4" w:space="0"/>
              <w:right w:val="single" w:color="auto" w:sz="4" w:space="0"/>
            </w:tcBorders>
          </w:tcPr>
          <w:p w14:paraId="4A0790CC">
            <w:pPr>
              <w:jc w:val="center"/>
              <w:rPr>
                <w:rFonts w:hint="eastAsia" w:asciiTheme="minorEastAsia" w:hAnsiTheme="minorEastAsia" w:eastAsiaTheme="minorEastAsia"/>
                <w:sz w:val="20"/>
              </w:rPr>
            </w:pPr>
            <w:r>
              <w:rPr>
                <w:rFonts w:hint="eastAsia" w:asciiTheme="minorEastAsia" w:hAnsiTheme="minorEastAsia" w:eastAsiaTheme="minorEastAsia"/>
                <w:sz w:val="20"/>
              </w:rPr>
              <w:t>评分因素</w:t>
            </w:r>
          </w:p>
        </w:tc>
        <w:tc>
          <w:tcPr>
            <w:tcW w:w="747" w:type="dxa"/>
            <w:gridSpan w:val="2"/>
            <w:tcBorders>
              <w:top w:val="single" w:color="auto" w:sz="4" w:space="0"/>
              <w:left w:val="single" w:color="auto" w:sz="4" w:space="0"/>
              <w:bottom w:val="single" w:color="auto" w:sz="4" w:space="0"/>
              <w:right w:val="single" w:color="auto" w:sz="4" w:space="0"/>
            </w:tcBorders>
          </w:tcPr>
          <w:p w14:paraId="1F4AD07B">
            <w:pPr>
              <w:jc w:val="center"/>
              <w:rPr>
                <w:rFonts w:hint="eastAsia" w:asciiTheme="minorEastAsia" w:hAnsiTheme="minorEastAsia" w:eastAsiaTheme="minorEastAsia"/>
                <w:sz w:val="20"/>
              </w:rPr>
            </w:pPr>
            <w:r>
              <w:rPr>
                <w:rFonts w:hint="eastAsia" w:asciiTheme="minorEastAsia" w:hAnsiTheme="minorEastAsia" w:eastAsiaTheme="minorEastAsia"/>
                <w:sz w:val="20"/>
              </w:rPr>
              <w:t>权重</w:t>
            </w:r>
          </w:p>
        </w:tc>
        <w:tc>
          <w:tcPr>
            <w:tcW w:w="738" w:type="dxa"/>
            <w:tcBorders>
              <w:top w:val="single" w:color="auto" w:sz="4" w:space="0"/>
              <w:left w:val="single" w:color="auto" w:sz="4" w:space="0"/>
              <w:bottom w:val="single" w:color="auto" w:sz="4" w:space="0"/>
              <w:right w:val="single" w:color="auto" w:sz="4" w:space="0"/>
            </w:tcBorders>
          </w:tcPr>
          <w:p w14:paraId="142CC784">
            <w:pPr>
              <w:jc w:val="center"/>
              <w:rPr>
                <w:rFonts w:hint="eastAsia" w:asciiTheme="minorEastAsia" w:hAnsiTheme="minorEastAsia" w:eastAsiaTheme="minorEastAsia"/>
                <w:sz w:val="20"/>
              </w:rPr>
            </w:pPr>
            <w:r>
              <w:rPr>
                <w:rFonts w:hint="eastAsia" w:asciiTheme="minorEastAsia" w:hAnsiTheme="minorEastAsia" w:eastAsiaTheme="minorEastAsia"/>
                <w:sz w:val="20"/>
              </w:rPr>
              <w:t>评分方式</w:t>
            </w:r>
          </w:p>
        </w:tc>
        <w:tc>
          <w:tcPr>
            <w:tcW w:w="2642" w:type="dxa"/>
            <w:tcBorders>
              <w:top w:val="single" w:color="auto" w:sz="4" w:space="0"/>
              <w:left w:val="single" w:color="auto" w:sz="4" w:space="0"/>
              <w:bottom w:val="single" w:color="auto" w:sz="4" w:space="0"/>
              <w:right w:val="single" w:color="auto" w:sz="4" w:space="0"/>
            </w:tcBorders>
          </w:tcPr>
          <w:p w14:paraId="14EEDBB6">
            <w:pPr>
              <w:jc w:val="center"/>
              <w:rPr>
                <w:rFonts w:hint="eastAsia" w:asciiTheme="minorEastAsia" w:hAnsiTheme="minorEastAsia" w:eastAsiaTheme="minorEastAsia"/>
                <w:sz w:val="20"/>
              </w:rPr>
            </w:pPr>
            <w:r>
              <w:rPr>
                <w:rFonts w:hint="eastAsia" w:asciiTheme="minorEastAsia" w:hAnsiTheme="minorEastAsia" w:eastAsiaTheme="minorEastAsia"/>
                <w:sz w:val="20"/>
              </w:rPr>
              <w:t>评分准则</w:t>
            </w:r>
          </w:p>
        </w:tc>
      </w:tr>
      <w:tr w14:paraId="417C2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780" w:type="dxa"/>
            <w:vMerge w:val="continue"/>
            <w:tcBorders>
              <w:left w:val="single" w:color="auto" w:sz="4" w:space="0"/>
              <w:right w:val="single" w:color="auto" w:sz="4" w:space="0"/>
            </w:tcBorders>
            <w:vAlign w:val="center"/>
          </w:tcPr>
          <w:p w14:paraId="15FD0831">
            <w:pPr>
              <w:widowControl/>
              <w:jc w:val="center"/>
              <w:rPr>
                <w:rFonts w:hint="eastAsia" w:asciiTheme="minorEastAsia" w:hAnsiTheme="minorEastAsia" w:eastAsiaTheme="minorEastAsia"/>
                <w:sz w:val="20"/>
              </w:rPr>
            </w:pPr>
          </w:p>
        </w:tc>
        <w:tc>
          <w:tcPr>
            <w:tcW w:w="1301" w:type="dxa"/>
            <w:tcBorders>
              <w:top w:val="single" w:color="auto" w:sz="4" w:space="0"/>
              <w:left w:val="single" w:color="auto" w:sz="4" w:space="0"/>
              <w:bottom w:val="single" w:color="auto" w:sz="4" w:space="0"/>
              <w:right w:val="single" w:color="auto" w:sz="4" w:space="0"/>
            </w:tcBorders>
            <w:vAlign w:val="center"/>
          </w:tcPr>
          <w:p w14:paraId="27300556">
            <w:pPr>
              <w:jc w:val="center"/>
              <w:rPr>
                <w:rFonts w:hint="eastAsia" w:cs="仿宋" w:asciiTheme="minorEastAsia" w:hAnsiTheme="minorEastAsia" w:eastAsiaTheme="minorEastAsia"/>
                <w:sz w:val="20"/>
              </w:rPr>
            </w:pPr>
            <w:r>
              <w:rPr>
                <w:rFonts w:cs="仿宋" w:asciiTheme="minorEastAsia" w:hAnsiTheme="minorEastAsia" w:eastAsiaTheme="minorEastAsia"/>
                <w:sz w:val="20"/>
              </w:rPr>
              <w:t>1</w:t>
            </w:r>
          </w:p>
        </w:tc>
        <w:tc>
          <w:tcPr>
            <w:tcW w:w="2238" w:type="dxa"/>
            <w:tcBorders>
              <w:top w:val="single" w:color="auto" w:sz="4" w:space="0"/>
              <w:left w:val="single" w:color="auto" w:sz="4" w:space="0"/>
              <w:bottom w:val="single" w:color="auto" w:sz="4" w:space="0"/>
              <w:right w:val="single" w:color="auto" w:sz="4" w:space="0"/>
            </w:tcBorders>
            <w:vAlign w:val="center"/>
          </w:tcPr>
          <w:p w14:paraId="78497D4B">
            <w:pPr>
              <w:widowControl/>
              <w:jc w:val="center"/>
              <w:rPr>
                <w:rFonts w:hint="eastAsia" w:cs="仿宋" w:asciiTheme="minorEastAsia" w:hAnsiTheme="minorEastAsia" w:eastAsiaTheme="minorEastAsia"/>
                <w:sz w:val="20"/>
              </w:rPr>
            </w:pPr>
            <w:r>
              <w:rPr>
                <w:rFonts w:cs="仿宋" w:asciiTheme="minorEastAsia" w:hAnsiTheme="minorEastAsia" w:eastAsiaTheme="minorEastAsia"/>
                <w:sz w:val="20"/>
              </w:rPr>
              <w:t>实施方案（工作措施、工作方法、工作手段、工作流程）</w:t>
            </w:r>
          </w:p>
        </w:tc>
        <w:tc>
          <w:tcPr>
            <w:tcW w:w="747" w:type="dxa"/>
            <w:gridSpan w:val="2"/>
            <w:tcBorders>
              <w:top w:val="single" w:color="auto" w:sz="4" w:space="0"/>
              <w:left w:val="single" w:color="auto" w:sz="4" w:space="0"/>
              <w:bottom w:val="single" w:color="auto" w:sz="4" w:space="0"/>
              <w:right w:val="single" w:color="auto" w:sz="4" w:space="0"/>
            </w:tcBorders>
            <w:vAlign w:val="center"/>
          </w:tcPr>
          <w:p w14:paraId="3658AA45">
            <w:pPr>
              <w:widowControl/>
              <w:jc w:val="center"/>
              <w:rPr>
                <w:rFonts w:hint="eastAsia" w:cs="仿宋" w:asciiTheme="minorEastAsia" w:hAnsiTheme="minorEastAsia" w:eastAsiaTheme="minorEastAsia"/>
                <w:sz w:val="20"/>
              </w:rPr>
            </w:pPr>
            <w:r>
              <w:rPr>
                <w:rFonts w:cs="仿宋" w:asciiTheme="minorEastAsia" w:hAnsiTheme="minorEastAsia" w:eastAsiaTheme="minorEastAsia"/>
                <w:sz w:val="20"/>
              </w:rPr>
              <w:t>10</w:t>
            </w:r>
          </w:p>
        </w:tc>
        <w:tc>
          <w:tcPr>
            <w:tcW w:w="738" w:type="dxa"/>
            <w:tcBorders>
              <w:top w:val="single" w:color="auto" w:sz="4" w:space="0"/>
              <w:left w:val="single" w:color="auto" w:sz="4" w:space="0"/>
              <w:bottom w:val="single" w:color="auto" w:sz="4" w:space="0"/>
              <w:right w:val="single" w:color="auto" w:sz="4" w:space="0"/>
            </w:tcBorders>
            <w:vAlign w:val="center"/>
          </w:tcPr>
          <w:p w14:paraId="0288F502">
            <w:pPr>
              <w:jc w:val="center"/>
              <w:rPr>
                <w:rFonts w:hint="eastAsia" w:cs="仿宋" w:asciiTheme="minorEastAsia" w:hAnsiTheme="minorEastAsia" w:eastAsiaTheme="minorEastAsia"/>
                <w:sz w:val="20"/>
              </w:rPr>
            </w:pPr>
            <w:r>
              <w:rPr>
                <w:rFonts w:hint="eastAsia" w:cs="仿宋" w:asciiTheme="minorEastAsia" w:hAnsiTheme="minorEastAsia" w:eastAsiaTheme="minorEastAsia"/>
                <w:sz w:val="20"/>
              </w:rPr>
              <w:t>专家打分</w:t>
            </w:r>
          </w:p>
        </w:tc>
        <w:tc>
          <w:tcPr>
            <w:tcW w:w="2642" w:type="dxa"/>
            <w:tcBorders>
              <w:top w:val="single" w:color="auto" w:sz="4" w:space="0"/>
              <w:left w:val="single" w:color="auto" w:sz="4" w:space="0"/>
              <w:bottom w:val="single" w:color="auto" w:sz="4" w:space="0"/>
              <w:right w:val="single" w:color="auto" w:sz="4" w:space="0"/>
            </w:tcBorders>
            <w:vAlign w:val="center"/>
          </w:tcPr>
          <w:p w14:paraId="5B2BFC55">
            <w:pPr>
              <w:widowControl/>
              <w:jc w:val="left"/>
              <w:rPr>
                <w:rFonts w:hint="eastAsia" w:cs="仿宋" w:asciiTheme="minorEastAsia" w:hAnsiTheme="minorEastAsia" w:eastAsiaTheme="minorEastAsia"/>
                <w:sz w:val="20"/>
              </w:rPr>
            </w:pPr>
            <w:r>
              <w:rPr>
                <w:rFonts w:cs="仿宋" w:asciiTheme="minorEastAsia" w:hAnsiTheme="minorEastAsia" w:eastAsiaTheme="minorEastAsia"/>
                <w:sz w:val="20"/>
              </w:rPr>
              <w:t>按照投标文件响应情况进行横向比较，分档评分：评价为优得</w:t>
            </w:r>
            <w:r>
              <w:rPr>
                <w:rFonts w:hint="eastAsia" w:cs="仿宋" w:asciiTheme="minorEastAsia" w:hAnsiTheme="minorEastAsia" w:eastAsiaTheme="minorEastAsia"/>
                <w:sz w:val="20"/>
              </w:rPr>
              <w:t>8-10</w:t>
            </w:r>
            <w:r>
              <w:rPr>
                <w:rFonts w:cs="仿宋" w:asciiTheme="minorEastAsia" w:hAnsiTheme="minorEastAsia" w:eastAsiaTheme="minorEastAsia"/>
                <w:sz w:val="20"/>
              </w:rPr>
              <w:t>分；评价为良得</w:t>
            </w:r>
            <w:r>
              <w:rPr>
                <w:rFonts w:hint="eastAsia" w:cs="仿宋" w:asciiTheme="minorEastAsia" w:hAnsiTheme="minorEastAsia" w:eastAsiaTheme="minorEastAsia"/>
                <w:sz w:val="20"/>
              </w:rPr>
              <w:t>5-7</w:t>
            </w:r>
            <w:r>
              <w:rPr>
                <w:rFonts w:cs="仿宋" w:asciiTheme="minorEastAsia" w:hAnsiTheme="minorEastAsia" w:eastAsiaTheme="minorEastAsia"/>
                <w:sz w:val="20"/>
              </w:rPr>
              <w:t>分；评价为中得</w:t>
            </w:r>
            <w:r>
              <w:rPr>
                <w:rFonts w:hint="eastAsia" w:cs="仿宋" w:asciiTheme="minorEastAsia" w:hAnsiTheme="minorEastAsia" w:eastAsiaTheme="minorEastAsia"/>
                <w:sz w:val="20"/>
              </w:rPr>
              <w:t>1-4</w:t>
            </w:r>
            <w:r>
              <w:rPr>
                <w:rFonts w:cs="仿宋" w:asciiTheme="minorEastAsia" w:hAnsiTheme="minorEastAsia" w:eastAsiaTheme="minorEastAsia"/>
                <w:sz w:val="20"/>
              </w:rPr>
              <w:t>分；评价为差不得分。</w:t>
            </w:r>
          </w:p>
        </w:tc>
      </w:tr>
      <w:tr w14:paraId="071B7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780" w:type="dxa"/>
            <w:vMerge w:val="continue"/>
            <w:tcBorders>
              <w:left w:val="single" w:color="auto" w:sz="4" w:space="0"/>
              <w:right w:val="single" w:color="auto" w:sz="4" w:space="0"/>
            </w:tcBorders>
            <w:vAlign w:val="center"/>
          </w:tcPr>
          <w:p w14:paraId="523016D0">
            <w:pPr>
              <w:widowControl/>
              <w:jc w:val="center"/>
              <w:rPr>
                <w:rFonts w:hint="eastAsia" w:asciiTheme="minorEastAsia" w:hAnsiTheme="minorEastAsia" w:eastAsiaTheme="minorEastAsia"/>
                <w:sz w:val="20"/>
              </w:rPr>
            </w:pPr>
          </w:p>
        </w:tc>
        <w:tc>
          <w:tcPr>
            <w:tcW w:w="1301" w:type="dxa"/>
            <w:tcBorders>
              <w:top w:val="single" w:color="auto" w:sz="4" w:space="0"/>
              <w:left w:val="single" w:color="auto" w:sz="4" w:space="0"/>
              <w:bottom w:val="single" w:color="auto" w:sz="4" w:space="0"/>
              <w:right w:val="single" w:color="auto" w:sz="4" w:space="0"/>
            </w:tcBorders>
            <w:vAlign w:val="center"/>
          </w:tcPr>
          <w:p w14:paraId="19E7FCBC">
            <w:pPr>
              <w:jc w:val="center"/>
              <w:rPr>
                <w:rFonts w:hint="eastAsia" w:cs="仿宋" w:asciiTheme="minorEastAsia" w:hAnsiTheme="minorEastAsia" w:eastAsiaTheme="minorEastAsia"/>
                <w:sz w:val="20"/>
              </w:rPr>
            </w:pPr>
            <w:r>
              <w:rPr>
                <w:rFonts w:cs="仿宋" w:asciiTheme="minorEastAsia" w:hAnsiTheme="minorEastAsia" w:eastAsiaTheme="minorEastAsia"/>
                <w:sz w:val="20"/>
              </w:rPr>
              <w:t>2</w:t>
            </w:r>
          </w:p>
        </w:tc>
        <w:tc>
          <w:tcPr>
            <w:tcW w:w="2238" w:type="dxa"/>
            <w:tcBorders>
              <w:top w:val="single" w:color="auto" w:sz="4" w:space="0"/>
              <w:left w:val="single" w:color="auto" w:sz="4" w:space="0"/>
              <w:bottom w:val="single" w:color="auto" w:sz="4" w:space="0"/>
              <w:right w:val="single" w:color="auto" w:sz="4" w:space="0"/>
            </w:tcBorders>
            <w:vAlign w:val="center"/>
          </w:tcPr>
          <w:p w14:paraId="73D78399">
            <w:pPr>
              <w:widowControl/>
              <w:spacing w:line="300" w:lineRule="atLeast"/>
              <w:jc w:val="center"/>
              <w:rPr>
                <w:rFonts w:hint="eastAsia" w:cs="仿宋" w:asciiTheme="minorEastAsia" w:hAnsiTheme="minorEastAsia" w:eastAsiaTheme="minorEastAsia"/>
                <w:sz w:val="20"/>
              </w:rPr>
            </w:pPr>
            <w:r>
              <w:rPr>
                <w:rFonts w:cs="仿宋" w:asciiTheme="minorEastAsia" w:hAnsiTheme="minorEastAsia" w:eastAsiaTheme="minorEastAsia"/>
                <w:sz w:val="20"/>
              </w:rPr>
              <w:t>项目重点难点分析、应对措施及相关的合理化建议</w:t>
            </w:r>
          </w:p>
        </w:tc>
        <w:tc>
          <w:tcPr>
            <w:tcW w:w="747" w:type="dxa"/>
            <w:gridSpan w:val="2"/>
            <w:tcBorders>
              <w:top w:val="single" w:color="auto" w:sz="4" w:space="0"/>
              <w:left w:val="single" w:color="auto" w:sz="4" w:space="0"/>
              <w:bottom w:val="single" w:color="auto" w:sz="4" w:space="0"/>
              <w:right w:val="single" w:color="auto" w:sz="4" w:space="0"/>
            </w:tcBorders>
            <w:vAlign w:val="center"/>
          </w:tcPr>
          <w:p w14:paraId="2DE0737A">
            <w:pPr>
              <w:widowControl/>
              <w:spacing w:line="300" w:lineRule="atLeast"/>
              <w:jc w:val="center"/>
              <w:rPr>
                <w:rFonts w:hint="eastAsia" w:cs="仿宋" w:asciiTheme="minorEastAsia" w:hAnsiTheme="minorEastAsia" w:eastAsiaTheme="minorEastAsia"/>
                <w:sz w:val="20"/>
              </w:rPr>
            </w:pPr>
            <w:r>
              <w:rPr>
                <w:rFonts w:cs="仿宋" w:asciiTheme="minorEastAsia" w:hAnsiTheme="minorEastAsia" w:eastAsiaTheme="minorEastAsia"/>
                <w:sz w:val="20"/>
              </w:rPr>
              <w:t>7</w:t>
            </w:r>
          </w:p>
        </w:tc>
        <w:tc>
          <w:tcPr>
            <w:tcW w:w="738" w:type="dxa"/>
            <w:tcBorders>
              <w:top w:val="single" w:color="auto" w:sz="4" w:space="0"/>
              <w:left w:val="single" w:color="auto" w:sz="4" w:space="0"/>
              <w:bottom w:val="single" w:color="auto" w:sz="4" w:space="0"/>
              <w:right w:val="single" w:color="auto" w:sz="4" w:space="0"/>
            </w:tcBorders>
            <w:vAlign w:val="center"/>
          </w:tcPr>
          <w:p w14:paraId="16BAE292">
            <w:pPr>
              <w:jc w:val="center"/>
              <w:rPr>
                <w:rFonts w:hint="eastAsia" w:cs="仿宋" w:asciiTheme="minorEastAsia" w:hAnsiTheme="minorEastAsia" w:eastAsiaTheme="minorEastAsia"/>
                <w:sz w:val="20"/>
              </w:rPr>
            </w:pPr>
            <w:r>
              <w:rPr>
                <w:rFonts w:hint="eastAsia" w:cs="仿宋" w:asciiTheme="minorEastAsia" w:hAnsiTheme="minorEastAsia" w:eastAsiaTheme="minorEastAsia"/>
                <w:sz w:val="20"/>
              </w:rPr>
              <w:t>专家打分</w:t>
            </w:r>
          </w:p>
        </w:tc>
        <w:tc>
          <w:tcPr>
            <w:tcW w:w="2642" w:type="dxa"/>
            <w:tcBorders>
              <w:top w:val="single" w:color="auto" w:sz="4" w:space="0"/>
              <w:left w:val="single" w:color="auto" w:sz="4" w:space="0"/>
              <w:bottom w:val="single" w:color="auto" w:sz="4" w:space="0"/>
              <w:right w:val="single" w:color="auto" w:sz="4" w:space="0"/>
            </w:tcBorders>
            <w:vAlign w:val="center"/>
          </w:tcPr>
          <w:p w14:paraId="1A92A6F3">
            <w:pPr>
              <w:widowControl/>
              <w:jc w:val="left"/>
              <w:rPr>
                <w:rFonts w:hint="eastAsia" w:cs="仿宋" w:asciiTheme="minorEastAsia" w:hAnsiTheme="minorEastAsia" w:eastAsiaTheme="minorEastAsia"/>
                <w:sz w:val="20"/>
              </w:rPr>
            </w:pPr>
            <w:r>
              <w:rPr>
                <w:rFonts w:cs="仿宋" w:asciiTheme="minorEastAsia" w:hAnsiTheme="minorEastAsia" w:eastAsiaTheme="minorEastAsia"/>
                <w:sz w:val="20"/>
              </w:rPr>
              <w:t>按照投标文件响应情况进行横向比较，分档评分：评价为优得</w:t>
            </w:r>
            <w:r>
              <w:rPr>
                <w:rFonts w:hint="eastAsia" w:cs="仿宋" w:asciiTheme="minorEastAsia" w:hAnsiTheme="minorEastAsia" w:eastAsiaTheme="minorEastAsia"/>
                <w:sz w:val="20"/>
              </w:rPr>
              <w:t>6-7</w:t>
            </w:r>
            <w:r>
              <w:rPr>
                <w:rFonts w:cs="仿宋" w:asciiTheme="minorEastAsia" w:hAnsiTheme="minorEastAsia" w:eastAsiaTheme="minorEastAsia"/>
                <w:sz w:val="20"/>
              </w:rPr>
              <w:t>分；评价为良得</w:t>
            </w:r>
            <w:r>
              <w:rPr>
                <w:rFonts w:hint="eastAsia" w:cs="仿宋" w:asciiTheme="minorEastAsia" w:hAnsiTheme="minorEastAsia" w:eastAsiaTheme="minorEastAsia"/>
                <w:sz w:val="20"/>
              </w:rPr>
              <w:t>4-5</w:t>
            </w:r>
            <w:r>
              <w:rPr>
                <w:rFonts w:cs="仿宋" w:asciiTheme="minorEastAsia" w:hAnsiTheme="minorEastAsia" w:eastAsiaTheme="minorEastAsia"/>
                <w:sz w:val="20"/>
              </w:rPr>
              <w:t>分；评价为中得</w:t>
            </w:r>
            <w:r>
              <w:rPr>
                <w:rFonts w:hint="eastAsia" w:cs="仿宋" w:asciiTheme="minorEastAsia" w:hAnsiTheme="minorEastAsia" w:eastAsiaTheme="minorEastAsia"/>
                <w:sz w:val="20"/>
              </w:rPr>
              <w:t>1-3</w:t>
            </w:r>
            <w:r>
              <w:rPr>
                <w:rFonts w:cs="仿宋" w:asciiTheme="minorEastAsia" w:hAnsiTheme="minorEastAsia" w:eastAsiaTheme="minorEastAsia"/>
                <w:sz w:val="20"/>
              </w:rPr>
              <w:t>分；评价为差不得分。</w:t>
            </w:r>
          </w:p>
        </w:tc>
      </w:tr>
      <w:tr w14:paraId="72C73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780" w:type="dxa"/>
            <w:vMerge w:val="continue"/>
            <w:tcBorders>
              <w:left w:val="single" w:color="auto" w:sz="4" w:space="0"/>
              <w:right w:val="single" w:color="auto" w:sz="4" w:space="0"/>
            </w:tcBorders>
            <w:vAlign w:val="center"/>
          </w:tcPr>
          <w:p w14:paraId="448B3F8F">
            <w:pPr>
              <w:widowControl/>
              <w:jc w:val="center"/>
              <w:rPr>
                <w:rFonts w:hint="eastAsia" w:asciiTheme="minorEastAsia" w:hAnsiTheme="minorEastAsia" w:eastAsiaTheme="minorEastAsia"/>
                <w:sz w:val="20"/>
              </w:rPr>
            </w:pPr>
          </w:p>
        </w:tc>
        <w:tc>
          <w:tcPr>
            <w:tcW w:w="1301" w:type="dxa"/>
            <w:tcBorders>
              <w:top w:val="single" w:color="auto" w:sz="4" w:space="0"/>
              <w:left w:val="single" w:color="auto" w:sz="4" w:space="0"/>
              <w:bottom w:val="single" w:color="auto" w:sz="4" w:space="0"/>
              <w:right w:val="single" w:color="auto" w:sz="4" w:space="0"/>
            </w:tcBorders>
            <w:vAlign w:val="center"/>
          </w:tcPr>
          <w:p w14:paraId="2D121FB3">
            <w:pPr>
              <w:jc w:val="center"/>
              <w:rPr>
                <w:rFonts w:hint="eastAsia" w:cs="仿宋" w:asciiTheme="minorEastAsia" w:hAnsiTheme="minorEastAsia" w:eastAsiaTheme="minorEastAsia"/>
                <w:sz w:val="20"/>
              </w:rPr>
            </w:pPr>
            <w:r>
              <w:rPr>
                <w:rFonts w:cs="仿宋" w:asciiTheme="minorEastAsia" w:hAnsiTheme="minorEastAsia" w:eastAsiaTheme="minorEastAsia"/>
                <w:sz w:val="20"/>
              </w:rPr>
              <w:t>3</w:t>
            </w:r>
          </w:p>
        </w:tc>
        <w:tc>
          <w:tcPr>
            <w:tcW w:w="2238" w:type="dxa"/>
            <w:tcBorders>
              <w:top w:val="single" w:color="auto" w:sz="4" w:space="0"/>
              <w:left w:val="single" w:color="auto" w:sz="4" w:space="0"/>
              <w:bottom w:val="single" w:color="auto" w:sz="4" w:space="0"/>
              <w:right w:val="single" w:color="auto" w:sz="4" w:space="0"/>
            </w:tcBorders>
            <w:vAlign w:val="center"/>
          </w:tcPr>
          <w:p w14:paraId="2B56EC32">
            <w:pPr>
              <w:widowControl/>
              <w:spacing w:line="300" w:lineRule="atLeast"/>
              <w:jc w:val="center"/>
              <w:rPr>
                <w:rFonts w:hint="eastAsia" w:cs="仿宋" w:asciiTheme="minorEastAsia" w:hAnsiTheme="minorEastAsia" w:eastAsiaTheme="minorEastAsia"/>
                <w:sz w:val="20"/>
              </w:rPr>
            </w:pPr>
            <w:r>
              <w:rPr>
                <w:rFonts w:cs="仿宋" w:asciiTheme="minorEastAsia" w:hAnsiTheme="minorEastAsia" w:eastAsiaTheme="minorEastAsia"/>
                <w:sz w:val="20"/>
              </w:rPr>
              <w:t>质量（完成时间、安全、环保）保障措施及方案</w:t>
            </w:r>
          </w:p>
        </w:tc>
        <w:tc>
          <w:tcPr>
            <w:tcW w:w="747" w:type="dxa"/>
            <w:gridSpan w:val="2"/>
            <w:tcBorders>
              <w:top w:val="single" w:color="auto" w:sz="4" w:space="0"/>
              <w:left w:val="single" w:color="auto" w:sz="4" w:space="0"/>
              <w:bottom w:val="single" w:color="auto" w:sz="4" w:space="0"/>
              <w:right w:val="single" w:color="auto" w:sz="4" w:space="0"/>
            </w:tcBorders>
            <w:vAlign w:val="center"/>
          </w:tcPr>
          <w:p w14:paraId="40B00FA8">
            <w:pPr>
              <w:widowControl/>
              <w:spacing w:line="300" w:lineRule="atLeast"/>
              <w:jc w:val="center"/>
              <w:rPr>
                <w:rFonts w:hint="eastAsia" w:cs="仿宋" w:asciiTheme="minorEastAsia" w:hAnsiTheme="minorEastAsia" w:eastAsiaTheme="minorEastAsia"/>
                <w:sz w:val="20"/>
              </w:rPr>
            </w:pPr>
            <w:r>
              <w:rPr>
                <w:rFonts w:cs="仿宋" w:asciiTheme="minorEastAsia" w:hAnsiTheme="minorEastAsia" w:eastAsiaTheme="minorEastAsia"/>
                <w:sz w:val="20"/>
              </w:rPr>
              <w:t>8</w:t>
            </w:r>
          </w:p>
        </w:tc>
        <w:tc>
          <w:tcPr>
            <w:tcW w:w="738" w:type="dxa"/>
            <w:tcBorders>
              <w:top w:val="single" w:color="auto" w:sz="4" w:space="0"/>
              <w:left w:val="single" w:color="auto" w:sz="4" w:space="0"/>
              <w:bottom w:val="single" w:color="auto" w:sz="4" w:space="0"/>
              <w:right w:val="single" w:color="auto" w:sz="4" w:space="0"/>
            </w:tcBorders>
            <w:vAlign w:val="center"/>
          </w:tcPr>
          <w:p w14:paraId="3D558389">
            <w:pPr>
              <w:jc w:val="center"/>
              <w:rPr>
                <w:rFonts w:hint="eastAsia" w:cs="仿宋" w:asciiTheme="minorEastAsia" w:hAnsiTheme="minorEastAsia" w:eastAsiaTheme="minorEastAsia"/>
                <w:sz w:val="20"/>
              </w:rPr>
            </w:pPr>
            <w:r>
              <w:rPr>
                <w:rFonts w:hint="eastAsia" w:cs="仿宋" w:asciiTheme="minorEastAsia" w:hAnsiTheme="minorEastAsia" w:eastAsiaTheme="minorEastAsia"/>
                <w:sz w:val="20"/>
              </w:rPr>
              <w:t>专家打分</w:t>
            </w:r>
          </w:p>
        </w:tc>
        <w:tc>
          <w:tcPr>
            <w:tcW w:w="2642" w:type="dxa"/>
            <w:tcBorders>
              <w:top w:val="single" w:color="auto" w:sz="4" w:space="0"/>
              <w:left w:val="single" w:color="auto" w:sz="4" w:space="0"/>
              <w:bottom w:val="single" w:color="auto" w:sz="4" w:space="0"/>
              <w:right w:val="single" w:color="auto" w:sz="4" w:space="0"/>
            </w:tcBorders>
            <w:vAlign w:val="center"/>
          </w:tcPr>
          <w:p w14:paraId="14A40101">
            <w:pPr>
              <w:widowControl/>
              <w:jc w:val="left"/>
              <w:rPr>
                <w:rFonts w:hint="eastAsia" w:cs="仿宋" w:asciiTheme="minorEastAsia" w:hAnsiTheme="minorEastAsia" w:eastAsiaTheme="minorEastAsia"/>
                <w:sz w:val="20"/>
              </w:rPr>
            </w:pPr>
            <w:r>
              <w:rPr>
                <w:rFonts w:cs="仿宋" w:asciiTheme="minorEastAsia" w:hAnsiTheme="minorEastAsia" w:eastAsiaTheme="minorEastAsia"/>
                <w:sz w:val="20"/>
              </w:rPr>
              <w:t>按照投标文件响应情况进行横向比较，分档评分：评价为优得</w:t>
            </w:r>
            <w:r>
              <w:rPr>
                <w:rFonts w:hint="eastAsia" w:cs="仿宋" w:asciiTheme="minorEastAsia" w:hAnsiTheme="minorEastAsia" w:eastAsiaTheme="minorEastAsia"/>
                <w:sz w:val="20"/>
              </w:rPr>
              <w:t>7-8</w:t>
            </w:r>
            <w:r>
              <w:rPr>
                <w:rFonts w:cs="仿宋" w:asciiTheme="minorEastAsia" w:hAnsiTheme="minorEastAsia" w:eastAsiaTheme="minorEastAsia"/>
                <w:sz w:val="20"/>
              </w:rPr>
              <w:t>分；评价为良得</w:t>
            </w:r>
            <w:r>
              <w:rPr>
                <w:rFonts w:hint="eastAsia" w:cs="仿宋" w:asciiTheme="minorEastAsia" w:hAnsiTheme="minorEastAsia" w:eastAsiaTheme="minorEastAsia"/>
                <w:sz w:val="20"/>
              </w:rPr>
              <w:t>4-6</w:t>
            </w:r>
            <w:r>
              <w:rPr>
                <w:rFonts w:cs="仿宋" w:asciiTheme="minorEastAsia" w:hAnsiTheme="minorEastAsia" w:eastAsiaTheme="minorEastAsia"/>
                <w:sz w:val="20"/>
              </w:rPr>
              <w:t>分；评价为中得</w:t>
            </w:r>
            <w:r>
              <w:rPr>
                <w:rFonts w:hint="eastAsia" w:cs="仿宋" w:asciiTheme="minorEastAsia" w:hAnsiTheme="minorEastAsia" w:eastAsiaTheme="minorEastAsia"/>
                <w:sz w:val="20"/>
              </w:rPr>
              <w:t>1-3</w:t>
            </w:r>
            <w:r>
              <w:rPr>
                <w:rFonts w:cs="仿宋" w:asciiTheme="minorEastAsia" w:hAnsiTheme="minorEastAsia" w:eastAsiaTheme="minorEastAsia"/>
                <w:sz w:val="20"/>
              </w:rPr>
              <w:t>分；评价为差不得分。</w:t>
            </w:r>
          </w:p>
        </w:tc>
      </w:tr>
      <w:tr w14:paraId="6E49D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780" w:type="dxa"/>
            <w:vMerge w:val="continue"/>
            <w:tcBorders>
              <w:left w:val="single" w:color="auto" w:sz="4" w:space="0"/>
              <w:right w:val="single" w:color="auto" w:sz="4" w:space="0"/>
            </w:tcBorders>
            <w:vAlign w:val="center"/>
          </w:tcPr>
          <w:p w14:paraId="60503F1C">
            <w:pPr>
              <w:widowControl/>
              <w:jc w:val="center"/>
              <w:rPr>
                <w:rFonts w:hint="eastAsia" w:asciiTheme="minorEastAsia" w:hAnsiTheme="minorEastAsia" w:eastAsiaTheme="minorEastAsia"/>
                <w:sz w:val="20"/>
              </w:rPr>
            </w:pPr>
          </w:p>
        </w:tc>
        <w:tc>
          <w:tcPr>
            <w:tcW w:w="1301" w:type="dxa"/>
            <w:tcBorders>
              <w:top w:val="single" w:color="auto" w:sz="4" w:space="0"/>
              <w:left w:val="single" w:color="auto" w:sz="4" w:space="0"/>
              <w:bottom w:val="single" w:color="auto" w:sz="4" w:space="0"/>
              <w:right w:val="single" w:color="auto" w:sz="4" w:space="0"/>
            </w:tcBorders>
            <w:vAlign w:val="center"/>
          </w:tcPr>
          <w:p w14:paraId="01920D70">
            <w:pPr>
              <w:jc w:val="center"/>
              <w:rPr>
                <w:rFonts w:hint="eastAsia" w:cs="仿宋" w:asciiTheme="minorEastAsia" w:hAnsiTheme="minorEastAsia" w:eastAsiaTheme="minorEastAsia"/>
                <w:sz w:val="20"/>
              </w:rPr>
            </w:pPr>
            <w:r>
              <w:rPr>
                <w:rFonts w:hint="eastAsia" w:cs="仿宋" w:asciiTheme="minorEastAsia" w:hAnsiTheme="minorEastAsia" w:eastAsiaTheme="minorEastAsia"/>
                <w:sz w:val="20"/>
              </w:rPr>
              <w:t>4</w:t>
            </w:r>
          </w:p>
        </w:tc>
        <w:tc>
          <w:tcPr>
            <w:tcW w:w="2238" w:type="dxa"/>
            <w:tcBorders>
              <w:top w:val="single" w:color="auto" w:sz="4" w:space="0"/>
              <w:left w:val="single" w:color="auto" w:sz="4" w:space="0"/>
              <w:bottom w:val="single" w:color="auto" w:sz="4" w:space="0"/>
              <w:right w:val="single" w:color="auto" w:sz="4" w:space="0"/>
            </w:tcBorders>
            <w:vAlign w:val="center"/>
          </w:tcPr>
          <w:p w14:paraId="5B1A2341">
            <w:pPr>
              <w:widowControl/>
              <w:spacing w:line="300" w:lineRule="atLeast"/>
              <w:jc w:val="center"/>
              <w:rPr>
                <w:rFonts w:hint="eastAsia" w:cs="仿宋" w:asciiTheme="minorEastAsia" w:hAnsiTheme="minorEastAsia" w:eastAsiaTheme="minorEastAsia"/>
                <w:sz w:val="20"/>
              </w:rPr>
            </w:pPr>
            <w:r>
              <w:rPr>
                <w:rFonts w:cs="仿宋" w:asciiTheme="minorEastAsia" w:hAnsiTheme="minorEastAsia" w:eastAsiaTheme="minorEastAsia"/>
                <w:sz w:val="20"/>
              </w:rPr>
              <w:t>违约承诺</w:t>
            </w:r>
          </w:p>
        </w:tc>
        <w:tc>
          <w:tcPr>
            <w:tcW w:w="747" w:type="dxa"/>
            <w:gridSpan w:val="2"/>
            <w:tcBorders>
              <w:top w:val="single" w:color="auto" w:sz="4" w:space="0"/>
              <w:left w:val="single" w:color="auto" w:sz="4" w:space="0"/>
              <w:bottom w:val="single" w:color="auto" w:sz="4" w:space="0"/>
              <w:right w:val="single" w:color="auto" w:sz="4" w:space="0"/>
            </w:tcBorders>
            <w:vAlign w:val="center"/>
          </w:tcPr>
          <w:p w14:paraId="14C75CD8">
            <w:pPr>
              <w:widowControl/>
              <w:spacing w:line="300" w:lineRule="atLeast"/>
              <w:jc w:val="center"/>
              <w:rPr>
                <w:rFonts w:hint="eastAsia" w:cs="仿宋" w:asciiTheme="minorEastAsia" w:hAnsiTheme="minorEastAsia" w:eastAsiaTheme="minorEastAsia"/>
                <w:sz w:val="20"/>
              </w:rPr>
            </w:pPr>
            <w:r>
              <w:rPr>
                <w:rFonts w:cs="仿宋" w:asciiTheme="minorEastAsia" w:hAnsiTheme="minorEastAsia" w:eastAsiaTheme="minorEastAsia"/>
                <w:sz w:val="20"/>
              </w:rPr>
              <w:t>5</w:t>
            </w:r>
          </w:p>
        </w:tc>
        <w:tc>
          <w:tcPr>
            <w:tcW w:w="738" w:type="dxa"/>
            <w:tcBorders>
              <w:top w:val="single" w:color="auto" w:sz="4" w:space="0"/>
              <w:left w:val="single" w:color="auto" w:sz="4" w:space="0"/>
              <w:bottom w:val="single" w:color="auto" w:sz="4" w:space="0"/>
              <w:right w:val="single" w:color="auto" w:sz="4" w:space="0"/>
            </w:tcBorders>
            <w:vAlign w:val="center"/>
          </w:tcPr>
          <w:p w14:paraId="3F417C72">
            <w:pPr>
              <w:jc w:val="center"/>
              <w:rPr>
                <w:rFonts w:hint="eastAsia" w:cs="仿宋" w:asciiTheme="minorEastAsia" w:hAnsiTheme="minorEastAsia" w:eastAsiaTheme="minorEastAsia"/>
                <w:sz w:val="20"/>
              </w:rPr>
            </w:pPr>
            <w:r>
              <w:rPr>
                <w:rFonts w:hint="eastAsia" w:cs="仿宋" w:asciiTheme="minorEastAsia" w:hAnsiTheme="minorEastAsia" w:eastAsiaTheme="minorEastAsia"/>
                <w:sz w:val="20"/>
              </w:rPr>
              <w:t>专家打分</w:t>
            </w:r>
          </w:p>
        </w:tc>
        <w:tc>
          <w:tcPr>
            <w:tcW w:w="2642" w:type="dxa"/>
            <w:tcBorders>
              <w:top w:val="single" w:color="auto" w:sz="4" w:space="0"/>
              <w:left w:val="single" w:color="auto" w:sz="4" w:space="0"/>
              <w:bottom w:val="single" w:color="auto" w:sz="4" w:space="0"/>
              <w:right w:val="single" w:color="auto" w:sz="4" w:space="0"/>
            </w:tcBorders>
            <w:vAlign w:val="center"/>
          </w:tcPr>
          <w:p w14:paraId="4E50012C">
            <w:pPr>
              <w:widowControl/>
              <w:jc w:val="left"/>
              <w:rPr>
                <w:rFonts w:hint="eastAsia" w:cs="仿宋" w:asciiTheme="minorEastAsia" w:hAnsiTheme="minorEastAsia" w:eastAsiaTheme="minorEastAsia"/>
                <w:sz w:val="20"/>
              </w:rPr>
            </w:pPr>
            <w:r>
              <w:rPr>
                <w:rFonts w:cs="仿宋" w:asciiTheme="minorEastAsia" w:hAnsiTheme="minorEastAsia" w:eastAsiaTheme="minorEastAsia"/>
                <w:sz w:val="20"/>
              </w:rPr>
              <w:t>按照投标文件响应情况进行横向比较，分档评分：评价为优得</w:t>
            </w:r>
            <w:r>
              <w:rPr>
                <w:rFonts w:hint="eastAsia" w:cs="仿宋" w:asciiTheme="minorEastAsia" w:hAnsiTheme="minorEastAsia" w:eastAsiaTheme="minorEastAsia"/>
                <w:sz w:val="20"/>
              </w:rPr>
              <w:t>4-5</w:t>
            </w:r>
            <w:r>
              <w:rPr>
                <w:rFonts w:cs="仿宋" w:asciiTheme="minorEastAsia" w:hAnsiTheme="minorEastAsia" w:eastAsiaTheme="minorEastAsia"/>
                <w:sz w:val="20"/>
              </w:rPr>
              <w:t>分；评价为良得</w:t>
            </w:r>
            <w:r>
              <w:rPr>
                <w:rFonts w:hint="eastAsia" w:cs="仿宋" w:asciiTheme="minorEastAsia" w:hAnsiTheme="minorEastAsia" w:eastAsiaTheme="minorEastAsia"/>
                <w:sz w:val="20"/>
              </w:rPr>
              <w:t>2-3</w:t>
            </w:r>
            <w:r>
              <w:rPr>
                <w:rFonts w:cs="仿宋" w:asciiTheme="minorEastAsia" w:hAnsiTheme="minorEastAsia" w:eastAsiaTheme="minorEastAsia"/>
                <w:sz w:val="20"/>
              </w:rPr>
              <w:t>分；评价为中得</w:t>
            </w:r>
            <w:r>
              <w:rPr>
                <w:rFonts w:hint="eastAsia" w:cs="仿宋" w:asciiTheme="minorEastAsia" w:hAnsiTheme="minorEastAsia" w:eastAsiaTheme="minorEastAsia"/>
                <w:sz w:val="20"/>
              </w:rPr>
              <w:t>1</w:t>
            </w:r>
            <w:r>
              <w:rPr>
                <w:rFonts w:cs="仿宋" w:asciiTheme="minorEastAsia" w:hAnsiTheme="minorEastAsia" w:eastAsiaTheme="minorEastAsia"/>
                <w:sz w:val="20"/>
              </w:rPr>
              <w:t>分；评价为差不得分。</w:t>
            </w:r>
          </w:p>
        </w:tc>
      </w:tr>
      <w:tr w14:paraId="4FAFD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780" w:type="dxa"/>
            <w:vMerge w:val="continue"/>
            <w:tcBorders>
              <w:left w:val="single" w:color="auto" w:sz="4" w:space="0"/>
              <w:right w:val="single" w:color="auto" w:sz="4" w:space="0"/>
            </w:tcBorders>
            <w:vAlign w:val="center"/>
          </w:tcPr>
          <w:p w14:paraId="21597D46">
            <w:pPr>
              <w:widowControl/>
              <w:jc w:val="center"/>
              <w:rPr>
                <w:rFonts w:hint="eastAsia" w:asciiTheme="minorEastAsia" w:hAnsiTheme="minorEastAsia" w:eastAsiaTheme="minorEastAsia"/>
                <w:sz w:val="20"/>
              </w:rPr>
            </w:pPr>
          </w:p>
        </w:tc>
        <w:tc>
          <w:tcPr>
            <w:tcW w:w="1301" w:type="dxa"/>
            <w:tcBorders>
              <w:top w:val="single" w:color="auto" w:sz="4" w:space="0"/>
              <w:left w:val="single" w:color="auto" w:sz="4" w:space="0"/>
              <w:bottom w:val="single" w:color="auto" w:sz="4" w:space="0"/>
              <w:right w:val="single" w:color="auto" w:sz="4" w:space="0"/>
            </w:tcBorders>
            <w:vAlign w:val="center"/>
          </w:tcPr>
          <w:p w14:paraId="0127ABE4">
            <w:pPr>
              <w:jc w:val="center"/>
              <w:rPr>
                <w:rFonts w:hint="eastAsia" w:cs="仿宋" w:asciiTheme="minorEastAsia" w:hAnsiTheme="minorEastAsia" w:eastAsiaTheme="minorEastAsia"/>
                <w:sz w:val="20"/>
              </w:rPr>
            </w:pPr>
            <w:r>
              <w:rPr>
                <w:rFonts w:hint="eastAsia" w:cs="仿宋" w:asciiTheme="minorEastAsia" w:hAnsiTheme="minorEastAsia" w:eastAsiaTheme="minorEastAsia"/>
                <w:sz w:val="20"/>
              </w:rPr>
              <w:t>5</w:t>
            </w:r>
          </w:p>
        </w:tc>
        <w:tc>
          <w:tcPr>
            <w:tcW w:w="2238" w:type="dxa"/>
            <w:tcBorders>
              <w:top w:val="single" w:color="auto" w:sz="4" w:space="0"/>
              <w:left w:val="single" w:color="auto" w:sz="4" w:space="0"/>
              <w:bottom w:val="single" w:color="auto" w:sz="4" w:space="0"/>
              <w:right w:val="single" w:color="auto" w:sz="4" w:space="0"/>
            </w:tcBorders>
            <w:vAlign w:val="center"/>
          </w:tcPr>
          <w:p w14:paraId="69FA0BEA">
            <w:pPr>
              <w:widowControl/>
              <w:spacing w:line="300" w:lineRule="atLeast"/>
              <w:jc w:val="center"/>
              <w:rPr>
                <w:rFonts w:hint="eastAsia" w:cs="仿宋" w:asciiTheme="minorEastAsia" w:hAnsiTheme="minorEastAsia" w:eastAsiaTheme="minorEastAsia"/>
                <w:sz w:val="20"/>
              </w:rPr>
            </w:pPr>
            <w:r>
              <w:rPr>
                <w:rFonts w:cs="仿宋" w:asciiTheme="minorEastAsia" w:hAnsiTheme="minorEastAsia" w:eastAsiaTheme="minorEastAsia"/>
                <w:sz w:val="20"/>
              </w:rPr>
              <w:t>拟安排的项目负责人情况</w:t>
            </w:r>
          </w:p>
        </w:tc>
        <w:tc>
          <w:tcPr>
            <w:tcW w:w="747" w:type="dxa"/>
            <w:gridSpan w:val="2"/>
            <w:tcBorders>
              <w:top w:val="single" w:color="auto" w:sz="4" w:space="0"/>
              <w:left w:val="single" w:color="auto" w:sz="4" w:space="0"/>
              <w:bottom w:val="single" w:color="auto" w:sz="4" w:space="0"/>
              <w:right w:val="single" w:color="auto" w:sz="4" w:space="0"/>
            </w:tcBorders>
            <w:vAlign w:val="center"/>
          </w:tcPr>
          <w:p w14:paraId="38A7F1CB">
            <w:pPr>
              <w:widowControl/>
              <w:spacing w:line="300" w:lineRule="atLeast"/>
              <w:jc w:val="center"/>
              <w:rPr>
                <w:rFonts w:hint="eastAsia" w:cs="仿宋" w:asciiTheme="minorEastAsia" w:hAnsiTheme="minorEastAsia" w:eastAsiaTheme="minorEastAsia"/>
                <w:sz w:val="20"/>
              </w:rPr>
            </w:pPr>
            <w:r>
              <w:rPr>
                <w:rFonts w:cs="仿宋" w:asciiTheme="minorEastAsia" w:hAnsiTheme="minorEastAsia" w:eastAsiaTheme="minorEastAsia"/>
                <w:sz w:val="20"/>
              </w:rPr>
              <w:t>5</w:t>
            </w:r>
          </w:p>
        </w:tc>
        <w:tc>
          <w:tcPr>
            <w:tcW w:w="738" w:type="dxa"/>
            <w:tcBorders>
              <w:top w:val="single" w:color="auto" w:sz="4" w:space="0"/>
              <w:left w:val="single" w:color="auto" w:sz="4" w:space="0"/>
              <w:bottom w:val="single" w:color="auto" w:sz="4" w:space="0"/>
              <w:right w:val="single" w:color="auto" w:sz="4" w:space="0"/>
            </w:tcBorders>
            <w:vAlign w:val="center"/>
          </w:tcPr>
          <w:p w14:paraId="1DF3B943">
            <w:pPr>
              <w:jc w:val="center"/>
              <w:rPr>
                <w:rFonts w:hint="eastAsia" w:cs="仿宋" w:asciiTheme="minorEastAsia" w:hAnsiTheme="minorEastAsia" w:eastAsiaTheme="minorEastAsia"/>
                <w:sz w:val="20"/>
              </w:rPr>
            </w:pPr>
            <w:r>
              <w:rPr>
                <w:rFonts w:hint="eastAsia" w:cs="仿宋" w:asciiTheme="minorEastAsia" w:hAnsiTheme="minorEastAsia" w:eastAsiaTheme="minorEastAsia"/>
                <w:sz w:val="20"/>
              </w:rPr>
              <w:t>专家打分</w:t>
            </w:r>
          </w:p>
        </w:tc>
        <w:tc>
          <w:tcPr>
            <w:tcW w:w="2642" w:type="dxa"/>
            <w:tcBorders>
              <w:top w:val="single" w:color="auto" w:sz="4" w:space="0"/>
              <w:left w:val="single" w:color="auto" w:sz="4" w:space="0"/>
              <w:bottom w:val="single" w:color="auto" w:sz="4" w:space="0"/>
              <w:right w:val="single" w:color="auto" w:sz="4" w:space="0"/>
            </w:tcBorders>
            <w:vAlign w:val="center"/>
          </w:tcPr>
          <w:p w14:paraId="2A1701E1">
            <w:pPr>
              <w:widowControl/>
              <w:jc w:val="left"/>
              <w:rPr>
                <w:rFonts w:hint="eastAsia" w:cs="仿宋" w:asciiTheme="minorEastAsia" w:hAnsiTheme="minorEastAsia" w:eastAsiaTheme="minorEastAsia"/>
                <w:sz w:val="20"/>
              </w:rPr>
            </w:pPr>
            <w:r>
              <w:rPr>
                <w:rFonts w:cs="仿宋" w:asciiTheme="minorEastAsia" w:hAnsiTheme="minorEastAsia" w:eastAsiaTheme="minorEastAsia"/>
                <w:sz w:val="20"/>
              </w:rPr>
              <w:t>考察项目负责人职称、学历（学位）、资格（资质）、工作经验（业绩）等，横向比较，评价为优得</w:t>
            </w:r>
            <w:r>
              <w:rPr>
                <w:rFonts w:hint="eastAsia" w:cs="仿宋" w:asciiTheme="minorEastAsia" w:hAnsiTheme="minorEastAsia" w:eastAsiaTheme="minorEastAsia"/>
                <w:sz w:val="20"/>
              </w:rPr>
              <w:t>4-5</w:t>
            </w:r>
            <w:r>
              <w:rPr>
                <w:rFonts w:cs="仿宋" w:asciiTheme="minorEastAsia" w:hAnsiTheme="minorEastAsia" w:eastAsiaTheme="minorEastAsia"/>
                <w:sz w:val="20"/>
              </w:rPr>
              <w:t>分；评价为良得</w:t>
            </w:r>
            <w:r>
              <w:rPr>
                <w:rFonts w:hint="eastAsia" w:cs="仿宋" w:asciiTheme="minorEastAsia" w:hAnsiTheme="minorEastAsia" w:eastAsiaTheme="minorEastAsia"/>
                <w:sz w:val="20"/>
              </w:rPr>
              <w:t>2-3</w:t>
            </w:r>
            <w:r>
              <w:rPr>
                <w:rFonts w:cs="仿宋" w:asciiTheme="minorEastAsia" w:hAnsiTheme="minorEastAsia" w:eastAsiaTheme="minorEastAsia"/>
                <w:sz w:val="20"/>
              </w:rPr>
              <w:t>分；评价为中得</w:t>
            </w:r>
            <w:r>
              <w:rPr>
                <w:rFonts w:hint="eastAsia" w:cs="仿宋" w:asciiTheme="minorEastAsia" w:hAnsiTheme="minorEastAsia" w:eastAsiaTheme="minorEastAsia"/>
                <w:sz w:val="20"/>
              </w:rPr>
              <w:t>1</w:t>
            </w:r>
            <w:r>
              <w:rPr>
                <w:rFonts w:cs="仿宋" w:asciiTheme="minorEastAsia" w:hAnsiTheme="minorEastAsia" w:eastAsiaTheme="minorEastAsia"/>
                <w:sz w:val="20"/>
              </w:rPr>
              <w:t>分；评价为差不得分。</w:t>
            </w:r>
          </w:p>
        </w:tc>
      </w:tr>
      <w:tr w14:paraId="1DF33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780" w:type="dxa"/>
            <w:vMerge w:val="continue"/>
            <w:tcBorders>
              <w:left w:val="single" w:color="auto" w:sz="4" w:space="0"/>
              <w:right w:val="single" w:color="auto" w:sz="4" w:space="0"/>
            </w:tcBorders>
            <w:vAlign w:val="center"/>
          </w:tcPr>
          <w:p w14:paraId="2755A3FF">
            <w:pPr>
              <w:widowControl/>
              <w:jc w:val="center"/>
              <w:rPr>
                <w:rFonts w:hint="eastAsia" w:asciiTheme="minorEastAsia" w:hAnsiTheme="minorEastAsia" w:eastAsiaTheme="minorEastAsia"/>
                <w:sz w:val="20"/>
              </w:rPr>
            </w:pPr>
          </w:p>
        </w:tc>
        <w:tc>
          <w:tcPr>
            <w:tcW w:w="1301" w:type="dxa"/>
            <w:tcBorders>
              <w:top w:val="single" w:color="auto" w:sz="4" w:space="0"/>
              <w:left w:val="single" w:color="auto" w:sz="4" w:space="0"/>
              <w:bottom w:val="single" w:color="auto" w:sz="4" w:space="0"/>
              <w:right w:val="single" w:color="auto" w:sz="4" w:space="0"/>
            </w:tcBorders>
            <w:vAlign w:val="center"/>
          </w:tcPr>
          <w:p w14:paraId="1B813A71">
            <w:pPr>
              <w:jc w:val="center"/>
              <w:rPr>
                <w:rFonts w:hint="eastAsia" w:cs="仿宋" w:asciiTheme="minorEastAsia" w:hAnsiTheme="minorEastAsia" w:eastAsiaTheme="minorEastAsia"/>
                <w:sz w:val="20"/>
              </w:rPr>
            </w:pPr>
            <w:r>
              <w:rPr>
                <w:rFonts w:hint="eastAsia" w:cs="仿宋" w:asciiTheme="minorEastAsia" w:hAnsiTheme="minorEastAsia" w:eastAsiaTheme="minorEastAsia"/>
                <w:sz w:val="20"/>
              </w:rPr>
              <w:t>6</w:t>
            </w:r>
          </w:p>
        </w:tc>
        <w:tc>
          <w:tcPr>
            <w:tcW w:w="2238" w:type="dxa"/>
            <w:tcBorders>
              <w:top w:val="single" w:color="auto" w:sz="4" w:space="0"/>
              <w:left w:val="single" w:color="auto" w:sz="4" w:space="0"/>
              <w:bottom w:val="single" w:color="auto" w:sz="4" w:space="0"/>
              <w:right w:val="single" w:color="auto" w:sz="4" w:space="0"/>
            </w:tcBorders>
            <w:vAlign w:val="center"/>
          </w:tcPr>
          <w:p w14:paraId="47ABBB7F">
            <w:pPr>
              <w:widowControl/>
              <w:spacing w:line="300" w:lineRule="atLeast"/>
              <w:jc w:val="center"/>
              <w:rPr>
                <w:rFonts w:hint="eastAsia" w:cs="仿宋" w:asciiTheme="minorEastAsia" w:hAnsiTheme="minorEastAsia" w:eastAsiaTheme="minorEastAsia"/>
                <w:sz w:val="20"/>
              </w:rPr>
            </w:pPr>
            <w:r>
              <w:rPr>
                <w:rFonts w:cs="仿宋" w:asciiTheme="minorEastAsia" w:hAnsiTheme="minorEastAsia" w:eastAsiaTheme="minorEastAsia"/>
                <w:sz w:val="20"/>
              </w:rPr>
              <w:t>拟安排的项目团队成员（项目负责人除外）情况</w:t>
            </w:r>
          </w:p>
        </w:tc>
        <w:tc>
          <w:tcPr>
            <w:tcW w:w="747" w:type="dxa"/>
            <w:gridSpan w:val="2"/>
            <w:tcBorders>
              <w:top w:val="single" w:color="auto" w:sz="4" w:space="0"/>
              <w:left w:val="single" w:color="auto" w:sz="4" w:space="0"/>
              <w:bottom w:val="single" w:color="auto" w:sz="4" w:space="0"/>
              <w:right w:val="single" w:color="auto" w:sz="4" w:space="0"/>
            </w:tcBorders>
            <w:vAlign w:val="center"/>
          </w:tcPr>
          <w:p w14:paraId="2244C4B1">
            <w:pPr>
              <w:widowControl/>
              <w:spacing w:line="300" w:lineRule="atLeast"/>
              <w:jc w:val="center"/>
              <w:rPr>
                <w:rFonts w:hint="eastAsia" w:cs="仿宋" w:asciiTheme="minorEastAsia" w:hAnsiTheme="minorEastAsia" w:eastAsiaTheme="minorEastAsia"/>
                <w:sz w:val="20"/>
              </w:rPr>
            </w:pPr>
            <w:r>
              <w:rPr>
                <w:rFonts w:cs="仿宋" w:asciiTheme="minorEastAsia" w:hAnsiTheme="minorEastAsia" w:eastAsiaTheme="minorEastAsia"/>
                <w:sz w:val="20"/>
              </w:rPr>
              <w:t>10</w:t>
            </w:r>
          </w:p>
        </w:tc>
        <w:tc>
          <w:tcPr>
            <w:tcW w:w="738" w:type="dxa"/>
            <w:tcBorders>
              <w:top w:val="single" w:color="auto" w:sz="4" w:space="0"/>
              <w:left w:val="single" w:color="auto" w:sz="4" w:space="0"/>
              <w:bottom w:val="single" w:color="auto" w:sz="4" w:space="0"/>
              <w:right w:val="single" w:color="auto" w:sz="4" w:space="0"/>
            </w:tcBorders>
            <w:vAlign w:val="center"/>
          </w:tcPr>
          <w:p w14:paraId="433A6DB4">
            <w:pPr>
              <w:jc w:val="center"/>
              <w:rPr>
                <w:rFonts w:hint="eastAsia" w:cs="仿宋" w:asciiTheme="minorEastAsia" w:hAnsiTheme="minorEastAsia" w:eastAsiaTheme="minorEastAsia"/>
                <w:sz w:val="20"/>
              </w:rPr>
            </w:pPr>
            <w:r>
              <w:rPr>
                <w:rFonts w:hint="eastAsia" w:cs="仿宋" w:asciiTheme="minorEastAsia" w:hAnsiTheme="minorEastAsia" w:eastAsiaTheme="minorEastAsia"/>
                <w:sz w:val="20"/>
              </w:rPr>
              <w:t>专家打分</w:t>
            </w:r>
          </w:p>
        </w:tc>
        <w:tc>
          <w:tcPr>
            <w:tcW w:w="2642" w:type="dxa"/>
            <w:tcBorders>
              <w:top w:val="single" w:color="auto" w:sz="4" w:space="0"/>
              <w:left w:val="single" w:color="auto" w:sz="4" w:space="0"/>
              <w:bottom w:val="single" w:color="auto" w:sz="4" w:space="0"/>
              <w:right w:val="single" w:color="auto" w:sz="4" w:space="0"/>
            </w:tcBorders>
            <w:vAlign w:val="center"/>
          </w:tcPr>
          <w:p w14:paraId="338F5D18">
            <w:pPr>
              <w:widowControl/>
              <w:jc w:val="left"/>
              <w:rPr>
                <w:rFonts w:hint="eastAsia" w:cs="仿宋" w:asciiTheme="minorEastAsia" w:hAnsiTheme="minorEastAsia" w:eastAsiaTheme="minorEastAsia"/>
                <w:sz w:val="20"/>
              </w:rPr>
            </w:pPr>
            <w:r>
              <w:rPr>
                <w:rFonts w:cs="仿宋" w:asciiTheme="minorEastAsia" w:hAnsiTheme="minorEastAsia" w:eastAsiaTheme="minorEastAsia"/>
                <w:sz w:val="20"/>
              </w:rPr>
              <w:t>考察项目团队成员职称、学历（学位）、资格（资质）、工作经验（业绩）等，横向比较，</w:t>
            </w:r>
            <w:r>
              <w:rPr>
                <w:rFonts w:hint="eastAsia" w:cs="仿宋" w:asciiTheme="minorEastAsia" w:hAnsiTheme="minorEastAsia" w:eastAsiaTheme="minorEastAsia"/>
                <w:sz w:val="20"/>
              </w:rPr>
              <w:t>5年以上原厂核磁维修经验工程师5名以上且具备原厂培训资格认证证书，工程师培训信息可经有效渠道查询。服务商提供本项目要求的工程师人员名单及有效的原厂培训证书、工程师在职证明。</w:t>
            </w:r>
            <w:r>
              <w:rPr>
                <w:rFonts w:cs="仿宋" w:asciiTheme="minorEastAsia" w:hAnsiTheme="minorEastAsia" w:eastAsiaTheme="minorEastAsia"/>
                <w:sz w:val="20"/>
              </w:rPr>
              <w:t>评价为优得</w:t>
            </w:r>
            <w:r>
              <w:rPr>
                <w:rFonts w:hint="eastAsia" w:cs="仿宋" w:asciiTheme="minorEastAsia" w:hAnsiTheme="minorEastAsia" w:eastAsiaTheme="minorEastAsia"/>
                <w:sz w:val="20"/>
              </w:rPr>
              <w:t>8-10</w:t>
            </w:r>
            <w:r>
              <w:rPr>
                <w:rFonts w:cs="仿宋" w:asciiTheme="minorEastAsia" w:hAnsiTheme="minorEastAsia" w:eastAsiaTheme="minorEastAsia"/>
                <w:sz w:val="20"/>
              </w:rPr>
              <w:t>分；评价为良得</w:t>
            </w:r>
            <w:r>
              <w:rPr>
                <w:rFonts w:hint="eastAsia" w:cs="仿宋" w:asciiTheme="minorEastAsia" w:hAnsiTheme="minorEastAsia" w:eastAsiaTheme="minorEastAsia"/>
                <w:sz w:val="20"/>
              </w:rPr>
              <w:t>5-7</w:t>
            </w:r>
            <w:r>
              <w:rPr>
                <w:rFonts w:cs="仿宋" w:asciiTheme="minorEastAsia" w:hAnsiTheme="minorEastAsia" w:eastAsiaTheme="minorEastAsia"/>
                <w:sz w:val="20"/>
              </w:rPr>
              <w:t>分；评价为中得</w:t>
            </w:r>
            <w:r>
              <w:rPr>
                <w:rFonts w:hint="eastAsia" w:cs="仿宋" w:asciiTheme="minorEastAsia" w:hAnsiTheme="minorEastAsia" w:eastAsiaTheme="minorEastAsia"/>
                <w:sz w:val="20"/>
              </w:rPr>
              <w:t>1-4</w:t>
            </w:r>
            <w:r>
              <w:rPr>
                <w:rFonts w:cs="仿宋" w:asciiTheme="minorEastAsia" w:hAnsiTheme="minorEastAsia" w:eastAsiaTheme="minorEastAsia"/>
                <w:sz w:val="20"/>
              </w:rPr>
              <w:t>分；评价为差不得分。</w:t>
            </w:r>
          </w:p>
        </w:tc>
      </w:tr>
      <w:tr w14:paraId="6AC54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780" w:type="dxa"/>
            <w:vMerge w:val="continue"/>
            <w:tcBorders>
              <w:left w:val="single" w:color="auto" w:sz="4" w:space="0"/>
              <w:right w:val="single" w:color="auto" w:sz="4" w:space="0"/>
            </w:tcBorders>
            <w:vAlign w:val="center"/>
          </w:tcPr>
          <w:p w14:paraId="17CD8849">
            <w:pPr>
              <w:widowControl/>
              <w:jc w:val="center"/>
              <w:rPr>
                <w:rFonts w:hint="eastAsia" w:asciiTheme="minorEastAsia" w:hAnsiTheme="minorEastAsia" w:eastAsiaTheme="minorEastAsia"/>
                <w:sz w:val="20"/>
              </w:rPr>
            </w:pPr>
          </w:p>
        </w:tc>
        <w:tc>
          <w:tcPr>
            <w:tcW w:w="1301" w:type="dxa"/>
            <w:tcBorders>
              <w:top w:val="single" w:color="auto" w:sz="4" w:space="0"/>
              <w:left w:val="single" w:color="auto" w:sz="4" w:space="0"/>
              <w:bottom w:val="single" w:color="auto" w:sz="4" w:space="0"/>
              <w:right w:val="single" w:color="auto" w:sz="4" w:space="0"/>
            </w:tcBorders>
            <w:vAlign w:val="center"/>
          </w:tcPr>
          <w:p w14:paraId="42F227CB">
            <w:pPr>
              <w:jc w:val="center"/>
              <w:rPr>
                <w:rFonts w:hint="eastAsia" w:cs="仿宋" w:asciiTheme="minorEastAsia" w:hAnsiTheme="minorEastAsia" w:eastAsiaTheme="minorEastAsia"/>
                <w:sz w:val="20"/>
              </w:rPr>
            </w:pPr>
            <w:r>
              <w:rPr>
                <w:rFonts w:hint="eastAsia" w:cs="仿宋" w:asciiTheme="minorEastAsia" w:hAnsiTheme="minorEastAsia" w:eastAsiaTheme="minorEastAsia"/>
                <w:sz w:val="20"/>
              </w:rPr>
              <w:t>7</w:t>
            </w:r>
          </w:p>
        </w:tc>
        <w:tc>
          <w:tcPr>
            <w:tcW w:w="2238" w:type="dxa"/>
            <w:tcBorders>
              <w:top w:val="single" w:color="auto" w:sz="4" w:space="0"/>
              <w:left w:val="single" w:color="auto" w:sz="4" w:space="0"/>
              <w:bottom w:val="single" w:color="auto" w:sz="4" w:space="0"/>
              <w:right w:val="single" w:color="auto" w:sz="4" w:space="0"/>
            </w:tcBorders>
            <w:vAlign w:val="center"/>
          </w:tcPr>
          <w:p w14:paraId="5EED7754">
            <w:pPr>
              <w:widowControl/>
              <w:spacing w:line="300" w:lineRule="atLeast"/>
              <w:jc w:val="center"/>
              <w:rPr>
                <w:rFonts w:hint="eastAsia" w:cs="仿宋" w:asciiTheme="minorEastAsia" w:hAnsiTheme="minorEastAsia" w:eastAsiaTheme="minorEastAsia"/>
                <w:sz w:val="20"/>
              </w:rPr>
            </w:pPr>
            <w:r>
              <w:rPr>
                <w:rFonts w:cs="仿宋" w:asciiTheme="minorEastAsia" w:hAnsiTheme="minorEastAsia" w:eastAsiaTheme="minorEastAsia"/>
                <w:sz w:val="20"/>
              </w:rPr>
              <w:t>技术参数要求符合度</w:t>
            </w:r>
          </w:p>
        </w:tc>
        <w:tc>
          <w:tcPr>
            <w:tcW w:w="747" w:type="dxa"/>
            <w:gridSpan w:val="2"/>
            <w:tcBorders>
              <w:top w:val="single" w:color="auto" w:sz="4" w:space="0"/>
              <w:left w:val="single" w:color="auto" w:sz="4" w:space="0"/>
              <w:bottom w:val="single" w:color="auto" w:sz="4" w:space="0"/>
              <w:right w:val="single" w:color="auto" w:sz="4" w:space="0"/>
            </w:tcBorders>
            <w:vAlign w:val="center"/>
          </w:tcPr>
          <w:p w14:paraId="5707B086">
            <w:pPr>
              <w:widowControl/>
              <w:spacing w:line="300" w:lineRule="atLeast"/>
              <w:jc w:val="center"/>
              <w:rPr>
                <w:rFonts w:hint="eastAsia" w:cs="仿宋" w:asciiTheme="minorEastAsia" w:hAnsiTheme="minorEastAsia" w:eastAsiaTheme="minorEastAsia"/>
                <w:sz w:val="20"/>
              </w:rPr>
            </w:pPr>
            <w:r>
              <w:rPr>
                <w:rFonts w:cs="仿宋" w:asciiTheme="minorEastAsia" w:hAnsiTheme="minorEastAsia" w:eastAsiaTheme="minorEastAsia"/>
                <w:sz w:val="20"/>
              </w:rPr>
              <w:t>1</w:t>
            </w:r>
            <w:r>
              <w:rPr>
                <w:rFonts w:hint="eastAsia" w:cs="仿宋" w:asciiTheme="minorEastAsia" w:hAnsiTheme="minorEastAsia" w:eastAsiaTheme="minorEastAsia"/>
                <w:sz w:val="20"/>
              </w:rPr>
              <w:t>5</w:t>
            </w:r>
          </w:p>
        </w:tc>
        <w:tc>
          <w:tcPr>
            <w:tcW w:w="738" w:type="dxa"/>
            <w:tcBorders>
              <w:top w:val="single" w:color="auto" w:sz="4" w:space="0"/>
              <w:left w:val="single" w:color="auto" w:sz="4" w:space="0"/>
              <w:bottom w:val="single" w:color="auto" w:sz="4" w:space="0"/>
              <w:right w:val="single" w:color="auto" w:sz="4" w:space="0"/>
            </w:tcBorders>
            <w:vAlign w:val="center"/>
          </w:tcPr>
          <w:p w14:paraId="5D0BEACE">
            <w:pPr>
              <w:jc w:val="center"/>
              <w:rPr>
                <w:rFonts w:hint="eastAsia" w:cs="仿宋" w:asciiTheme="minorEastAsia" w:hAnsiTheme="minorEastAsia" w:eastAsiaTheme="minorEastAsia"/>
                <w:sz w:val="20"/>
              </w:rPr>
            </w:pPr>
            <w:r>
              <w:rPr>
                <w:rFonts w:hint="eastAsia" w:cs="仿宋" w:asciiTheme="minorEastAsia" w:hAnsiTheme="minorEastAsia" w:eastAsiaTheme="minorEastAsia"/>
                <w:sz w:val="20"/>
              </w:rPr>
              <w:t>专家打分</w:t>
            </w:r>
          </w:p>
        </w:tc>
        <w:tc>
          <w:tcPr>
            <w:tcW w:w="2642" w:type="dxa"/>
            <w:tcBorders>
              <w:top w:val="single" w:color="auto" w:sz="4" w:space="0"/>
              <w:left w:val="single" w:color="auto" w:sz="4" w:space="0"/>
              <w:bottom w:val="single" w:color="auto" w:sz="4" w:space="0"/>
              <w:right w:val="single" w:color="auto" w:sz="4" w:space="0"/>
            </w:tcBorders>
            <w:vAlign w:val="center"/>
          </w:tcPr>
          <w:p w14:paraId="2D3BD0C8">
            <w:pPr>
              <w:widowControl/>
              <w:jc w:val="left"/>
              <w:rPr>
                <w:rFonts w:hint="eastAsia" w:cs="仿宋" w:asciiTheme="minorEastAsia" w:hAnsiTheme="minorEastAsia" w:eastAsiaTheme="minorEastAsia"/>
                <w:sz w:val="20"/>
              </w:rPr>
            </w:pPr>
            <w:r>
              <w:rPr>
                <w:rFonts w:cs="仿宋" w:asciiTheme="minorEastAsia" w:hAnsiTheme="minorEastAsia" w:eastAsiaTheme="minorEastAsia"/>
                <w:sz w:val="20"/>
              </w:rPr>
              <w:t>根据保修要求和技术参数要求符合程度方面标准评分，每不满足一项一般参数扣2分，每不满足一项重要参数（带</w:t>
            </w:r>
            <w:r>
              <w:rPr>
                <w:rFonts w:hint="eastAsia" w:cs="仿宋" w:asciiTheme="minorEastAsia" w:hAnsiTheme="minorEastAsia" w:eastAsiaTheme="minorEastAsia"/>
                <w:sz w:val="20"/>
              </w:rPr>
              <w:t>▲</w:t>
            </w:r>
            <w:r>
              <w:rPr>
                <w:rFonts w:cs="仿宋" w:asciiTheme="minorEastAsia" w:hAnsiTheme="minorEastAsia" w:eastAsiaTheme="minorEastAsia"/>
                <w:sz w:val="20"/>
              </w:rPr>
              <w:t>号）扣3分，扣完为止（需提供相应的证明文件或者承诺函）。</w:t>
            </w:r>
          </w:p>
        </w:tc>
      </w:tr>
      <w:tr w14:paraId="572BE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tcBorders>
              <w:top w:val="single" w:color="auto" w:sz="4" w:space="0"/>
              <w:left w:val="single" w:color="auto" w:sz="4" w:space="0"/>
              <w:bottom w:val="single" w:color="auto" w:sz="4" w:space="0"/>
              <w:right w:val="single" w:color="auto" w:sz="4" w:space="0"/>
            </w:tcBorders>
          </w:tcPr>
          <w:p w14:paraId="2DC2DD74">
            <w:pPr>
              <w:jc w:val="center"/>
              <w:rPr>
                <w:rFonts w:hint="eastAsia" w:asciiTheme="minorEastAsia" w:hAnsiTheme="minorEastAsia" w:eastAsiaTheme="minorEastAsia"/>
                <w:b/>
                <w:sz w:val="20"/>
              </w:rPr>
            </w:pPr>
            <w:r>
              <w:rPr>
                <w:rFonts w:asciiTheme="minorEastAsia" w:hAnsiTheme="minorEastAsia" w:eastAsiaTheme="minorEastAsia"/>
                <w:b/>
                <w:sz w:val="20"/>
              </w:rPr>
              <w:t>3</w:t>
            </w:r>
          </w:p>
        </w:tc>
        <w:tc>
          <w:tcPr>
            <w:tcW w:w="4286" w:type="dxa"/>
            <w:gridSpan w:val="4"/>
            <w:tcBorders>
              <w:top w:val="single" w:color="auto" w:sz="4" w:space="0"/>
              <w:left w:val="single" w:color="auto" w:sz="4" w:space="0"/>
              <w:bottom w:val="single" w:color="auto" w:sz="4" w:space="0"/>
              <w:right w:val="single" w:color="auto" w:sz="4" w:space="0"/>
            </w:tcBorders>
          </w:tcPr>
          <w:p w14:paraId="27B674CC">
            <w:pPr>
              <w:jc w:val="center"/>
              <w:rPr>
                <w:rFonts w:hint="eastAsia" w:asciiTheme="minorEastAsia" w:hAnsiTheme="minorEastAsia" w:eastAsiaTheme="minorEastAsia"/>
                <w:b/>
                <w:sz w:val="20"/>
              </w:rPr>
            </w:pPr>
            <w:r>
              <w:rPr>
                <w:rFonts w:hint="eastAsia" w:asciiTheme="minorEastAsia" w:hAnsiTheme="minorEastAsia" w:eastAsiaTheme="minorEastAsia"/>
                <w:b/>
                <w:sz w:val="20"/>
              </w:rPr>
              <w:t>商务部分</w:t>
            </w:r>
          </w:p>
        </w:tc>
        <w:tc>
          <w:tcPr>
            <w:tcW w:w="3380" w:type="dxa"/>
            <w:gridSpan w:val="2"/>
            <w:tcBorders>
              <w:top w:val="single" w:color="auto" w:sz="4" w:space="0"/>
              <w:left w:val="single" w:color="auto" w:sz="4" w:space="0"/>
              <w:bottom w:val="single" w:color="auto" w:sz="4" w:space="0"/>
              <w:right w:val="single" w:color="auto" w:sz="4" w:space="0"/>
            </w:tcBorders>
          </w:tcPr>
          <w:p w14:paraId="1DAB7ECB">
            <w:pPr>
              <w:jc w:val="center"/>
              <w:rPr>
                <w:rFonts w:hint="eastAsia" w:asciiTheme="minorEastAsia" w:hAnsiTheme="minorEastAsia" w:eastAsiaTheme="minorEastAsia"/>
                <w:b/>
                <w:sz w:val="20"/>
              </w:rPr>
            </w:pPr>
            <w:r>
              <w:rPr>
                <w:rFonts w:hint="eastAsia" w:asciiTheme="minorEastAsia" w:hAnsiTheme="minorEastAsia" w:eastAsiaTheme="minorEastAsia"/>
                <w:b/>
                <w:sz w:val="20"/>
              </w:rPr>
              <w:t>15</w:t>
            </w:r>
          </w:p>
        </w:tc>
      </w:tr>
      <w:tr w14:paraId="05C6C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trPr>
        <w:tc>
          <w:tcPr>
            <w:tcW w:w="780" w:type="dxa"/>
            <w:vMerge w:val="restart"/>
            <w:tcBorders>
              <w:top w:val="single" w:color="auto" w:sz="4" w:space="0"/>
              <w:left w:val="single" w:color="auto" w:sz="4" w:space="0"/>
              <w:right w:val="single" w:color="auto" w:sz="4" w:space="0"/>
            </w:tcBorders>
          </w:tcPr>
          <w:p w14:paraId="4B1F40B4">
            <w:pPr>
              <w:jc w:val="center"/>
              <w:rPr>
                <w:rFonts w:hint="eastAsia" w:asciiTheme="minorEastAsia" w:hAnsiTheme="minorEastAsia" w:eastAsiaTheme="minorEastAsia"/>
                <w:sz w:val="20"/>
              </w:rPr>
            </w:pPr>
          </w:p>
        </w:tc>
        <w:tc>
          <w:tcPr>
            <w:tcW w:w="1301" w:type="dxa"/>
            <w:tcBorders>
              <w:top w:val="single" w:color="auto" w:sz="4" w:space="0"/>
              <w:left w:val="single" w:color="auto" w:sz="4" w:space="0"/>
              <w:bottom w:val="single" w:color="auto" w:sz="4" w:space="0"/>
              <w:right w:val="single" w:color="auto" w:sz="4" w:space="0"/>
            </w:tcBorders>
          </w:tcPr>
          <w:p w14:paraId="090224EB">
            <w:pPr>
              <w:jc w:val="center"/>
              <w:rPr>
                <w:rFonts w:hint="eastAsia" w:asciiTheme="minorEastAsia" w:hAnsiTheme="minorEastAsia" w:eastAsiaTheme="minorEastAsia"/>
                <w:sz w:val="20"/>
              </w:rPr>
            </w:pPr>
            <w:r>
              <w:rPr>
                <w:rFonts w:hint="eastAsia" w:asciiTheme="minorEastAsia" w:hAnsiTheme="minorEastAsia" w:eastAsiaTheme="minorEastAsia"/>
                <w:sz w:val="20"/>
              </w:rPr>
              <w:t>序号</w:t>
            </w:r>
          </w:p>
        </w:tc>
        <w:tc>
          <w:tcPr>
            <w:tcW w:w="2304" w:type="dxa"/>
            <w:gridSpan w:val="2"/>
            <w:tcBorders>
              <w:top w:val="single" w:color="auto" w:sz="4" w:space="0"/>
              <w:left w:val="single" w:color="auto" w:sz="4" w:space="0"/>
              <w:bottom w:val="single" w:color="auto" w:sz="4" w:space="0"/>
              <w:right w:val="single" w:color="auto" w:sz="4" w:space="0"/>
            </w:tcBorders>
          </w:tcPr>
          <w:p w14:paraId="324EF196">
            <w:pPr>
              <w:jc w:val="center"/>
              <w:rPr>
                <w:rFonts w:hint="eastAsia" w:asciiTheme="minorEastAsia" w:hAnsiTheme="minorEastAsia" w:eastAsiaTheme="minorEastAsia"/>
                <w:sz w:val="20"/>
              </w:rPr>
            </w:pPr>
            <w:r>
              <w:rPr>
                <w:rFonts w:hint="eastAsia" w:asciiTheme="minorEastAsia" w:hAnsiTheme="minorEastAsia" w:eastAsiaTheme="minorEastAsia"/>
                <w:sz w:val="20"/>
              </w:rPr>
              <w:t>评分因素</w:t>
            </w:r>
          </w:p>
        </w:tc>
        <w:tc>
          <w:tcPr>
            <w:tcW w:w="681" w:type="dxa"/>
            <w:tcBorders>
              <w:top w:val="single" w:color="auto" w:sz="4" w:space="0"/>
              <w:left w:val="single" w:color="auto" w:sz="4" w:space="0"/>
              <w:bottom w:val="single" w:color="auto" w:sz="4" w:space="0"/>
              <w:right w:val="single" w:color="auto" w:sz="4" w:space="0"/>
            </w:tcBorders>
          </w:tcPr>
          <w:p w14:paraId="1996D366">
            <w:pPr>
              <w:jc w:val="center"/>
              <w:rPr>
                <w:rFonts w:hint="eastAsia" w:asciiTheme="minorEastAsia" w:hAnsiTheme="minorEastAsia" w:eastAsiaTheme="minorEastAsia"/>
                <w:sz w:val="20"/>
              </w:rPr>
            </w:pPr>
            <w:r>
              <w:rPr>
                <w:rFonts w:hint="eastAsia" w:asciiTheme="minorEastAsia" w:hAnsiTheme="minorEastAsia" w:eastAsiaTheme="minorEastAsia"/>
                <w:sz w:val="20"/>
              </w:rPr>
              <w:t>权重</w:t>
            </w:r>
          </w:p>
        </w:tc>
        <w:tc>
          <w:tcPr>
            <w:tcW w:w="738" w:type="dxa"/>
            <w:tcBorders>
              <w:top w:val="single" w:color="auto" w:sz="4" w:space="0"/>
              <w:left w:val="single" w:color="auto" w:sz="4" w:space="0"/>
              <w:bottom w:val="single" w:color="auto" w:sz="4" w:space="0"/>
              <w:right w:val="single" w:color="auto" w:sz="4" w:space="0"/>
            </w:tcBorders>
          </w:tcPr>
          <w:p w14:paraId="4A38A39B">
            <w:pPr>
              <w:jc w:val="center"/>
              <w:rPr>
                <w:rFonts w:hint="eastAsia" w:asciiTheme="minorEastAsia" w:hAnsiTheme="minorEastAsia" w:eastAsiaTheme="minorEastAsia"/>
                <w:sz w:val="20"/>
              </w:rPr>
            </w:pPr>
            <w:r>
              <w:rPr>
                <w:rFonts w:hint="eastAsia" w:asciiTheme="minorEastAsia" w:hAnsiTheme="minorEastAsia" w:eastAsiaTheme="minorEastAsia"/>
                <w:sz w:val="20"/>
              </w:rPr>
              <w:t>评分方式</w:t>
            </w:r>
          </w:p>
        </w:tc>
        <w:tc>
          <w:tcPr>
            <w:tcW w:w="2642" w:type="dxa"/>
            <w:tcBorders>
              <w:top w:val="single" w:color="auto" w:sz="4" w:space="0"/>
              <w:left w:val="single" w:color="auto" w:sz="4" w:space="0"/>
              <w:bottom w:val="single" w:color="auto" w:sz="4" w:space="0"/>
              <w:right w:val="single" w:color="auto" w:sz="4" w:space="0"/>
            </w:tcBorders>
          </w:tcPr>
          <w:p w14:paraId="79E949F2">
            <w:pPr>
              <w:jc w:val="center"/>
              <w:rPr>
                <w:rFonts w:hint="eastAsia" w:asciiTheme="minorEastAsia" w:hAnsiTheme="minorEastAsia" w:eastAsiaTheme="minorEastAsia"/>
                <w:sz w:val="20"/>
              </w:rPr>
            </w:pPr>
            <w:r>
              <w:rPr>
                <w:rFonts w:hint="eastAsia" w:asciiTheme="minorEastAsia" w:hAnsiTheme="minorEastAsia" w:eastAsiaTheme="minorEastAsia"/>
                <w:sz w:val="20"/>
              </w:rPr>
              <w:t>评分准则</w:t>
            </w:r>
          </w:p>
        </w:tc>
      </w:tr>
      <w:tr w14:paraId="0D4EF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780" w:type="dxa"/>
            <w:vMerge w:val="continue"/>
            <w:tcBorders>
              <w:left w:val="single" w:color="auto" w:sz="4" w:space="0"/>
              <w:right w:val="single" w:color="auto" w:sz="4" w:space="0"/>
            </w:tcBorders>
            <w:vAlign w:val="center"/>
          </w:tcPr>
          <w:p w14:paraId="356EFD9C">
            <w:pPr>
              <w:widowControl/>
              <w:jc w:val="center"/>
              <w:rPr>
                <w:rFonts w:hint="eastAsia" w:asciiTheme="minorEastAsia" w:hAnsiTheme="minorEastAsia" w:eastAsiaTheme="minorEastAsia"/>
                <w:sz w:val="20"/>
              </w:rPr>
            </w:pPr>
          </w:p>
        </w:tc>
        <w:tc>
          <w:tcPr>
            <w:tcW w:w="1301" w:type="dxa"/>
            <w:tcBorders>
              <w:top w:val="single" w:color="auto" w:sz="4" w:space="0"/>
              <w:left w:val="single" w:color="auto" w:sz="4" w:space="0"/>
              <w:bottom w:val="single" w:color="auto" w:sz="4" w:space="0"/>
              <w:right w:val="single" w:color="auto" w:sz="4" w:space="0"/>
            </w:tcBorders>
            <w:vAlign w:val="center"/>
          </w:tcPr>
          <w:p w14:paraId="7E041FD6">
            <w:pPr>
              <w:jc w:val="center"/>
              <w:rPr>
                <w:rFonts w:hint="eastAsia" w:asciiTheme="minorEastAsia" w:hAnsiTheme="minorEastAsia" w:eastAsiaTheme="minorEastAsia"/>
                <w:sz w:val="20"/>
              </w:rPr>
            </w:pPr>
            <w:r>
              <w:rPr>
                <w:rFonts w:hint="eastAsia" w:asciiTheme="minorEastAsia" w:hAnsiTheme="minorEastAsia" w:eastAsiaTheme="minorEastAsia"/>
                <w:sz w:val="20"/>
              </w:rPr>
              <w:t>1</w:t>
            </w:r>
          </w:p>
        </w:tc>
        <w:tc>
          <w:tcPr>
            <w:tcW w:w="2304" w:type="dxa"/>
            <w:gridSpan w:val="2"/>
            <w:tcBorders>
              <w:top w:val="single" w:color="auto" w:sz="4" w:space="0"/>
              <w:left w:val="single" w:color="auto" w:sz="4" w:space="0"/>
              <w:bottom w:val="single" w:color="auto" w:sz="4" w:space="0"/>
              <w:right w:val="single" w:color="auto" w:sz="4" w:space="0"/>
            </w:tcBorders>
            <w:vAlign w:val="center"/>
          </w:tcPr>
          <w:p w14:paraId="7F465098">
            <w:pPr>
              <w:widowControl/>
              <w:spacing w:line="120" w:lineRule="atLeast"/>
              <w:jc w:val="left"/>
              <w:rPr>
                <w:rFonts w:hint="eastAsia" w:asciiTheme="minorEastAsia" w:hAnsiTheme="minorEastAsia" w:eastAsiaTheme="minorEastAsia"/>
                <w:sz w:val="20"/>
              </w:rPr>
            </w:pPr>
            <w:r>
              <w:rPr>
                <w:rFonts w:asciiTheme="minorEastAsia" w:hAnsiTheme="minorEastAsia" w:eastAsiaTheme="minorEastAsia"/>
                <w:sz w:val="20"/>
              </w:rPr>
              <w:t>投标人同类项目业绩情况</w:t>
            </w:r>
          </w:p>
        </w:tc>
        <w:tc>
          <w:tcPr>
            <w:tcW w:w="681" w:type="dxa"/>
            <w:tcBorders>
              <w:top w:val="single" w:color="auto" w:sz="4" w:space="0"/>
              <w:left w:val="single" w:color="auto" w:sz="4" w:space="0"/>
              <w:bottom w:val="single" w:color="auto" w:sz="4" w:space="0"/>
              <w:right w:val="single" w:color="auto" w:sz="4" w:space="0"/>
            </w:tcBorders>
            <w:vAlign w:val="center"/>
          </w:tcPr>
          <w:p w14:paraId="478EE129">
            <w:pPr>
              <w:widowControl/>
              <w:spacing w:line="120" w:lineRule="atLeast"/>
              <w:jc w:val="center"/>
              <w:rPr>
                <w:rFonts w:hint="eastAsia" w:asciiTheme="minorEastAsia" w:hAnsiTheme="minorEastAsia" w:eastAsiaTheme="minorEastAsia"/>
                <w:sz w:val="20"/>
              </w:rPr>
            </w:pPr>
            <w:r>
              <w:rPr>
                <w:rFonts w:asciiTheme="minorEastAsia" w:hAnsiTheme="minorEastAsia" w:eastAsiaTheme="minorEastAsia"/>
                <w:sz w:val="20"/>
              </w:rPr>
              <w:t>5</w:t>
            </w:r>
          </w:p>
        </w:tc>
        <w:tc>
          <w:tcPr>
            <w:tcW w:w="738" w:type="dxa"/>
            <w:tcBorders>
              <w:top w:val="single" w:color="auto" w:sz="4" w:space="0"/>
              <w:left w:val="single" w:color="auto" w:sz="4" w:space="0"/>
              <w:bottom w:val="single" w:color="auto" w:sz="4" w:space="0"/>
              <w:right w:val="single" w:color="auto" w:sz="4" w:space="0"/>
            </w:tcBorders>
            <w:vAlign w:val="center"/>
          </w:tcPr>
          <w:p w14:paraId="4F60CB2B">
            <w:pPr>
              <w:jc w:val="center"/>
              <w:rPr>
                <w:rFonts w:hint="eastAsia" w:asciiTheme="minorEastAsia" w:hAnsiTheme="minorEastAsia" w:eastAsiaTheme="minorEastAsia"/>
                <w:sz w:val="20"/>
              </w:rPr>
            </w:pPr>
            <w:r>
              <w:rPr>
                <w:rFonts w:hint="eastAsia" w:asciiTheme="minorEastAsia" w:hAnsiTheme="minorEastAsia" w:eastAsiaTheme="minorEastAsia"/>
                <w:sz w:val="20"/>
              </w:rPr>
              <w:t>专家打分</w:t>
            </w:r>
          </w:p>
        </w:tc>
        <w:tc>
          <w:tcPr>
            <w:tcW w:w="2642" w:type="dxa"/>
            <w:tcBorders>
              <w:top w:val="single" w:color="auto" w:sz="4" w:space="0"/>
              <w:left w:val="single" w:color="auto" w:sz="4" w:space="0"/>
              <w:bottom w:val="single" w:color="auto" w:sz="4" w:space="0"/>
              <w:right w:val="single" w:color="auto" w:sz="4" w:space="0"/>
            </w:tcBorders>
            <w:vAlign w:val="center"/>
          </w:tcPr>
          <w:p w14:paraId="4F5F1254">
            <w:pPr>
              <w:widowControl/>
              <w:spacing w:line="120" w:lineRule="atLeast"/>
              <w:jc w:val="left"/>
              <w:rPr>
                <w:rFonts w:hint="eastAsia" w:asciiTheme="minorEastAsia" w:hAnsiTheme="minorEastAsia" w:eastAsiaTheme="minorEastAsia"/>
                <w:sz w:val="20"/>
              </w:rPr>
            </w:pPr>
            <w:r>
              <w:rPr>
                <w:rFonts w:hint="eastAsia" w:asciiTheme="minorEastAsia" w:hAnsiTheme="minorEastAsia" w:eastAsiaTheme="minorEastAsia"/>
                <w:sz w:val="20"/>
              </w:rPr>
              <w:t>同类型业绩要求：投标人须提供5份自2021年10月1日至本项目投标截止之日完成的包含同品牌、同型号、同类型维保服务合同作为本项目的业绩证明（以合同签订日期为准）。提供5个或以上同类业绩即得满分，</w:t>
            </w:r>
            <w:r>
              <w:rPr>
                <w:rFonts w:asciiTheme="minorEastAsia" w:hAnsiTheme="minorEastAsia" w:eastAsiaTheme="minorEastAsia"/>
                <w:sz w:val="20"/>
              </w:rPr>
              <w:t>提供</w:t>
            </w:r>
            <w:r>
              <w:rPr>
                <w:rFonts w:hint="eastAsia" w:asciiTheme="minorEastAsia" w:hAnsiTheme="minorEastAsia" w:eastAsiaTheme="minorEastAsia"/>
                <w:sz w:val="20"/>
              </w:rPr>
              <w:t>3</w:t>
            </w:r>
            <w:r>
              <w:rPr>
                <w:rFonts w:asciiTheme="minorEastAsia" w:hAnsiTheme="minorEastAsia" w:eastAsiaTheme="minorEastAsia"/>
                <w:sz w:val="20"/>
              </w:rPr>
              <w:t>个得</w:t>
            </w:r>
            <w:r>
              <w:rPr>
                <w:rFonts w:hint="eastAsia" w:asciiTheme="minorEastAsia" w:hAnsiTheme="minorEastAsia" w:eastAsiaTheme="minorEastAsia"/>
                <w:sz w:val="20"/>
              </w:rPr>
              <w:t>3分</w:t>
            </w:r>
            <w:r>
              <w:rPr>
                <w:rFonts w:asciiTheme="minorEastAsia" w:hAnsiTheme="minorEastAsia" w:eastAsiaTheme="minorEastAsia"/>
                <w:sz w:val="20"/>
              </w:rPr>
              <w:t>，提供1个得</w:t>
            </w:r>
            <w:r>
              <w:rPr>
                <w:rFonts w:hint="eastAsia" w:asciiTheme="minorEastAsia" w:hAnsiTheme="minorEastAsia" w:eastAsiaTheme="minorEastAsia"/>
                <w:sz w:val="20"/>
              </w:rPr>
              <w:t>1.5分</w:t>
            </w:r>
            <w:r>
              <w:rPr>
                <w:rFonts w:asciiTheme="minorEastAsia" w:hAnsiTheme="minorEastAsia" w:eastAsiaTheme="minorEastAsia"/>
                <w:sz w:val="20"/>
              </w:rPr>
              <w:t>，未提供的不得分。投标人必须在投标文件中提供每一个完工项目的合同或中标通知书，否则不得分</w:t>
            </w:r>
          </w:p>
        </w:tc>
      </w:tr>
      <w:tr w14:paraId="630A9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780" w:type="dxa"/>
            <w:vMerge w:val="continue"/>
            <w:tcBorders>
              <w:left w:val="single" w:color="auto" w:sz="4" w:space="0"/>
              <w:right w:val="single" w:color="auto" w:sz="4" w:space="0"/>
            </w:tcBorders>
            <w:vAlign w:val="center"/>
          </w:tcPr>
          <w:p w14:paraId="2918500B">
            <w:pPr>
              <w:widowControl/>
              <w:jc w:val="center"/>
              <w:rPr>
                <w:rFonts w:hint="eastAsia" w:asciiTheme="minorEastAsia" w:hAnsiTheme="minorEastAsia" w:eastAsiaTheme="minorEastAsia"/>
                <w:sz w:val="20"/>
              </w:rPr>
            </w:pPr>
          </w:p>
        </w:tc>
        <w:tc>
          <w:tcPr>
            <w:tcW w:w="1301" w:type="dxa"/>
            <w:tcBorders>
              <w:top w:val="single" w:color="auto" w:sz="4" w:space="0"/>
              <w:left w:val="single" w:color="auto" w:sz="4" w:space="0"/>
              <w:bottom w:val="single" w:color="auto" w:sz="4" w:space="0"/>
              <w:right w:val="single" w:color="auto" w:sz="4" w:space="0"/>
            </w:tcBorders>
            <w:vAlign w:val="center"/>
          </w:tcPr>
          <w:p w14:paraId="24C38533">
            <w:pPr>
              <w:jc w:val="center"/>
              <w:rPr>
                <w:rFonts w:hint="eastAsia" w:asciiTheme="minorEastAsia" w:hAnsiTheme="minorEastAsia" w:eastAsiaTheme="minorEastAsia"/>
                <w:sz w:val="20"/>
              </w:rPr>
            </w:pPr>
            <w:r>
              <w:rPr>
                <w:rFonts w:hint="eastAsia" w:asciiTheme="minorEastAsia" w:hAnsiTheme="minorEastAsia" w:eastAsiaTheme="minorEastAsia"/>
                <w:sz w:val="20"/>
              </w:rPr>
              <w:t>2</w:t>
            </w:r>
          </w:p>
        </w:tc>
        <w:tc>
          <w:tcPr>
            <w:tcW w:w="2304" w:type="dxa"/>
            <w:gridSpan w:val="2"/>
            <w:tcBorders>
              <w:top w:val="single" w:color="auto" w:sz="4" w:space="0"/>
              <w:left w:val="single" w:color="auto" w:sz="4" w:space="0"/>
              <w:bottom w:val="single" w:color="auto" w:sz="4" w:space="0"/>
              <w:right w:val="single" w:color="auto" w:sz="4" w:space="0"/>
            </w:tcBorders>
            <w:vAlign w:val="center"/>
          </w:tcPr>
          <w:p w14:paraId="7BD9A8C6">
            <w:pPr>
              <w:widowControl/>
              <w:spacing w:line="120" w:lineRule="atLeast"/>
              <w:jc w:val="left"/>
              <w:rPr>
                <w:rFonts w:hint="eastAsia" w:asciiTheme="minorEastAsia" w:hAnsiTheme="minorEastAsia" w:eastAsiaTheme="minorEastAsia"/>
                <w:sz w:val="20"/>
              </w:rPr>
            </w:pPr>
            <w:r>
              <w:rPr>
                <w:rFonts w:asciiTheme="minorEastAsia" w:hAnsiTheme="minorEastAsia" w:eastAsiaTheme="minorEastAsia"/>
                <w:sz w:val="20"/>
              </w:rPr>
              <w:t>投标人获奖（荣誉）情况</w:t>
            </w:r>
          </w:p>
        </w:tc>
        <w:tc>
          <w:tcPr>
            <w:tcW w:w="681" w:type="dxa"/>
            <w:tcBorders>
              <w:top w:val="single" w:color="auto" w:sz="4" w:space="0"/>
              <w:left w:val="single" w:color="auto" w:sz="4" w:space="0"/>
              <w:bottom w:val="single" w:color="auto" w:sz="4" w:space="0"/>
              <w:right w:val="single" w:color="auto" w:sz="4" w:space="0"/>
            </w:tcBorders>
            <w:vAlign w:val="center"/>
          </w:tcPr>
          <w:p w14:paraId="682CBD6C">
            <w:pPr>
              <w:widowControl/>
              <w:spacing w:line="120" w:lineRule="atLeast"/>
              <w:jc w:val="center"/>
              <w:rPr>
                <w:rFonts w:hint="eastAsia" w:asciiTheme="minorEastAsia" w:hAnsiTheme="minorEastAsia" w:eastAsiaTheme="minorEastAsia"/>
                <w:sz w:val="20"/>
              </w:rPr>
            </w:pPr>
            <w:r>
              <w:rPr>
                <w:rFonts w:hint="eastAsia" w:asciiTheme="minorEastAsia" w:hAnsiTheme="minorEastAsia" w:eastAsiaTheme="minorEastAsia"/>
                <w:sz w:val="20"/>
              </w:rPr>
              <w:t>5</w:t>
            </w:r>
          </w:p>
        </w:tc>
        <w:tc>
          <w:tcPr>
            <w:tcW w:w="738" w:type="dxa"/>
            <w:tcBorders>
              <w:top w:val="single" w:color="auto" w:sz="4" w:space="0"/>
              <w:left w:val="single" w:color="auto" w:sz="4" w:space="0"/>
              <w:bottom w:val="single" w:color="auto" w:sz="4" w:space="0"/>
              <w:right w:val="single" w:color="auto" w:sz="4" w:space="0"/>
            </w:tcBorders>
            <w:vAlign w:val="center"/>
          </w:tcPr>
          <w:p w14:paraId="176BBE11">
            <w:pPr>
              <w:jc w:val="center"/>
              <w:rPr>
                <w:rFonts w:hint="eastAsia" w:asciiTheme="minorEastAsia" w:hAnsiTheme="minorEastAsia" w:eastAsiaTheme="minorEastAsia"/>
                <w:sz w:val="20"/>
              </w:rPr>
            </w:pPr>
            <w:r>
              <w:rPr>
                <w:rFonts w:hint="eastAsia" w:asciiTheme="minorEastAsia" w:hAnsiTheme="minorEastAsia" w:eastAsiaTheme="minorEastAsia"/>
                <w:sz w:val="20"/>
              </w:rPr>
              <w:t>专家打分</w:t>
            </w:r>
          </w:p>
        </w:tc>
        <w:tc>
          <w:tcPr>
            <w:tcW w:w="2642" w:type="dxa"/>
            <w:tcBorders>
              <w:top w:val="single" w:color="auto" w:sz="4" w:space="0"/>
              <w:left w:val="single" w:color="auto" w:sz="4" w:space="0"/>
              <w:bottom w:val="single" w:color="auto" w:sz="4" w:space="0"/>
              <w:right w:val="single" w:color="auto" w:sz="4" w:space="0"/>
            </w:tcBorders>
            <w:vAlign w:val="center"/>
          </w:tcPr>
          <w:p w14:paraId="1B673FE2">
            <w:pPr>
              <w:widowControl/>
              <w:spacing w:line="120" w:lineRule="atLeast"/>
              <w:jc w:val="left"/>
              <w:rPr>
                <w:rFonts w:hint="eastAsia" w:asciiTheme="minorEastAsia" w:hAnsiTheme="minorEastAsia" w:eastAsiaTheme="minorEastAsia"/>
                <w:sz w:val="20"/>
              </w:rPr>
            </w:pPr>
            <w:r>
              <w:rPr>
                <w:rFonts w:asciiTheme="minorEastAsia" w:hAnsiTheme="minorEastAsia" w:eastAsiaTheme="minorEastAsia"/>
                <w:sz w:val="20"/>
              </w:rPr>
              <w:t>请提供奖励证明扫描件，原件备查。横向比较打分，</w:t>
            </w:r>
            <w:r>
              <w:rPr>
                <w:rFonts w:cs="仿宋" w:asciiTheme="minorEastAsia" w:hAnsiTheme="minorEastAsia" w:eastAsiaTheme="minorEastAsia"/>
                <w:sz w:val="20"/>
              </w:rPr>
              <w:t>评价为优得</w:t>
            </w:r>
            <w:r>
              <w:rPr>
                <w:rFonts w:hint="eastAsia" w:cs="仿宋" w:asciiTheme="minorEastAsia" w:hAnsiTheme="minorEastAsia" w:eastAsiaTheme="minorEastAsia"/>
                <w:sz w:val="20"/>
              </w:rPr>
              <w:t>5</w:t>
            </w:r>
            <w:r>
              <w:rPr>
                <w:rFonts w:cs="仿宋" w:asciiTheme="minorEastAsia" w:hAnsiTheme="minorEastAsia" w:eastAsiaTheme="minorEastAsia"/>
                <w:sz w:val="20"/>
              </w:rPr>
              <w:t>分；评价为良得</w:t>
            </w:r>
            <w:r>
              <w:rPr>
                <w:rFonts w:hint="eastAsia" w:cs="仿宋" w:asciiTheme="minorEastAsia" w:hAnsiTheme="minorEastAsia" w:eastAsiaTheme="minorEastAsia"/>
                <w:sz w:val="20"/>
              </w:rPr>
              <w:t>2</w:t>
            </w:r>
            <w:r>
              <w:rPr>
                <w:rFonts w:cs="仿宋" w:asciiTheme="minorEastAsia" w:hAnsiTheme="minorEastAsia" w:eastAsiaTheme="minorEastAsia"/>
                <w:sz w:val="20"/>
              </w:rPr>
              <w:t>分</w:t>
            </w:r>
            <w:r>
              <w:rPr>
                <w:rFonts w:hint="eastAsia" w:cs="仿宋" w:asciiTheme="minorEastAsia" w:hAnsiTheme="minorEastAsia" w:eastAsiaTheme="minorEastAsia"/>
                <w:sz w:val="20"/>
              </w:rPr>
              <w:t>，</w:t>
            </w:r>
            <w:r>
              <w:rPr>
                <w:rFonts w:asciiTheme="minorEastAsia" w:hAnsiTheme="minorEastAsia" w:eastAsiaTheme="minorEastAsia"/>
                <w:sz w:val="20"/>
              </w:rPr>
              <w:t>未提供的不得分。</w:t>
            </w:r>
          </w:p>
        </w:tc>
      </w:tr>
      <w:tr w14:paraId="02370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780" w:type="dxa"/>
            <w:vMerge w:val="continue"/>
            <w:tcBorders>
              <w:left w:val="single" w:color="auto" w:sz="4" w:space="0"/>
              <w:right w:val="single" w:color="auto" w:sz="4" w:space="0"/>
            </w:tcBorders>
            <w:vAlign w:val="center"/>
          </w:tcPr>
          <w:p w14:paraId="27C1AE6A">
            <w:pPr>
              <w:widowControl/>
              <w:jc w:val="center"/>
              <w:rPr>
                <w:rFonts w:hint="eastAsia" w:asciiTheme="minorEastAsia" w:hAnsiTheme="minorEastAsia" w:eastAsiaTheme="minorEastAsia"/>
                <w:sz w:val="20"/>
              </w:rPr>
            </w:pPr>
          </w:p>
        </w:tc>
        <w:tc>
          <w:tcPr>
            <w:tcW w:w="1301" w:type="dxa"/>
            <w:tcBorders>
              <w:top w:val="single" w:color="auto" w:sz="4" w:space="0"/>
              <w:left w:val="single" w:color="auto" w:sz="4" w:space="0"/>
              <w:bottom w:val="single" w:color="auto" w:sz="4" w:space="0"/>
              <w:right w:val="single" w:color="auto" w:sz="4" w:space="0"/>
            </w:tcBorders>
            <w:vAlign w:val="center"/>
          </w:tcPr>
          <w:p w14:paraId="4C4CF040">
            <w:pPr>
              <w:jc w:val="center"/>
              <w:rPr>
                <w:rFonts w:hint="eastAsia" w:asciiTheme="minorEastAsia" w:hAnsiTheme="minorEastAsia" w:eastAsiaTheme="minorEastAsia"/>
                <w:sz w:val="20"/>
              </w:rPr>
            </w:pPr>
            <w:r>
              <w:rPr>
                <w:rFonts w:hint="eastAsia" w:asciiTheme="minorEastAsia" w:hAnsiTheme="minorEastAsia" w:eastAsiaTheme="minorEastAsia"/>
                <w:sz w:val="20"/>
              </w:rPr>
              <w:t>3</w:t>
            </w:r>
          </w:p>
        </w:tc>
        <w:tc>
          <w:tcPr>
            <w:tcW w:w="2304" w:type="dxa"/>
            <w:gridSpan w:val="2"/>
            <w:tcBorders>
              <w:top w:val="single" w:color="auto" w:sz="4" w:space="0"/>
              <w:left w:val="single" w:color="auto" w:sz="4" w:space="0"/>
              <w:bottom w:val="single" w:color="auto" w:sz="4" w:space="0"/>
              <w:right w:val="single" w:color="auto" w:sz="4" w:space="0"/>
            </w:tcBorders>
            <w:vAlign w:val="center"/>
          </w:tcPr>
          <w:p w14:paraId="3EA995A0">
            <w:pPr>
              <w:widowControl/>
              <w:spacing w:line="120" w:lineRule="atLeast"/>
              <w:jc w:val="left"/>
              <w:rPr>
                <w:rFonts w:hint="eastAsia" w:asciiTheme="minorEastAsia" w:hAnsiTheme="minorEastAsia" w:eastAsiaTheme="minorEastAsia"/>
                <w:sz w:val="20"/>
              </w:rPr>
            </w:pPr>
            <w:r>
              <w:rPr>
                <w:rFonts w:asciiTheme="minorEastAsia" w:hAnsiTheme="minorEastAsia" w:eastAsiaTheme="minorEastAsia"/>
                <w:sz w:val="20"/>
              </w:rPr>
              <w:t>服务网点（场地）</w:t>
            </w:r>
          </w:p>
        </w:tc>
        <w:tc>
          <w:tcPr>
            <w:tcW w:w="681" w:type="dxa"/>
            <w:tcBorders>
              <w:top w:val="single" w:color="auto" w:sz="4" w:space="0"/>
              <w:left w:val="single" w:color="auto" w:sz="4" w:space="0"/>
              <w:bottom w:val="single" w:color="auto" w:sz="4" w:space="0"/>
              <w:right w:val="single" w:color="auto" w:sz="4" w:space="0"/>
            </w:tcBorders>
            <w:vAlign w:val="center"/>
          </w:tcPr>
          <w:p w14:paraId="0ADDF4D1">
            <w:pPr>
              <w:widowControl/>
              <w:spacing w:line="120" w:lineRule="atLeast"/>
              <w:jc w:val="center"/>
              <w:rPr>
                <w:rFonts w:hint="eastAsia" w:asciiTheme="minorEastAsia" w:hAnsiTheme="minorEastAsia" w:eastAsiaTheme="minorEastAsia"/>
                <w:sz w:val="20"/>
              </w:rPr>
            </w:pPr>
            <w:r>
              <w:rPr>
                <w:rFonts w:asciiTheme="minorEastAsia" w:hAnsiTheme="minorEastAsia" w:eastAsiaTheme="minorEastAsia"/>
                <w:sz w:val="20"/>
              </w:rPr>
              <w:t>1</w:t>
            </w:r>
          </w:p>
        </w:tc>
        <w:tc>
          <w:tcPr>
            <w:tcW w:w="738" w:type="dxa"/>
            <w:tcBorders>
              <w:top w:val="single" w:color="auto" w:sz="4" w:space="0"/>
              <w:left w:val="single" w:color="auto" w:sz="4" w:space="0"/>
              <w:bottom w:val="single" w:color="auto" w:sz="4" w:space="0"/>
              <w:right w:val="single" w:color="auto" w:sz="4" w:space="0"/>
            </w:tcBorders>
            <w:vAlign w:val="center"/>
          </w:tcPr>
          <w:p w14:paraId="0005B9AA">
            <w:pPr>
              <w:jc w:val="center"/>
              <w:rPr>
                <w:rFonts w:hint="eastAsia" w:asciiTheme="minorEastAsia" w:hAnsiTheme="minorEastAsia" w:eastAsiaTheme="minorEastAsia"/>
                <w:sz w:val="20"/>
              </w:rPr>
            </w:pPr>
            <w:r>
              <w:rPr>
                <w:rFonts w:hint="eastAsia" w:asciiTheme="minorEastAsia" w:hAnsiTheme="minorEastAsia" w:eastAsiaTheme="minorEastAsia"/>
                <w:sz w:val="20"/>
              </w:rPr>
              <w:t>专家打分</w:t>
            </w:r>
          </w:p>
        </w:tc>
        <w:tc>
          <w:tcPr>
            <w:tcW w:w="2642" w:type="dxa"/>
            <w:tcBorders>
              <w:top w:val="single" w:color="auto" w:sz="4" w:space="0"/>
              <w:left w:val="single" w:color="auto" w:sz="4" w:space="0"/>
              <w:bottom w:val="single" w:color="auto" w:sz="4" w:space="0"/>
              <w:right w:val="single" w:color="auto" w:sz="4" w:space="0"/>
            </w:tcBorders>
            <w:vAlign w:val="center"/>
          </w:tcPr>
          <w:p w14:paraId="76B06A06">
            <w:pPr>
              <w:widowControl/>
              <w:spacing w:line="300" w:lineRule="atLeast"/>
              <w:jc w:val="left"/>
              <w:rPr>
                <w:rFonts w:hint="eastAsia" w:asciiTheme="minorEastAsia" w:hAnsiTheme="minorEastAsia" w:eastAsiaTheme="minorEastAsia"/>
                <w:sz w:val="20"/>
              </w:rPr>
            </w:pPr>
            <w:r>
              <w:rPr>
                <w:rFonts w:asciiTheme="minorEastAsia" w:hAnsiTheme="minorEastAsia" w:eastAsiaTheme="minorEastAsia"/>
                <w:sz w:val="20"/>
              </w:rPr>
              <w:t>具有广东省内服务网点</w:t>
            </w:r>
            <w:r>
              <w:rPr>
                <w:rFonts w:hint="eastAsia" w:asciiTheme="minorEastAsia" w:hAnsiTheme="minorEastAsia" w:eastAsiaTheme="minorEastAsia"/>
                <w:sz w:val="20"/>
              </w:rPr>
              <w:t>，设有长期稳定的售后服务机构，服务商在国内设备有零备件仓库，备件储备充足，可确保提供365*24小时的供需服务（不受法定节假日的限制），专属物流商送货上门（需提供备件仓储场地证明，备件仓库图片），</w:t>
            </w:r>
            <w:r>
              <w:rPr>
                <w:rFonts w:asciiTheme="minorEastAsia" w:hAnsiTheme="minorEastAsia" w:eastAsiaTheme="minorEastAsia"/>
                <w:sz w:val="20"/>
              </w:rPr>
              <w:t>得1分，没有不得分。</w:t>
            </w:r>
          </w:p>
          <w:p w14:paraId="68E05C05">
            <w:pPr>
              <w:widowControl/>
              <w:spacing w:line="120" w:lineRule="atLeast"/>
              <w:jc w:val="left"/>
              <w:rPr>
                <w:rFonts w:hint="eastAsia" w:asciiTheme="minorEastAsia" w:hAnsiTheme="minorEastAsia" w:eastAsiaTheme="minorEastAsia"/>
                <w:sz w:val="20"/>
              </w:rPr>
            </w:pPr>
            <w:r>
              <w:rPr>
                <w:rFonts w:asciiTheme="minorEastAsia" w:hAnsiTheme="minorEastAsia" w:eastAsiaTheme="minorEastAsia"/>
                <w:sz w:val="20"/>
              </w:rPr>
              <w:t>（提供正在服务期内的网点合同复印件）</w:t>
            </w:r>
          </w:p>
        </w:tc>
      </w:tr>
      <w:tr w14:paraId="2BB6E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780" w:type="dxa"/>
            <w:vMerge w:val="continue"/>
            <w:tcBorders>
              <w:left w:val="single" w:color="auto" w:sz="4" w:space="0"/>
              <w:right w:val="single" w:color="auto" w:sz="4" w:space="0"/>
            </w:tcBorders>
            <w:vAlign w:val="center"/>
          </w:tcPr>
          <w:p w14:paraId="14E943CF">
            <w:pPr>
              <w:widowControl/>
              <w:jc w:val="center"/>
              <w:rPr>
                <w:rFonts w:hint="eastAsia" w:asciiTheme="minorEastAsia" w:hAnsiTheme="minorEastAsia" w:eastAsiaTheme="minorEastAsia"/>
                <w:sz w:val="20"/>
              </w:rPr>
            </w:pPr>
          </w:p>
        </w:tc>
        <w:tc>
          <w:tcPr>
            <w:tcW w:w="1301" w:type="dxa"/>
            <w:tcBorders>
              <w:top w:val="single" w:color="auto" w:sz="4" w:space="0"/>
              <w:left w:val="single" w:color="auto" w:sz="4" w:space="0"/>
              <w:bottom w:val="single" w:color="auto" w:sz="4" w:space="0"/>
              <w:right w:val="single" w:color="auto" w:sz="4" w:space="0"/>
            </w:tcBorders>
            <w:vAlign w:val="center"/>
          </w:tcPr>
          <w:p w14:paraId="53DB13B9">
            <w:pPr>
              <w:jc w:val="center"/>
              <w:rPr>
                <w:rFonts w:hint="eastAsia" w:asciiTheme="minorEastAsia" w:hAnsiTheme="minorEastAsia" w:eastAsiaTheme="minorEastAsia"/>
                <w:sz w:val="20"/>
              </w:rPr>
            </w:pPr>
            <w:r>
              <w:rPr>
                <w:rFonts w:hint="eastAsia" w:asciiTheme="minorEastAsia" w:hAnsiTheme="minorEastAsia" w:eastAsiaTheme="minorEastAsia"/>
                <w:sz w:val="20"/>
              </w:rPr>
              <w:t>4</w:t>
            </w:r>
          </w:p>
        </w:tc>
        <w:tc>
          <w:tcPr>
            <w:tcW w:w="2304" w:type="dxa"/>
            <w:gridSpan w:val="2"/>
            <w:tcBorders>
              <w:top w:val="single" w:color="auto" w:sz="4" w:space="0"/>
              <w:left w:val="single" w:color="auto" w:sz="4" w:space="0"/>
              <w:bottom w:val="single" w:color="auto" w:sz="4" w:space="0"/>
              <w:right w:val="single" w:color="auto" w:sz="4" w:space="0"/>
            </w:tcBorders>
            <w:vAlign w:val="center"/>
          </w:tcPr>
          <w:p w14:paraId="1690818B">
            <w:pPr>
              <w:widowControl/>
              <w:spacing w:line="120" w:lineRule="atLeast"/>
              <w:jc w:val="left"/>
              <w:rPr>
                <w:rFonts w:hint="eastAsia" w:asciiTheme="minorEastAsia" w:hAnsiTheme="minorEastAsia" w:eastAsiaTheme="minorEastAsia"/>
                <w:sz w:val="20"/>
              </w:rPr>
            </w:pPr>
            <w:r>
              <w:rPr>
                <w:rFonts w:asciiTheme="minorEastAsia" w:hAnsiTheme="minorEastAsia" w:eastAsiaTheme="minorEastAsia"/>
                <w:sz w:val="20"/>
              </w:rPr>
              <w:t>项目完成（服务期满）后的服务承诺</w:t>
            </w:r>
          </w:p>
        </w:tc>
        <w:tc>
          <w:tcPr>
            <w:tcW w:w="681" w:type="dxa"/>
            <w:tcBorders>
              <w:top w:val="single" w:color="auto" w:sz="4" w:space="0"/>
              <w:left w:val="single" w:color="auto" w:sz="4" w:space="0"/>
              <w:bottom w:val="single" w:color="auto" w:sz="4" w:space="0"/>
              <w:right w:val="single" w:color="auto" w:sz="4" w:space="0"/>
            </w:tcBorders>
            <w:vAlign w:val="center"/>
          </w:tcPr>
          <w:p w14:paraId="40C66319">
            <w:pPr>
              <w:widowControl/>
              <w:spacing w:line="120" w:lineRule="atLeast"/>
              <w:jc w:val="center"/>
              <w:rPr>
                <w:rFonts w:hint="eastAsia" w:asciiTheme="minorEastAsia" w:hAnsiTheme="minorEastAsia" w:eastAsiaTheme="minorEastAsia"/>
                <w:sz w:val="20"/>
              </w:rPr>
            </w:pPr>
            <w:r>
              <w:rPr>
                <w:rFonts w:asciiTheme="minorEastAsia" w:hAnsiTheme="minorEastAsia" w:eastAsiaTheme="minorEastAsia"/>
                <w:sz w:val="20"/>
              </w:rPr>
              <w:t>2</w:t>
            </w:r>
          </w:p>
        </w:tc>
        <w:tc>
          <w:tcPr>
            <w:tcW w:w="738" w:type="dxa"/>
            <w:tcBorders>
              <w:top w:val="single" w:color="auto" w:sz="4" w:space="0"/>
              <w:left w:val="single" w:color="auto" w:sz="4" w:space="0"/>
              <w:bottom w:val="single" w:color="auto" w:sz="4" w:space="0"/>
              <w:right w:val="single" w:color="auto" w:sz="4" w:space="0"/>
            </w:tcBorders>
            <w:vAlign w:val="center"/>
          </w:tcPr>
          <w:p w14:paraId="15D4995D">
            <w:pPr>
              <w:jc w:val="center"/>
              <w:rPr>
                <w:rFonts w:hint="eastAsia" w:asciiTheme="minorEastAsia" w:hAnsiTheme="minorEastAsia" w:eastAsiaTheme="minorEastAsia"/>
                <w:sz w:val="20"/>
              </w:rPr>
            </w:pPr>
            <w:r>
              <w:rPr>
                <w:rFonts w:hint="eastAsia" w:asciiTheme="minorEastAsia" w:hAnsiTheme="minorEastAsia" w:eastAsiaTheme="minorEastAsia"/>
                <w:sz w:val="20"/>
              </w:rPr>
              <w:t>专家打分</w:t>
            </w:r>
          </w:p>
        </w:tc>
        <w:tc>
          <w:tcPr>
            <w:tcW w:w="2642" w:type="dxa"/>
            <w:tcBorders>
              <w:top w:val="single" w:color="auto" w:sz="4" w:space="0"/>
              <w:left w:val="single" w:color="auto" w:sz="4" w:space="0"/>
              <w:bottom w:val="single" w:color="auto" w:sz="4" w:space="0"/>
              <w:right w:val="single" w:color="auto" w:sz="4" w:space="0"/>
            </w:tcBorders>
            <w:vAlign w:val="center"/>
          </w:tcPr>
          <w:p w14:paraId="180C521D">
            <w:pPr>
              <w:widowControl/>
              <w:spacing w:line="120" w:lineRule="atLeast"/>
              <w:jc w:val="left"/>
              <w:rPr>
                <w:rFonts w:hint="eastAsia" w:asciiTheme="minorEastAsia" w:hAnsiTheme="minorEastAsia" w:eastAsiaTheme="minorEastAsia"/>
                <w:sz w:val="20"/>
              </w:rPr>
            </w:pPr>
            <w:r>
              <w:rPr>
                <w:rFonts w:asciiTheme="minorEastAsia" w:hAnsiTheme="minorEastAsia" w:eastAsiaTheme="minorEastAsia"/>
                <w:sz w:val="20"/>
              </w:rPr>
              <w:t>比较评价服务期满后在劳动合同纠纷、经济纠纷和安全隐患处置等方面的承诺情况：评价为优得</w:t>
            </w:r>
            <w:r>
              <w:rPr>
                <w:rFonts w:hint="eastAsia" w:asciiTheme="minorEastAsia" w:hAnsiTheme="minorEastAsia" w:eastAsiaTheme="minorEastAsia"/>
                <w:sz w:val="20"/>
              </w:rPr>
              <w:t>2</w:t>
            </w:r>
            <w:r>
              <w:rPr>
                <w:rFonts w:asciiTheme="minorEastAsia" w:hAnsiTheme="minorEastAsia" w:eastAsiaTheme="minorEastAsia"/>
                <w:sz w:val="20"/>
              </w:rPr>
              <w:t>分；评价为良得</w:t>
            </w:r>
            <w:r>
              <w:rPr>
                <w:rFonts w:hint="eastAsia" w:asciiTheme="minorEastAsia" w:hAnsiTheme="minorEastAsia" w:eastAsiaTheme="minorEastAsia"/>
                <w:sz w:val="20"/>
              </w:rPr>
              <w:t>1</w:t>
            </w:r>
            <w:r>
              <w:rPr>
                <w:rFonts w:asciiTheme="minorEastAsia" w:hAnsiTheme="minorEastAsia" w:eastAsiaTheme="minorEastAsia"/>
                <w:sz w:val="20"/>
              </w:rPr>
              <w:t>分；评价为中得</w:t>
            </w:r>
            <w:r>
              <w:rPr>
                <w:rFonts w:hint="eastAsia" w:asciiTheme="minorEastAsia" w:hAnsiTheme="minorEastAsia" w:eastAsiaTheme="minorEastAsia"/>
                <w:sz w:val="20"/>
              </w:rPr>
              <w:t>0.5</w:t>
            </w:r>
            <w:r>
              <w:rPr>
                <w:rFonts w:asciiTheme="minorEastAsia" w:hAnsiTheme="minorEastAsia" w:eastAsiaTheme="minorEastAsia"/>
                <w:sz w:val="20"/>
              </w:rPr>
              <w:t>分；评价为差不得分。</w:t>
            </w:r>
          </w:p>
        </w:tc>
      </w:tr>
      <w:tr w14:paraId="5EB51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780" w:type="dxa"/>
            <w:vMerge w:val="continue"/>
            <w:tcBorders>
              <w:left w:val="single" w:color="auto" w:sz="4" w:space="0"/>
              <w:right w:val="single" w:color="auto" w:sz="4" w:space="0"/>
            </w:tcBorders>
            <w:vAlign w:val="center"/>
          </w:tcPr>
          <w:p w14:paraId="22D7E4C3">
            <w:pPr>
              <w:widowControl/>
              <w:jc w:val="center"/>
              <w:rPr>
                <w:rFonts w:hint="eastAsia" w:asciiTheme="minorEastAsia" w:hAnsiTheme="minorEastAsia" w:eastAsiaTheme="minorEastAsia"/>
                <w:sz w:val="20"/>
              </w:rPr>
            </w:pPr>
          </w:p>
        </w:tc>
        <w:tc>
          <w:tcPr>
            <w:tcW w:w="1301" w:type="dxa"/>
            <w:tcBorders>
              <w:top w:val="single" w:color="auto" w:sz="4" w:space="0"/>
              <w:left w:val="single" w:color="auto" w:sz="4" w:space="0"/>
              <w:bottom w:val="single" w:color="auto" w:sz="4" w:space="0"/>
              <w:right w:val="single" w:color="auto" w:sz="4" w:space="0"/>
            </w:tcBorders>
            <w:vAlign w:val="center"/>
          </w:tcPr>
          <w:p w14:paraId="4F6FC2DD">
            <w:pPr>
              <w:jc w:val="center"/>
              <w:rPr>
                <w:rFonts w:hint="eastAsia" w:asciiTheme="minorEastAsia" w:hAnsiTheme="minorEastAsia" w:eastAsiaTheme="minorEastAsia"/>
                <w:sz w:val="20"/>
              </w:rPr>
            </w:pPr>
            <w:r>
              <w:rPr>
                <w:rFonts w:hint="eastAsia" w:asciiTheme="minorEastAsia" w:hAnsiTheme="minorEastAsia" w:eastAsiaTheme="minorEastAsia"/>
                <w:sz w:val="20"/>
              </w:rPr>
              <w:t>5</w:t>
            </w:r>
          </w:p>
        </w:tc>
        <w:tc>
          <w:tcPr>
            <w:tcW w:w="2304" w:type="dxa"/>
            <w:gridSpan w:val="2"/>
            <w:tcBorders>
              <w:top w:val="single" w:color="auto" w:sz="4" w:space="0"/>
              <w:left w:val="single" w:color="auto" w:sz="4" w:space="0"/>
              <w:bottom w:val="single" w:color="auto" w:sz="4" w:space="0"/>
              <w:right w:val="single" w:color="auto" w:sz="4" w:space="0"/>
            </w:tcBorders>
            <w:vAlign w:val="center"/>
          </w:tcPr>
          <w:p w14:paraId="0D9370B4">
            <w:pPr>
              <w:widowControl/>
              <w:spacing w:line="120" w:lineRule="atLeast"/>
              <w:jc w:val="left"/>
              <w:rPr>
                <w:rFonts w:hint="eastAsia" w:asciiTheme="minorEastAsia" w:hAnsiTheme="minorEastAsia" w:eastAsiaTheme="minorEastAsia"/>
                <w:sz w:val="20"/>
              </w:rPr>
            </w:pPr>
            <w:r>
              <w:rPr>
                <w:rFonts w:asciiTheme="minorEastAsia" w:hAnsiTheme="minorEastAsia" w:eastAsiaTheme="minorEastAsia"/>
                <w:sz w:val="20"/>
              </w:rPr>
              <w:t>报价合理性</w:t>
            </w:r>
          </w:p>
        </w:tc>
        <w:tc>
          <w:tcPr>
            <w:tcW w:w="681" w:type="dxa"/>
            <w:tcBorders>
              <w:top w:val="single" w:color="auto" w:sz="4" w:space="0"/>
              <w:left w:val="single" w:color="auto" w:sz="4" w:space="0"/>
              <w:bottom w:val="single" w:color="auto" w:sz="4" w:space="0"/>
              <w:right w:val="single" w:color="auto" w:sz="4" w:space="0"/>
            </w:tcBorders>
            <w:vAlign w:val="center"/>
          </w:tcPr>
          <w:p w14:paraId="6C5769C0">
            <w:pPr>
              <w:widowControl/>
              <w:spacing w:line="120" w:lineRule="atLeast"/>
              <w:jc w:val="center"/>
              <w:rPr>
                <w:rFonts w:hint="eastAsia" w:asciiTheme="minorEastAsia" w:hAnsiTheme="minorEastAsia" w:eastAsiaTheme="minorEastAsia"/>
                <w:sz w:val="20"/>
              </w:rPr>
            </w:pPr>
            <w:r>
              <w:rPr>
                <w:rFonts w:asciiTheme="minorEastAsia" w:hAnsiTheme="minorEastAsia" w:eastAsiaTheme="minorEastAsia"/>
                <w:sz w:val="20"/>
              </w:rPr>
              <w:t>2</w:t>
            </w:r>
          </w:p>
        </w:tc>
        <w:tc>
          <w:tcPr>
            <w:tcW w:w="738" w:type="dxa"/>
            <w:tcBorders>
              <w:top w:val="single" w:color="auto" w:sz="4" w:space="0"/>
              <w:left w:val="single" w:color="auto" w:sz="4" w:space="0"/>
              <w:bottom w:val="single" w:color="auto" w:sz="4" w:space="0"/>
              <w:right w:val="single" w:color="auto" w:sz="4" w:space="0"/>
            </w:tcBorders>
            <w:vAlign w:val="center"/>
          </w:tcPr>
          <w:p w14:paraId="7080EC13">
            <w:pPr>
              <w:jc w:val="center"/>
              <w:rPr>
                <w:rFonts w:hint="eastAsia" w:asciiTheme="minorEastAsia" w:hAnsiTheme="minorEastAsia" w:eastAsiaTheme="minorEastAsia"/>
                <w:sz w:val="20"/>
              </w:rPr>
            </w:pPr>
            <w:r>
              <w:rPr>
                <w:rFonts w:hint="eastAsia" w:asciiTheme="minorEastAsia" w:hAnsiTheme="minorEastAsia" w:eastAsiaTheme="minorEastAsia"/>
                <w:sz w:val="20"/>
              </w:rPr>
              <w:t>专家打分</w:t>
            </w:r>
          </w:p>
        </w:tc>
        <w:tc>
          <w:tcPr>
            <w:tcW w:w="2642" w:type="dxa"/>
            <w:tcBorders>
              <w:top w:val="single" w:color="auto" w:sz="4" w:space="0"/>
              <w:left w:val="single" w:color="auto" w:sz="4" w:space="0"/>
              <w:bottom w:val="single" w:color="auto" w:sz="4" w:space="0"/>
              <w:right w:val="single" w:color="auto" w:sz="4" w:space="0"/>
            </w:tcBorders>
            <w:vAlign w:val="center"/>
          </w:tcPr>
          <w:p w14:paraId="1CED8286">
            <w:pPr>
              <w:widowControl/>
              <w:spacing w:line="120" w:lineRule="atLeast"/>
              <w:jc w:val="left"/>
              <w:rPr>
                <w:rFonts w:hint="eastAsia" w:asciiTheme="minorEastAsia" w:hAnsiTheme="minorEastAsia" w:eastAsiaTheme="minorEastAsia"/>
                <w:sz w:val="20"/>
              </w:rPr>
            </w:pPr>
            <w:r>
              <w:rPr>
                <w:rFonts w:asciiTheme="minorEastAsia" w:hAnsiTheme="minorEastAsia" w:eastAsiaTheme="minorEastAsia"/>
                <w:sz w:val="20"/>
              </w:rPr>
              <w:t>考察内容：对照招标文件关于详细分项报价的要求，结合本项目完成（服务）期限要求和人员要求，考察投标人"详细分项报价"的科学性及合理性。横向比较，分档评分：评价为优得</w:t>
            </w:r>
            <w:r>
              <w:rPr>
                <w:rFonts w:hint="eastAsia" w:asciiTheme="minorEastAsia" w:hAnsiTheme="minorEastAsia" w:eastAsiaTheme="minorEastAsia"/>
                <w:sz w:val="20"/>
              </w:rPr>
              <w:t>2</w:t>
            </w:r>
            <w:r>
              <w:rPr>
                <w:rFonts w:asciiTheme="minorEastAsia" w:hAnsiTheme="minorEastAsia" w:eastAsiaTheme="minorEastAsia"/>
                <w:sz w:val="20"/>
              </w:rPr>
              <w:t>分；评价为良得</w:t>
            </w:r>
            <w:r>
              <w:rPr>
                <w:rFonts w:hint="eastAsia" w:asciiTheme="minorEastAsia" w:hAnsiTheme="minorEastAsia" w:eastAsiaTheme="minorEastAsia"/>
                <w:sz w:val="20"/>
              </w:rPr>
              <w:t>1</w:t>
            </w:r>
            <w:r>
              <w:rPr>
                <w:rFonts w:asciiTheme="minorEastAsia" w:hAnsiTheme="minorEastAsia" w:eastAsiaTheme="minorEastAsia"/>
                <w:sz w:val="20"/>
              </w:rPr>
              <w:t>分；评价为中得</w:t>
            </w:r>
            <w:r>
              <w:rPr>
                <w:rFonts w:hint="eastAsia" w:asciiTheme="minorEastAsia" w:hAnsiTheme="minorEastAsia" w:eastAsiaTheme="minorEastAsia"/>
                <w:sz w:val="20"/>
              </w:rPr>
              <w:t>0.5</w:t>
            </w:r>
            <w:r>
              <w:rPr>
                <w:rFonts w:asciiTheme="minorEastAsia" w:hAnsiTheme="minorEastAsia" w:eastAsiaTheme="minorEastAsia"/>
                <w:sz w:val="20"/>
              </w:rPr>
              <w:t>分；评价为差不得分。</w:t>
            </w:r>
          </w:p>
        </w:tc>
      </w:tr>
      <w:tr w14:paraId="61B86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780" w:type="dxa"/>
            <w:tcBorders>
              <w:left w:val="single" w:color="auto" w:sz="4" w:space="0"/>
              <w:right w:val="single" w:color="auto" w:sz="4" w:space="0"/>
            </w:tcBorders>
            <w:vAlign w:val="center"/>
          </w:tcPr>
          <w:p w14:paraId="6564D90F">
            <w:pPr>
              <w:widowControl/>
              <w:jc w:val="center"/>
              <w:rPr>
                <w:rFonts w:hint="eastAsia" w:asciiTheme="minorEastAsia" w:hAnsiTheme="minorEastAsia" w:eastAsiaTheme="minorEastAsia"/>
                <w:sz w:val="20"/>
              </w:rPr>
            </w:pPr>
            <w:r>
              <w:rPr>
                <w:rFonts w:hint="eastAsia" w:asciiTheme="minorEastAsia" w:hAnsiTheme="minorEastAsia" w:eastAsiaTheme="minorEastAsia"/>
                <w:sz w:val="20"/>
              </w:rPr>
              <w:t>4</w:t>
            </w:r>
          </w:p>
        </w:tc>
        <w:tc>
          <w:tcPr>
            <w:tcW w:w="1301" w:type="dxa"/>
            <w:tcBorders>
              <w:top w:val="single" w:color="auto" w:sz="4" w:space="0"/>
              <w:left w:val="single" w:color="auto" w:sz="4" w:space="0"/>
              <w:bottom w:val="single" w:color="auto" w:sz="4" w:space="0"/>
              <w:right w:val="single" w:color="auto" w:sz="4" w:space="0"/>
            </w:tcBorders>
          </w:tcPr>
          <w:p w14:paraId="68E7F4BB">
            <w:pPr>
              <w:jc w:val="center"/>
              <w:rPr>
                <w:rFonts w:hint="eastAsia" w:asciiTheme="minorEastAsia" w:hAnsiTheme="minorEastAsia" w:eastAsiaTheme="minorEastAsia"/>
                <w:b/>
                <w:sz w:val="20"/>
              </w:rPr>
            </w:pPr>
            <w:r>
              <w:rPr>
                <w:rFonts w:hint="eastAsia" w:asciiTheme="minorEastAsia" w:hAnsiTheme="minorEastAsia" w:eastAsiaTheme="minorEastAsia"/>
                <w:b/>
                <w:sz w:val="20"/>
              </w:rPr>
              <w:t>诚信情况</w:t>
            </w:r>
          </w:p>
        </w:tc>
        <w:tc>
          <w:tcPr>
            <w:tcW w:w="2304" w:type="dxa"/>
            <w:gridSpan w:val="2"/>
            <w:tcBorders>
              <w:top w:val="single" w:color="auto" w:sz="4" w:space="0"/>
              <w:left w:val="single" w:color="auto" w:sz="4" w:space="0"/>
              <w:bottom w:val="single" w:color="auto" w:sz="4" w:space="0"/>
              <w:right w:val="single" w:color="auto" w:sz="4" w:space="0"/>
            </w:tcBorders>
          </w:tcPr>
          <w:p w14:paraId="25A4936F">
            <w:pPr>
              <w:jc w:val="center"/>
              <w:rPr>
                <w:rFonts w:hint="eastAsia" w:asciiTheme="minorEastAsia" w:hAnsiTheme="minorEastAsia" w:eastAsiaTheme="minorEastAsia"/>
                <w:b/>
                <w:sz w:val="20"/>
              </w:rPr>
            </w:pPr>
            <w:r>
              <w:rPr>
                <w:rFonts w:hint="eastAsia" w:asciiTheme="minorEastAsia" w:hAnsiTheme="minorEastAsia" w:eastAsiaTheme="minorEastAsia"/>
                <w:b/>
                <w:sz w:val="20"/>
              </w:rPr>
              <w:t>5</w:t>
            </w:r>
          </w:p>
        </w:tc>
        <w:tc>
          <w:tcPr>
            <w:tcW w:w="681" w:type="dxa"/>
          </w:tcPr>
          <w:p w14:paraId="35B8D993">
            <w:pPr>
              <w:widowControl/>
              <w:spacing w:line="120" w:lineRule="atLeast"/>
              <w:jc w:val="center"/>
              <w:rPr>
                <w:rFonts w:hint="eastAsia" w:asciiTheme="minorEastAsia" w:hAnsiTheme="minorEastAsia" w:eastAsiaTheme="minorEastAsia"/>
                <w:sz w:val="20"/>
              </w:rPr>
            </w:pPr>
          </w:p>
        </w:tc>
        <w:tc>
          <w:tcPr>
            <w:tcW w:w="738" w:type="dxa"/>
            <w:tcBorders>
              <w:top w:val="single" w:color="auto" w:sz="4" w:space="0"/>
              <w:left w:val="single" w:color="auto" w:sz="4" w:space="0"/>
              <w:bottom w:val="single" w:color="auto" w:sz="4" w:space="0"/>
              <w:right w:val="single" w:color="auto" w:sz="4" w:space="0"/>
            </w:tcBorders>
            <w:vAlign w:val="center"/>
          </w:tcPr>
          <w:p w14:paraId="0F7FA47D">
            <w:pPr>
              <w:jc w:val="center"/>
              <w:rPr>
                <w:rFonts w:hint="eastAsia" w:asciiTheme="minorEastAsia" w:hAnsiTheme="minorEastAsia" w:eastAsiaTheme="minorEastAsia"/>
                <w:sz w:val="20"/>
              </w:rPr>
            </w:pPr>
          </w:p>
        </w:tc>
        <w:tc>
          <w:tcPr>
            <w:tcW w:w="2642" w:type="dxa"/>
            <w:tcBorders>
              <w:top w:val="single" w:color="auto" w:sz="4" w:space="0"/>
              <w:left w:val="single" w:color="auto" w:sz="4" w:space="0"/>
              <w:bottom w:val="single" w:color="auto" w:sz="4" w:space="0"/>
              <w:right w:val="single" w:color="auto" w:sz="4" w:space="0"/>
            </w:tcBorders>
            <w:vAlign w:val="center"/>
          </w:tcPr>
          <w:p w14:paraId="2ED5F8D9">
            <w:pPr>
              <w:widowControl/>
              <w:spacing w:line="120" w:lineRule="atLeast"/>
              <w:jc w:val="left"/>
              <w:rPr>
                <w:rFonts w:hint="eastAsia" w:asciiTheme="minorEastAsia" w:hAnsiTheme="minorEastAsia" w:eastAsiaTheme="minorEastAsia"/>
                <w:sz w:val="20"/>
              </w:rPr>
            </w:pPr>
          </w:p>
        </w:tc>
      </w:tr>
      <w:tr w14:paraId="3F9E8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780" w:type="dxa"/>
            <w:tcBorders>
              <w:left w:val="single" w:color="auto" w:sz="4" w:space="0"/>
              <w:right w:val="single" w:color="auto" w:sz="4" w:space="0"/>
            </w:tcBorders>
            <w:vAlign w:val="center"/>
          </w:tcPr>
          <w:p w14:paraId="797FFAC1">
            <w:pPr>
              <w:widowControl/>
              <w:jc w:val="center"/>
              <w:rPr>
                <w:rFonts w:hint="eastAsia" w:asciiTheme="minorEastAsia" w:hAnsiTheme="minorEastAsia" w:eastAsiaTheme="minorEastAsia"/>
                <w:sz w:val="20"/>
              </w:rPr>
            </w:pPr>
          </w:p>
        </w:tc>
        <w:tc>
          <w:tcPr>
            <w:tcW w:w="1301" w:type="dxa"/>
            <w:tcBorders>
              <w:top w:val="single" w:color="auto" w:sz="4" w:space="0"/>
              <w:left w:val="single" w:color="auto" w:sz="4" w:space="0"/>
              <w:bottom w:val="single" w:color="auto" w:sz="4" w:space="0"/>
              <w:right w:val="single" w:color="auto" w:sz="4" w:space="0"/>
            </w:tcBorders>
          </w:tcPr>
          <w:p w14:paraId="3DC3A6DD">
            <w:pPr>
              <w:jc w:val="center"/>
              <w:rPr>
                <w:rFonts w:hint="eastAsia" w:asciiTheme="minorEastAsia" w:hAnsiTheme="minorEastAsia" w:eastAsiaTheme="minorEastAsia"/>
                <w:sz w:val="20"/>
              </w:rPr>
            </w:pPr>
            <w:r>
              <w:rPr>
                <w:rFonts w:hint="eastAsia" w:asciiTheme="minorEastAsia" w:hAnsiTheme="minorEastAsia" w:eastAsiaTheme="minorEastAsia"/>
                <w:sz w:val="20"/>
              </w:rPr>
              <w:t>序号</w:t>
            </w:r>
          </w:p>
        </w:tc>
        <w:tc>
          <w:tcPr>
            <w:tcW w:w="2304" w:type="dxa"/>
            <w:gridSpan w:val="2"/>
            <w:tcBorders>
              <w:top w:val="single" w:color="auto" w:sz="4" w:space="0"/>
              <w:left w:val="single" w:color="auto" w:sz="4" w:space="0"/>
              <w:bottom w:val="single" w:color="auto" w:sz="4" w:space="0"/>
              <w:right w:val="single" w:color="auto" w:sz="4" w:space="0"/>
            </w:tcBorders>
          </w:tcPr>
          <w:p w14:paraId="15E543BB">
            <w:pPr>
              <w:jc w:val="center"/>
              <w:rPr>
                <w:rFonts w:hint="eastAsia" w:asciiTheme="minorEastAsia" w:hAnsiTheme="minorEastAsia" w:eastAsiaTheme="minorEastAsia"/>
                <w:sz w:val="20"/>
              </w:rPr>
            </w:pPr>
            <w:r>
              <w:rPr>
                <w:rFonts w:hint="eastAsia" w:asciiTheme="minorEastAsia" w:hAnsiTheme="minorEastAsia" w:eastAsiaTheme="minorEastAsia"/>
                <w:sz w:val="20"/>
              </w:rPr>
              <w:t>评分因素</w:t>
            </w:r>
          </w:p>
        </w:tc>
        <w:tc>
          <w:tcPr>
            <w:tcW w:w="681" w:type="dxa"/>
            <w:tcBorders>
              <w:top w:val="single" w:color="auto" w:sz="4" w:space="0"/>
              <w:left w:val="single" w:color="auto" w:sz="4" w:space="0"/>
              <w:bottom w:val="single" w:color="auto" w:sz="4" w:space="0"/>
              <w:right w:val="single" w:color="auto" w:sz="4" w:space="0"/>
            </w:tcBorders>
          </w:tcPr>
          <w:p w14:paraId="17640F70">
            <w:pPr>
              <w:jc w:val="center"/>
              <w:rPr>
                <w:rFonts w:hint="eastAsia" w:asciiTheme="minorEastAsia" w:hAnsiTheme="minorEastAsia" w:eastAsiaTheme="minorEastAsia"/>
                <w:sz w:val="20"/>
              </w:rPr>
            </w:pPr>
            <w:r>
              <w:rPr>
                <w:rFonts w:hint="eastAsia" w:asciiTheme="minorEastAsia" w:hAnsiTheme="minorEastAsia" w:eastAsiaTheme="minorEastAsia"/>
                <w:sz w:val="20"/>
              </w:rPr>
              <w:t>权重</w:t>
            </w:r>
          </w:p>
        </w:tc>
        <w:tc>
          <w:tcPr>
            <w:tcW w:w="738" w:type="dxa"/>
            <w:tcBorders>
              <w:top w:val="single" w:color="auto" w:sz="4" w:space="0"/>
              <w:left w:val="single" w:color="auto" w:sz="4" w:space="0"/>
              <w:bottom w:val="single" w:color="auto" w:sz="4" w:space="0"/>
              <w:right w:val="single" w:color="auto" w:sz="4" w:space="0"/>
            </w:tcBorders>
          </w:tcPr>
          <w:p w14:paraId="74B0FF7F">
            <w:pPr>
              <w:jc w:val="center"/>
              <w:rPr>
                <w:rFonts w:hint="eastAsia" w:asciiTheme="minorEastAsia" w:hAnsiTheme="minorEastAsia" w:eastAsiaTheme="minorEastAsia"/>
                <w:sz w:val="20"/>
              </w:rPr>
            </w:pPr>
            <w:r>
              <w:rPr>
                <w:rFonts w:hint="eastAsia" w:asciiTheme="minorEastAsia" w:hAnsiTheme="minorEastAsia" w:eastAsiaTheme="minorEastAsia"/>
                <w:sz w:val="20"/>
              </w:rPr>
              <w:t>评分方式</w:t>
            </w:r>
          </w:p>
        </w:tc>
        <w:tc>
          <w:tcPr>
            <w:tcW w:w="2642" w:type="dxa"/>
            <w:tcBorders>
              <w:top w:val="single" w:color="auto" w:sz="4" w:space="0"/>
              <w:left w:val="single" w:color="auto" w:sz="4" w:space="0"/>
              <w:bottom w:val="single" w:color="auto" w:sz="4" w:space="0"/>
              <w:right w:val="single" w:color="auto" w:sz="4" w:space="0"/>
            </w:tcBorders>
          </w:tcPr>
          <w:p w14:paraId="454693BD">
            <w:pPr>
              <w:jc w:val="center"/>
              <w:rPr>
                <w:rFonts w:hint="eastAsia" w:asciiTheme="minorEastAsia" w:hAnsiTheme="minorEastAsia" w:eastAsiaTheme="minorEastAsia"/>
                <w:sz w:val="20"/>
              </w:rPr>
            </w:pPr>
            <w:r>
              <w:rPr>
                <w:rFonts w:hint="eastAsia" w:asciiTheme="minorEastAsia" w:hAnsiTheme="minorEastAsia" w:eastAsiaTheme="minorEastAsia"/>
                <w:sz w:val="20"/>
              </w:rPr>
              <w:t>评分准则</w:t>
            </w:r>
          </w:p>
        </w:tc>
      </w:tr>
      <w:tr w14:paraId="3FFE2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780" w:type="dxa"/>
            <w:tcBorders>
              <w:left w:val="single" w:color="auto" w:sz="4" w:space="0"/>
              <w:right w:val="single" w:color="auto" w:sz="4" w:space="0"/>
            </w:tcBorders>
            <w:vAlign w:val="center"/>
          </w:tcPr>
          <w:p w14:paraId="3F1503A0">
            <w:pPr>
              <w:widowControl/>
              <w:ind w:firstLine="100" w:firstLineChars="50"/>
              <w:jc w:val="center"/>
              <w:rPr>
                <w:rFonts w:hint="eastAsia" w:asciiTheme="minorEastAsia" w:hAnsiTheme="minorEastAsia" w:eastAsiaTheme="minorEastAsia"/>
                <w:sz w:val="20"/>
              </w:rPr>
            </w:pPr>
          </w:p>
        </w:tc>
        <w:tc>
          <w:tcPr>
            <w:tcW w:w="1301" w:type="dxa"/>
            <w:tcBorders>
              <w:top w:val="single" w:color="auto" w:sz="4" w:space="0"/>
              <w:left w:val="single" w:color="auto" w:sz="4" w:space="0"/>
              <w:bottom w:val="single" w:color="auto" w:sz="4" w:space="0"/>
              <w:right w:val="single" w:color="auto" w:sz="4" w:space="0"/>
            </w:tcBorders>
            <w:vAlign w:val="center"/>
          </w:tcPr>
          <w:p w14:paraId="2438DC6E">
            <w:pPr>
              <w:jc w:val="center"/>
              <w:rPr>
                <w:rFonts w:hint="eastAsia" w:asciiTheme="minorEastAsia" w:hAnsiTheme="minorEastAsia" w:eastAsiaTheme="minorEastAsia"/>
                <w:sz w:val="20"/>
              </w:rPr>
            </w:pPr>
            <w:r>
              <w:rPr>
                <w:rFonts w:hint="eastAsia" w:asciiTheme="minorEastAsia" w:hAnsiTheme="minorEastAsia" w:eastAsiaTheme="minorEastAsia"/>
                <w:sz w:val="20"/>
              </w:rPr>
              <w:t>1</w:t>
            </w:r>
          </w:p>
        </w:tc>
        <w:tc>
          <w:tcPr>
            <w:tcW w:w="2304" w:type="dxa"/>
            <w:gridSpan w:val="2"/>
            <w:tcBorders>
              <w:top w:val="single" w:color="auto" w:sz="4" w:space="0"/>
              <w:left w:val="single" w:color="auto" w:sz="4" w:space="0"/>
              <w:bottom w:val="single" w:color="auto" w:sz="4" w:space="0"/>
              <w:right w:val="single" w:color="auto" w:sz="4" w:space="0"/>
            </w:tcBorders>
            <w:vAlign w:val="center"/>
          </w:tcPr>
          <w:p w14:paraId="346D307E">
            <w:pPr>
              <w:jc w:val="center"/>
              <w:rPr>
                <w:rFonts w:hint="eastAsia" w:asciiTheme="minorEastAsia" w:hAnsiTheme="minorEastAsia" w:eastAsiaTheme="minorEastAsia"/>
                <w:sz w:val="20"/>
              </w:rPr>
            </w:pPr>
            <w:r>
              <w:rPr>
                <w:rFonts w:hint="eastAsia" w:asciiTheme="minorEastAsia" w:hAnsiTheme="minorEastAsia" w:eastAsiaTheme="minorEastAsia"/>
                <w:sz w:val="20"/>
              </w:rPr>
              <w:t>诚信评价</w:t>
            </w:r>
          </w:p>
        </w:tc>
        <w:tc>
          <w:tcPr>
            <w:tcW w:w="681" w:type="dxa"/>
            <w:tcBorders>
              <w:top w:val="single" w:color="auto" w:sz="4" w:space="0"/>
              <w:left w:val="single" w:color="auto" w:sz="4" w:space="0"/>
              <w:bottom w:val="single" w:color="auto" w:sz="4" w:space="0"/>
              <w:right w:val="single" w:color="auto" w:sz="4" w:space="0"/>
            </w:tcBorders>
            <w:vAlign w:val="center"/>
          </w:tcPr>
          <w:p w14:paraId="5BEA2504">
            <w:pPr>
              <w:jc w:val="center"/>
              <w:rPr>
                <w:rFonts w:hint="eastAsia" w:asciiTheme="minorEastAsia" w:hAnsiTheme="minorEastAsia" w:eastAsiaTheme="minorEastAsia"/>
                <w:sz w:val="20"/>
              </w:rPr>
            </w:pPr>
            <w:r>
              <w:rPr>
                <w:rFonts w:hint="eastAsia" w:asciiTheme="minorEastAsia" w:hAnsiTheme="minorEastAsia" w:eastAsiaTheme="minorEastAsia"/>
                <w:sz w:val="20"/>
              </w:rPr>
              <w:t>5</w:t>
            </w:r>
          </w:p>
        </w:tc>
        <w:tc>
          <w:tcPr>
            <w:tcW w:w="738" w:type="dxa"/>
            <w:tcBorders>
              <w:top w:val="single" w:color="auto" w:sz="4" w:space="0"/>
              <w:left w:val="single" w:color="auto" w:sz="4" w:space="0"/>
              <w:bottom w:val="single" w:color="auto" w:sz="4" w:space="0"/>
              <w:right w:val="single" w:color="auto" w:sz="4" w:space="0"/>
            </w:tcBorders>
            <w:vAlign w:val="center"/>
          </w:tcPr>
          <w:p w14:paraId="409B0317">
            <w:pPr>
              <w:jc w:val="center"/>
              <w:rPr>
                <w:rFonts w:hint="eastAsia" w:asciiTheme="minorEastAsia" w:hAnsiTheme="minorEastAsia" w:eastAsiaTheme="minorEastAsia"/>
                <w:sz w:val="20"/>
              </w:rPr>
            </w:pPr>
            <w:r>
              <w:rPr>
                <w:rFonts w:hint="eastAsia" w:asciiTheme="minorEastAsia" w:hAnsiTheme="minorEastAsia" w:eastAsiaTheme="minorEastAsia"/>
                <w:sz w:val="20"/>
              </w:rPr>
              <w:t>专家打分</w:t>
            </w:r>
          </w:p>
        </w:tc>
        <w:tc>
          <w:tcPr>
            <w:tcW w:w="2642" w:type="dxa"/>
            <w:tcBorders>
              <w:top w:val="single" w:color="auto" w:sz="4" w:space="0"/>
              <w:left w:val="single" w:color="auto" w:sz="4" w:space="0"/>
              <w:bottom w:val="single" w:color="auto" w:sz="4" w:space="0"/>
              <w:right w:val="single" w:color="auto" w:sz="4" w:space="0"/>
            </w:tcBorders>
          </w:tcPr>
          <w:p w14:paraId="15D24DC5">
            <w:pPr>
              <w:jc w:val="left"/>
              <w:rPr>
                <w:rFonts w:hint="eastAsia" w:asciiTheme="minorEastAsia" w:hAnsiTheme="minorEastAsia" w:eastAsiaTheme="minorEastAsia"/>
                <w:sz w:val="20"/>
              </w:rPr>
            </w:pPr>
            <w:r>
              <w:rPr>
                <w:rFonts w:hint="eastAsia" w:cs="宋体" w:asciiTheme="minorEastAsia" w:hAnsiTheme="minorEastAsia" w:eastAsiaTheme="minorEastAsia"/>
                <w:sz w:val="20"/>
              </w:rPr>
              <w:t>根据《深圳市财政委员会关于加强招投标评审环节诚信管理的通知》（深财购[2013]27号）的要求，投标人在参与政府采购活动中存在诚信相关问题的，本项不得分，未出现相关诚信问题的得满分。以深圳市政府采购中心供应商库中的处罚记录为准。投标人无需提供任何证明材料，由采购中心工作人员向评委会提供相关信息。</w:t>
            </w:r>
          </w:p>
        </w:tc>
      </w:tr>
    </w:tbl>
    <w:p w14:paraId="14E40C68">
      <w:pPr>
        <w:spacing w:line="360" w:lineRule="exact"/>
        <w:jc w:val="left"/>
        <w:rPr>
          <w:rFonts w:hint="eastAsia" w:ascii="宋体" w:hAnsi="宋体"/>
          <w:color w:val="000000"/>
          <w:szCs w:val="21"/>
        </w:rPr>
      </w:pPr>
      <w:bookmarkStart w:id="0" w:name="InsertEnd"/>
      <w:bookmarkEnd w:id="0"/>
    </w:p>
    <w:p w14:paraId="0BBCA197">
      <w:pPr>
        <w:spacing w:line="360" w:lineRule="exact"/>
        <w:jc w:val="left"/>
        <w:rPr>
          <w:rFonts w:hint="eastAsia" w:ascii="宋体" w:hAnsi="宋体"/>
          <w:color w:val="000000"/>
          <w:szCs w:val="21"/>
        </w:rPr>
      </w:pPr>
      <w:r>
        <w:rPr>
          <w:rFonts w:hint="eastAsia" w:ascii="宋体" w:hAnsi="宋体"/>
          <w:color w:val="000000"/>
          <w:szCs w:val="21"/>
        </w:rPr>
        <w:t>说明：</w:t>
      </w:r>
    </w:p>
    <w:p w14:paraId="5E8FCCFC">
      <w:pPr>
        <w:spacing w:line="360" w:lineRule="exact"/>
        <w:jc w:val="left"/>
        <w:rPr>
          <w:rFonts w:hint="eastAsia" w:ascii="宋体" w:hAnsi="宋体"/>
          <w:color w:val="000000"/>
          <w:szCs w:val="21"/>
        </w:rPr>
      </w:pPr>
      <w:r>
        <w:rPr>
          <w:rFonts w:hint="eastAsia" w:ascii="宋体" w:hAnsi="宋体"/>
          <w:color w:val="000000"/>
          <w:szCs w:val="21"/>
        </w:rPr>
        <w:t>1、本评分表中每一栏的得分最高不得超过该项评审指标的分值。</w:t>
      </w:r>
    </w:p>
    <w:p w14:paraId="4DB7C30D">
      <w:pPr>
        <w:spacing w:line="360" w:lineRule="exact"/>
        <w:jc w:val="left"/>
        <w:rPr>
          <w:rFonts w:hint="eastAsia" w:ascii="宋体" w:hAnsi="宋体"/>
          <w:color w:val="000000"/>
          <w:szCs w:val="21"/>
        </w:rPr>
      </w:pPr>
      <w:r>
        <w:rPr>
          <w:rFonts w:hint="eastAsia" w:ascii="宋体" w:hAnsi="宋体"/>
          <w:color w:val="000000"/>
          <w:szCs w:val="21"/>
        </w:rPr>
        <w:t>2、表中要求提供相关计分证明文件的内容，投标文件中须明确加以说明，未按要求提供相关文件或说明不清楚的按不符合要求处理。</w:t>
      </w:r>
    </w:p>
    <w:p w14:paraId="1DC2ABF5"/>
    <w:p w14:paraId="504B8E80">
      <w:pPr>
        <w:spacing w:after="78"/>
        <w:jc w:val="left"/>
        <w:outlineLvl w:val="0"/>
        <w:rPr>
          <w:rFonts w:hint="eastAsia" w:ascii="宋体" w:hAnsi="宋体"/>
          <w:color w:val="000000"/>
          <w:sz w:val="40"/>
          <w:szCs w:val="40"/>
        </w:rPr>
      </w:pPr>
    </w:p>
    <w:p w14:paraId="7DA69CB0">
      <w:pPr>
        <w:spacing w:after="78"/>
        <w:jc w:val="left"/>
        <w:outlineLvl w:val="0"/>
        <w:rPr>
          <w:rFonts w:hint="eastAsia" w:ascii="宋体" w:hAnsi="宋体"/>
          <w:color w:val="000000"/>
          <w:sz w:val="40"/>
          <w:szCs w:val="40"/>
        </w:rPr>
      </w:pPr>
    </w:p>
    <w:p w14:paraId="7BD6041F">
      <w:pPr>
        <w:spacing w:after="78"/>
        <w:jc w:val="left"/>
        <w:outlineLvl w:val="0"/>
        <w:rPr>
          <w:rFonts w:hint="eastAsia" w:ascii="宋体" w:hAnsi="宋体"/>
          <w:color w:val="000000"/>
          <w:sz w:val="40"/>
          <w:szCs w:val="40"/>
        </w:rPr>
      </w:pPr>
    </w:p>
    <w:p w14:paraId="5C690096">
      <w:pPr>
        <w:widowControl/>
        <w:jc w:val="left"/>
        <w:rPr>
          <w:rFonts w:hint="eastAsia" w:ascii="宋体" w:hAnsi="宋体"/>
          <w:color w:val="000000"/>
          <w:sz w:val="40"/>
          <w:szCs w:val="40"/>
        </w:rPr>
      </w:pPr>
      <w:r>
        <w:rPr>
          <w:rFonts w:hint="eastAsia" w:ascii="宋体" w:hAnsi="宋体"/>
          <w:color w:val="000000"/>
          <w:sz w:val="40"/>
          <w:szCs w:val="40"/>
        </w:rPr>
        <w:br w:type="page"/>
      </w:r>
    </w:p>
    <w:p w14:paraId="434866EA">
      <w:pPr>
        <w:spacing w:after="78"/>
        <w:jc w:val="left"/>
        <w:outlineLvl w:val="0"/>
        <w:rPr>
          <w:rFonts w:hint="eastAsia" w:ascii="宋体" w:hAnsi="宋体"/>
          <w:b/>
          <w:bCs/>
          <w:color w:val="000000" w:themeColor="text1"/>
          <w:sz w:val="32"/>
          <w:szCs w:val="32"/>
          <w14:textFill>
            <w14:solidFill>
              <w14:schemeClr w14:val="tx1"/>
            </w14:solidFill>
          </w14:textFill>
        </w:rPr>
      </w:pPr>
      <w:r>
        <w:rPr>
          <w:rFonts w:hint="eastAsia" w:ascii="宋体" w:hAnsi="宋体"/>
          <w:b/>
          <w:bCs/>
          <w:color w:val="000000" w:themeColor="text1"/>
          <w:sz w:val="32"/>
          <w:szCs w:val="32"/>
          <w14:textFill>
            <w14:solidFill>
              <w14:schemeClr w14:val="tx1"/>
            </w14:solidFill>
          </w14:textFill>
        </w:rPr>
        <w:t>项目：总预算1</w:t>
      </w:r>
      <w:r>
        <w:rPr>
          <w:rFonts w:hint="eastAsia" w:ascii="宋体" w:hAnsi="宋体"/>
          <w:b/>
          <w:bCs/>
          <w:color w:val="000000" w:themeColor="text1"/>
          <w:sz w:val="32"/>
          <w:szCs w:val="32"/>
          <w:lang w:val="en-US" w:eastAsia="zh-CN"/>
          <w14:textFill>
            <w14:solidFill>
              <w14:schemeClr w14:val="tx1"/>
            </w14:solidFill>
          </w14:textFill>
        </w:rPr>
        <w:t>09</w:t>
      </w:r>
      <w:r>
        <w:rPr>
          <w:rFonts w:hint="eastAsia" w:ascii="宋体" w:hAnsi="宋体"/>
          <w:b/>
          <w:bCs/>
          <w:color w:val="000000" w:themeColor="text1"/>
          <w:sz w:val="32"/>
          <w:szCs w:val="32"/>
          <w14:textFill>
            <w14:solidFill>
              <w14:schemeClr w14:val="tx1"/>
            </w14:solidFill>
          </w14:textFill>
        </w:rPr>
        <w:t>万元</w:t>
      </w:r>
    </w:p>
    <w:p w14:paraId="4BA0F27A">
      <w:pPr>
        <w:spacing w:after="78"/>
        <w:jc w:val="center"/>
        <w:outlineLvl w:val="0"/>
        <w:rPr>
          <w:rFonts w:hint="eastAsia" w:ascii="宋体" w:hAnsi="宋体"/>
          <w:b/>
          <w:bCs/>
          <w:color w:val="000000" w:themeColor="text1"/>
          <w:sz w:val="32"/>
          <w:szCs w:val="32"/>
          <w14:textFill>
            <w14:solidFill>
              <w14:schemeClr w14:val="tx1"/>
            </w14:solidFill>
          </w14:textFill>
        </w:rPr>
      </w:pPr>
      <w:r>
        <w:rPr>
          <w:rFonts w:hint="eastAsia" w:ascii="宋体" w:hAnsi="宋体"/>
          <w:b/>
          <w:bCs/>
          <w:color w:val="000000" w:themeColor="text1"/>
          <w:sz w:val="32"/>
          <w:szCs w:val="32"/>
          <w14:textFill>
            <w14:solidFill>
              <w14:schemeClr w14:val="tx1"/>
            </w14:solidFill>
          </w14:textFill>
        </w:rPr>
        <w:t>招标参数</w:t>
      </w:r>
    </w:p>
    <w:tbl>
      <w:tblPr>
        <w:tblStyle w:val="6"/>
        <w:tblW w:w="90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0"/>
        <w:gridCol w:w="7750"/>
      </w:tblGrid>
      <w:tr w14:paraId="413FF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290" w:type="dxa"/>
            <w:tcBorders>
              <w:top w:val="single" w:color="auto" w:sz="4" w:space="0"/>
              <w:left w:val="single" w:color="auto" w:sz="4" w:space="0"/>
              <w:bottom w:val="single" w:color="auto" w:sz="4" w:space="0"/>
              <w:right w:val="single" w:color="auto" w:sz="4" w:space="0"/>
            </w:tcBorders>
            <w:vAlign w:val="center"/>
          </w:tcPr>
          <w:p w14:paraId="7883197E">
            <w:pPr>
              <w:spacing w:after="78"/>
              <w:rPr>
                <w:rFonts w:hint="eastAsia" w:asciiTheme="minorEastAsia" w:hAnsiTheme="minorEastAsia" w:eastAsiaTheme="minorEastAsia"/>
                <w:color w:val="000000" w:themeColor="text1"/>
                <w:kern w:val="0"/>
                <w:sz w:val="20"/>
                <w14:textFill>
                  <w14:solidFill>
                    <w14:schemeClr w14:val="tx1"/>
                  </w14:solidFill>
                </w14:textFill>
              </w:rPr>
            </w:pPr>
            <w:r>
              <w:rPr>
                <w:rFonts w:hint="eastAsia" w:asciiTheme="minorEastAsia" w:hAnsiTheme="minorEastAsia" w:eastAsiaTheme="minorEastAsia"/>
                <w:color w:val="000000" w:themeColor="text1"/>
                <w:kern w:val="0"/>
                <w:sz w:val="20"/>
                <w14:textFill>
                  <w14:solidFill>
                    <w14:schemeClr w14:val="tx1"/>
                  </w14:solidFill>
                </w14:textFill>
              </w:rPr>
              <w:t>项目名称</w:t>
            </w:r>
          </w:p>
        </w:tc>
        <w:tc>
          <w:tcPr>
            <w:tcW w:w="7750" w:type="dxa"/>
            <w:tcBorders>
              <w:top w:val="single" w:color="auto" w:sz="4" w:space="0"/>
              <w:left w:val="single" w:color="auto" w:sz="4" w:space="0"/>
              <w:bottom w:val="single" w:color="auto" w:sz="4" w:space="0"/>
              <w:right w:val="single" w:color="auto" w:sz="4" w:space="0"/>
            </w:tcBorders>
            <w:vAlign w:val="center"/>
          </w:tcPr>
          <w:p w14:paraId="5875FB8C">
            <w:pPr>
              <w:spacing w:after="78"/>
              <w:jc w:val="center"/>
              <w:rPr>
                <w:rFonts w:hint="eastAsia" w:asciiTheme="minorEastAsia" w:hAnsiTheme="minorEastAsia" w:eastAsiaTheme="minorEastAsia"/>
                <w:color w:val="000000" w:themeColor="text1"/>
                <w:sz w:val="20"/>
                <w14:textFill>
                  <w14:solidFill>
                    <w14:schemeClr w14:val="tx1"/>
                  </w14:solidFill>
                </w14:textFill>
              </w:rPr>
            </w:pPr>
            <w:r>
              <w:rPr>
                <w:rFonts w:asciiTheme="minorEastAsia" w:hAnsiTheme="minorEastAsia" w:eastAsiaTheme="minorEastAsia"/>
                <w:color w:val="000000" w:themeColor="text1"/>
                <w:sz w:val="20"/>
                <w14:textFill>
                  <w14:solidFill>
                    <w14:schemeClr w14:val="tx1"/>
                  </w14:solidFill>
                </w14:textFill>
              </w:rPr>
              <w:t>西门子MAGNETOM Skyra维保</w:t>
            </w:r>
          </w:p>
        </w:tc>
      </w:tr>
      <w:tr w14:paraId="2F94D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tcBorders>
              <w:top w:val="single" w:color="auto" w:sz="4" w:space="0"/>
              <w:left w:val="single" w:color="auto" w:sz="4" w:space="0"/>
              <w:bottom w:val="single" w:color="auto" w:sz="4" w:space="0"/>
              <w:right w:val="single" w:color="auto" w:sz="4" w:space="0"/>
            </w:tcBorders>
            <w:vAlign w:val="center"/>
          </w:tcPr>
          <w:p w14:paraId="4F17447E">
            <w:pPr>
              <w:spacing w:after="78"/>
              <w:rPr>
                <w:rFonts w:hint="eastAsia" w:asciiTheme="minorEastAsia" w:hAnsiTheme="minorEastAsia" w:eastAsiaTheme="minorEastAsia"/>
                <w:color w:val="000000" w:themeColor="text1"/>
                <w:kern w:val="0"/>
                <w:sz w:val="20"/>
                <w14:textFill>
                  <w14:solidFill>
                    <w14:schemeClr w14:val="tx1"/>
                  </w14:solidFill>
                </w14:textFill>
              </w:rPr>
            </w:pPr>
            <w:r>
              <w:rPr>
                <w:rFonts w:hint="eastAsia" w:asciiTheme="minorEastAsia" w:hAnsiTheme="minorEastAsia" w:eastAsiaTheme="minorEastAsia"/>
                <w:color w:val="000000" w:themeColor="text1"/>
                <w:kern w:val="0"/>
                <w:sz w:val="20"/>
                <w14:textFill>
                  <w14:solidFill>
                    <w14:schemeClr w14:val="tx1"/>
                  </w14:solidFill>
                </w14:textFill>
              </w:rPr>
              <w:t>用途</w:t>
            </w:r>
          </w:p>
        </w:tc>
        <w:tc>
          <w:tcPr>
            <w:tcW w:w="7750" w:type="dxa"/>
            <w:tcBorders>
              <w:top w:val="single" w:color="auto" w:sz="4" w:space="0"/>
              <w:left w:val="single" w:color="auto" w:sz="4" w:space="0"/>
              <w:bottom w:val="single" w:color="auto" w:sz="4" w:space="0"/>
              <w:right w:val="single" w:color="auto" w:sz="4" w:space="0"/>
            </w:tcBorders>
          </w:tcPr>
          <w:p w14:paraId="4AAB7ADA">
            <w:pPr>
              <w:spacing w:after="78"/>
              <w:rPr>
                <w:rFonts w:hint="eastAsia" w:asciiTheme="minorEastAsia" w:hAnsiTheme="minorEastAsia" w:eastAsiaTheme="minorEastAsia"/>
                <w:color w:val="000000" w:themeColor="text1"/>
                <w:sz w:val="20"/>
                <w14:textFill>
                  <w14:solidFill>
                    <w14:schemeClr w14:val="tx1"/>
                  </w14:solidFill>
                </w14:textFill>
              </w:rPr>
            </w:pPr>
            <w:r>
              <w:rPr>
                <w:rFonts w:hint="eastAsia" w:asciiTheme="minorEastAsia" w:hAnsiTheme="minorEastAsia" w:eastAsiaTheme="minorEastAsia"/>
                <w:color w:val="000000" w:themeColor="text1"/>
                <w:sz w:val="20"/>
                <w14:textFill>
                  <w14:solidFill>
                    <w14:schemeClr w14:val="tx1"/>
                  </w14:solidFill>
                </w14:textFill>
              </w:rPr>
              <w:t xml:space="preserve">  我院购买的西门子高端3.0T核磁工作于2025年12月3日出保修期，为保障设备的稳定运行，保障临床科室的高效运转及创造良好的社会效益，本院将购买此设备的维保服务。</w:t>
            </w:r>
          </w:p>
        </w:tc>
      </w:tr>
      <w:tr w14:paraId="6C90C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2" w:hRule="atLeast"/>
          <w:jc w:val="center"/>
        </w:trPr>
        <w:tc>
          <w:tcPr>
            <w:tcW w:w="1290" w:type="dxa"/>
            <w:tcBorders>
              <w:top w:val="single" w:color="auto" w:sz="4" w:space="0"/>
              <w:left w:val="single" w:color="auto" w:sz="4" w:space="0"/>
              <w:bottom w:val="single" w:color="auto" w:sz="4" w:space="0"/>
              <w:right w:val="single" w:color="auto" w:sz="4" w:space="0"/>
            </w:tcBorders>
          </w:tcPr>
          <w:p w14:paraId="7C3B23BD">
            <w:pPr>
              <w:spacing w:after="78"/>
              <w:rPr>
                <w:rFonts w:hint="eastAsia" w:asciiTheme="minorEastAsia" w:hAnsiTheme="minorEastAsia" w:eastAsiaTheme="minorEastAsia"/>
                <w:color w:val="000000" w:themeColor="text1"/>
                <w:kern w:val="0"/>
                <w:sz w:val="20"/>
                <w14:textFill>
                  <w14:solidFill>
                    <w14:schemeClr w14:val="tx1"/>
                  </w14:solidFill>
                </w14:textFill>
              </w:rPr>
            </w:pPr>
            <w:r>
              <w:rPr>
                <w:rFonts w:hint="eastAsia" w:asciiTheme="minorEastAsia" w:hAnsiTheme="minorEastAsia" w:eastAsiaTheme="minorEastAsia"/>
                <w:color w:val="000000" w:themeColor="text1"/>
                <w:kern w:val="0"/>
                <w:sz w:val="20"/>
                <w14:textFill>
                  <w14:solidFill>
                    <w14:schemeClr w14:val="tx1"/>
                  </w14:solidFill>
                </w14:textFill>
              </w:rPr>
              <w:t>服务内容</w:t>
            </w:r>
          </w:p>
        </w:tc>
        <w:tc>
          <w:tcPr>
            <w:tcW w:w="7750" w:type="dxa"/>
            <w:tcBorders>
              <w:top w:val="single" w:color="auto" w:sz="4" w:space="0"/>
              <w:left w:val="single" w:color="auto" w:sz="4" w:space="0"/>
              <w:bottom w:val="single" w:color="auto" w:sz="4" w:space="0"/>
              <w:right w:val="single" w:color="auto" w:sz="4" w:space="0"/>
            </w:tcBorders>
          </w:tcPr>
          <w:p w14:paraId="03D71016">
            <w:pPr>
              <w:numPr>
                <w:ilvl w:val="255"/>
                <w:numId w:val="0"/>
              </w:numPr>
              <w:spacing w:after="78"/>
              <w:rPr>
                <w:rFonts w:hint="eastAsia" w:asciiTheme="minorEastAsia" w:hAnsiTheme="minorEastAsia" w:eastAsiaTheme="minorEastAsia"/>
                <w:color w:val="000000" w:themeColor="text1"/>
                <w:sz w:val="20"/>
                <w14:textFill>
                  <w14:solidFill>
                    <w14:schemeClr w14:val="tx1"/>
                  </w14:solidFill>
                </w14:textFill>
              </w:rPr>
            </w:pPr>
            <w:r>
              <w:rPr>
                <w:rFonts w:hint="eastAsia" w:asciiTheme="minorEastAsia" w:hAnsiTheme="minorEastAsia" w:eastAsiaTheme="minorEastAsia"/>
                <w:sz w:val="20"/>
              </w:rPr>
              <w:t>整机全保服务，包含：射频系统、梯度系统、所有西门子品牌线圈、水冷机组维修、冷头维修、液氦安全保障、维修时所发生的备件更换、安全检查、安全升级、图像质量保证、人工、预防性保养及预防性保养所更换的耗材、工作站相关服务；不含磁体维修、设备移机及设备品牌外的第三方产品及其服务，旧件退回服务商。</w:t>
            </w:r>
          </w:p>
        </w:tc>
      </w:tr>
      <w:tr w14:paraId="5FD0F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0" w:hRule="exact"/>
          <w:jc w:val="center"/>
        </w:trPr>
        <w:tc>
          <w:tcPr>
            <w:tcW w:w="1290" w:type="dxa"/>
            <w:tcBorders>
              <w:top w:val="single" w:color="auto" w:sz="4" w:space="0"/>
              <w:left w:val="single" w:color="auto" w:sz="4" w:space="0"/>
              <w:bottom w:val="single" w:color="auto" w:sz="4" w:space="0"/>
              <w:right w:val="single" w:color="auto" w:sz="4" w:space="0"/>
            </w:tcBorders>
            <w:vAlign w:val="center"/>
          </w:tcPr>
          <w:p w14:paraId="09B08910">
            <w:pPr>
              <w:widowControl/>
              <w:spacing w:after="78"/>
              <w:jc w:val="left"/>
              <w:rPr>
                <w:rFonts w:hint="eastAsia" w:asciiTheme="minorEastAsia" w:hAnsiTheme="minorEastAsia" w:eastAsiaTheme="minorEastAsia"/>
                <w:bCs/>
                <w:color w:val="000000" w:themeColor="text1"/>
                <w:sz w:val="20"/>
                <w14:textFill>
                  <w14:solidFill>
                    <w14:schemeClr w14:val="tx1"/>
                  </w14:solidFill>
                </w14:textFill>
              </w:rPr>
            </w:pPr>
            <w:r>
              <w:rPr>
                <w:rFonts w:hint="eastAsia" w:asciiTheme="minorEastAsia" w:hAnsiTheme="minorEastAsia" w:eastAsiaTheme="minorEastAsia"/>
                <w:color w:val="000000" w:themeColor="text1"/>
                <w:kern w:val="0"/>
                <w:sz w:val="20"/>
                <w14:textFill>
                  <w14:solidFill>
                    <w14:schemeClr w14:val="tx1"/>
                  </w14:solidFill>
                </w14:textFill>
              </w:rPr>
              <w:t>商务参数</w:t>
            </w:r>
          </w:p>
        </w:tc>
        <w:tc>
          <w:tcPr>
            <w:tcW w:w="7750" w:type="dxa"/>
            <w:tcBorders>
              <w:top w:val="single" w:color="auto" w:sz="4" w:space="0"/>
              <w:left w:val="single" w:color="auto" w:sz="4" w:space="0"/>
              <w:bottom w:val="single" w:color="auto" w:sz="4" w:space="0"/>
              <w:right w:val="single" w:color="auto" w:sz="4" w:space="0"/>
            </w:tcBorders>
          </w:tcPr>
          <w:tbl>
            <w:tblPr>
              <w:tblStyle w:val="6"/>
              <w:tblW w:w="7766" w:type="dxa"/>
              <w:jc w:val="center"/>
              <w:tblLayout w:type="fixed"/>
              <w:tblCellMar>
                <w:top w:w="0" w:type="dxa"/>
                <w:left w:w="108" w:type="dxa"/>
                <w:bottom w:w="0" w:type="dxa"/>
                <w:right w:w="108" w:type="dxa"/>
              </w:tblCellMar>
            </w:tblPr>
            <w:tblGrid>
              <w:gridCol w:w="7766"/>
            </w:tblGrid>
            <w:tr w14:paraId="19B91E7D">
              <w:tblPrEx>
                <w:tblCellMar>
                  <w:top w:w="0" w:type="dxa"/>
                  <w:left w:w="108" w:type="dxa"/>
                  <w:bottom w:w="0" w:type="dxa"/>
                  <w:right w:w="108" w:type="dxa"/>
                </w:tblCellMar>
              </w:tblPrEx>
              <w:trPr>
                <w:trHeight w:val="2538" w:hRule="atLeast"/>
                <w:jc w:val="center"/>
              </w:trPr>
              <w:tc>
                <w:tcPr>
                  <w:tcW w:w="7766" w:type="dxa"/>
                </w:tcPr>
                <w:p w14:paraId="5486E9AD">
                  <w:pPr>
                    <w:contextualSpacing/>
                    <w:jc w:val="left"/>
                    <w:rPr>
                      <w:rFonts w:hint="eastAsia" w:asciiTheme="minorEastAsia" w:hAnsiTheme="minorEastAsia" w:eastAsiaTheme="minorEastAsia"/>
                      <w:color w:val="000000" w:themeColor="text1"/>
                      <w:sz w:val="20"/>
                      <w14:textFill>
                        <w14:solidFill>
                          <w14:schemeClr w14:val="tx1"/>
                        </w14:solidFill>
                      </w14:textFill>
                    </w:rPr>
                  </w:pPr>
                  <w:r>
                    <w:rPr>
                      <w:rFonts w:hint="eastAsia" w:asciiTheme="minorEastAsia" w:hAnsiTheme="minorEastAsia" w:eastAsiaTheme="minorEastAsia"/>
                      <w:color w:val="000000" w:themeColor="text1"/>
                      <w:sz w:val="20"/>
                      <w14:textFill>
                        <w14:solidFill>
                          <w14:schemeClr w14:val="tx1"/>
                        </w14:solidFill>
                      </w14:textFill>
                    </w:rPr>
                    <w:t>1、热线服务：全国范围内开通400/800免费热线电话，需将号码填入标书，并保障24小时 *365天有在线工程师接听报修，为用户快速诊断和提供技术支持服务。接到维修要求后，不超过24小时到达现场。</w:t>
                  </w:r>
                </w:p>
                <w:p w14:paraId="56BF7AE5">
                  <w:pPr>
                    <w:contextualSpacing/>
                    <w:jc w:val="left"/>
                    <w:rPr>
                      <w:rFonts w:hint="eastAsia" w:asciiTheme="minorEastAsia" w:hAnsiTheme="minorEastAsia" w:eastAsiaTheme="minorEastAsia"/>
                      <w:color w:val="000000" w:themeColor="text1"/>
                      <w:sz w:val="20"/>
                      <w14:textFill>
                        <w14:solidFill>
                          <w14:schemeClr w14:val="tx1"/>
                        </w14:solidFill>
                      </w14:textFill>
                    </w:rPr>
                  </w:pPr>
                  <w:r>
                    <w:rPr>
                      <w:rFonts w:hint="eastAsia" w:asciiTheme="minorEastAsia" w:hAnsiTheme="minorEastAsia" w:eastAsiaTheme="minorEastAsia"/>
                      <w:color w:val="000000" w:themeColor="text1"/>
                      <w:sz w:val="20"/>
                      <w14:textFill>
                        <w14:solidFill>
                          <w14:schemeClr w14:val="tx1"/>
                        </w14:solidFill>
                      </w14:textFill>
                    </w:rPr>
                    <w:t>2、工时：包含在保修合同期内所需的人工费用，节假日加班免费。</w:t>
                  </w:r>
                </w:p>
                <w:p w14:paraId="0ADA965C">
                  <w:pPr>
                    <w:contextualSpacing/>
                    <w:jc w:val="left"/>
                    <w:rPr>
                      <w:rFonts w:hint="eastAsia" w:asciiTheme="minorEastAsia" w:hAnsiTheme="minorEastAsia" w:eastAsiaTheme="minorEastAsia"/>
                      <w:color w:val="000000" w:themeColor="text1"/>
                      <w:sz w:val="20"/>
                      <w14:textFill>
                        <w14:solidFill>
                          <w14:schemeClr w14:val="tx1"/>
                        </w14:solidFill>
                      </w14:textFill>
                    </w:rPr>
                  </w:pPr>
                  <w:r>
                    <w:rPr>
                      <w:rFonts w:hint="eastAsia" w:asciiTheme="minorEastAsia" w:hAnsiTheme="minorEastAsia" w:eastAsiaTheme="minorEastAsia"/>
                      <w:color w:val="000000" w:themeColor="text1"/>
                      <w:sz w:val="20"/>
                      <w14:textFill>
                        <w14:solidFill>
                          <w14:schemeClr w14:val="tx1"/>
                        </w14:solidFill>
                      </w14:textFill>
                    </w:rPr>
                    <w:t>3、保修期间，设备进行维修，保养和更换配件，承担配件、劳务和差旅等费用，不再收取除合同款外的其他费用。</w:t>
                  </w:r>
                </w:p>
                <w:p w14:paraId="01D1D753">
                  <w:pPr>
                    <w:contextualSpacing/>
                    <w:jc w:val="left"/>
                    <w:rPr>
                      <w:rFonts w:hint="eastAsia" w:asciiTheme="minorEastAsia" w:hAnsiTheme="minorEastAsia" w:eastAsiaTheme="minorEastAsia"/>
                      <w:color w:val="EE0000"/>
                      <w:sz w:val="20"/>
                    </w:rPr>
                  </w:pPr>
                  <w:r>
                    <w:rPr>
                      <w:rFonts w:hint="eastAsia" w:asciiTheme="minorEastAsia" w:hAnsiTheme="minorEastAsia" w:eastAsiaTheme="minorEastAsia"/>
                      <w:color w:val="000000" w:themeColor="text1"/>
                      <w:sz w:val="20"/>
                      <w14:textFill>
                        <w14:solidFill>
                          <w14:schemeClr w14:val="tx1"/>
                        </w14:solidFill>
                      </w14:textFill>
                    </w:rPr>
                    <w:t>4、接到客户故障投诉/申告后，在2小时内做出电话响应答复，如远程无法解决设备故障应立即做出现场维修安排，正常维修应在12小时内到达现场，无需要更换配件的情况下当天维修完毕恢复正常。</w:t>
                  </w:r>
                  <w:r>
                    <w:rPr>
                      <w:rFonts w:hint="eastAsia" w:asciiTheme="minorEastAsia" w:hAnsiTheme="minorEastAsia" w:eastAsiaTheme="minorEastAsia"/>
                      <w:sz w:val="20"/>
                    </w:rPr>
                    <w:t>紧急维修应在48小时内到达现场并维修完毕恢复正常。</w:t>
                  </w:r>
                </w:p>
                <w:p w14:paraId="7EC701DD">
                  <w:pPr>
                    <w:contextualSpacing/>
                    <w:jc w:val="left"/>
                    <w:rPr>
                      <w:rFonts w:hint="eastAsia" w:asciiTheme="minorEastAsia" w:hAnsiTheme="minorEastAsia" w:eastAsiaTheme="minorEastAsia"/>
                      <w:color w:val="000000" w:themeColor="text1"/>
                      <w:sz w:val="20"/>
                      <w14:textFill>
                        <w14:solidFill>
                          <w14:schemeClr w14:val="tx1"/>
                        </w14:solidFill>
                      </w14:textFill>
                    </w:rPr>
                  </w:pPr>
                </w:p>
                <w:p w14:paraId="0679D15F">
                  <w:pPr>
                    <w:ind w:left="715" w:leftChars="213" w:hanging="268" w:hangingChars="134"/>
                    <w:contextualSpacing/>
                    <w:rPr>
                      <w:rFonts w:hint="eastAsia" w:asciiTheme="minorEastAsia" w:hAnsiTheme="minorEastAsia" w:eastAsiaTheme="minorEastAsia"/>
                      <w:color w:val="000000" w:themeColor="text1"/>
                      <w:sz w:val="20"/>
                      <w14:textFill>
                        <w14:solidFill>
                          <w14:schemeClr w14:val="tx1"/>
                        </w14:solidFill>
                      </w14:textFill>
                    </w:rPr>
                  </w:pPr>
                </w:p>
                <w:p w14:paraId="0A61D4D3">
                  <w:pPr>
                    <w:ind w:left="715" w:leftChars="213" w:hanging="268" w:hangingChars="134"/>
                    <w:contextualSpacing/>
                    <w:rPr>
                      <w:rFonts w:hint="eastAsia" w:asciiTheme="minorEastAsia" w:hAnsiTheme="minorEastAsia" w:eastAsiaTheme="minorEastAsia"/>
                      <w:color w:val="000000" w:themeColor="text1"/>
                      <w:sz w:val="20"/>
                      <w14:textFill>
                        <w14:solidFill>
                          <w14:schemeClr w14:val="tx1"/>
                        </w14:solidFill>
                      </w14:textFill>
                    </w:rPr>
                  </w:pPr>
                </w:p>
                <w:p w14:paraId="662E55AD">
                  <w:pPr>
                    <w:ind w:left="715" w:leftChars="213" w:hanging="268" w:hangingChars="134"/>
                    <w:contextualSpacing/>
                    <w:rPr>
                      <w:rFonts w:hint="eastAsia" w:asciiTheme="minorEastAsia" w:hAnsiTheme="minorEastAsia" w:eastAsiaTheme="minorEastAsia"/>
                      <w:color w:val="000000" w:themeColor="text1"/>
                      <w:sz w:val="20"/>
                      <w14:textFill>
                        <w14:solidFill>
                          <w14:schemeClr w14:val="tx1"/>
                        </w14:solidFill>
                      </w14:textFill>
                    </w:rPr>
                  </w:pPr>
                </w:p>
                <w:p w14:paraId="1A99C270">
                  <w:pPr>
                    <w:ind w:left="715" w:leftChars="213" w:hanging="268" w:hangingChars="134"/>
                    <w:contextualSpacing/>
                    <w:rPr>
                      <w:rFonts w:hint="eastAsia" w:asciiTheme="minorEastAsia" w:hAnsiTheme="minorEastAsia" w:eastAsiaTheme="minorEastAsia"/>
                      <w:color w:val="000000" w:themeColor="text1"/>
                      <w:sz w:val="20"/>
                      <w14:textFill>
                        <w14:solidFill>
                          <w14:schemeClr w14:val="tx1"/>
                        </w14:solidFill>
                      </w14:textFill>
                    </w:rPr>
                  </w:pPr>
                </w:p>
                <w:p w14:paraId="17C50E71">
                  <w:pPr>
                    <w:ind w:left="715" w:leftChars="213" w:hanging="268" w:hangingChars="134"/>
                    <w:contextualSpacing/>
                    <w:rPr>
                      <w:rFonts w:hint="eastAsia" w:asciiTheme="minorEastAsia" w:hAnsiTheme="minorEastAsia" w:eastAsiaTheme="minorEastAsia"/>
                      <w:color w:val="000000" w:themeColor="text1"/>
                      <w:sz w:val="20"/>
                      <w14:textFill>
                        <w14:solidFill>
                          <w14:schemeClr w14:val="tx1"/>
                        </w14:solidFill>
                      </w14:textFill>
                    </w:rPr>
                  </w:pPr>
                </w:p>
                <w:p w14:paraId="7DC7D106">
                  <w:pPr>
                    <w:ind w:left="715" w:leftChars="213" w:hanging="268" w:hangingChars="134"/>
                    <w:contextualSpacing/>
                    <w:rPr>
                      <w:rFonts w:hint="eastAsia" w:asciiTheme="minorEastAsia" w:hAnsiTheme="minorEastAsia" w:eastAsiaTheme="minorEastAsia"/>
                      <w:color w:val="000000" w:themeColor="text1"/>
                      <w:sz w:val="20"/>
                      <w14:textFill>
                        <w14:solidFill>
                          <w14:schemeClr w14:val="tx1"/>
                        </w14:solidFill>
                      </w14:textFill>
                    </w:rPr>
                  </w:pPr>
                </w:p>
                <w:p w14:paraId="75AADA6C">
                  <w:pPr>
                    <w:ind w:left="715" w:leftChars="213" w:hanging="268" w:hangingChars="134"/>
                    <w:contextualSpacing/>
                    <w:rPr>
                      <w:rFonts w:hint="eastAsia" w:asciiTheme="minorEastAsia" w:hAnsiTheme="minorEastAsia" w:eastAsiaTheme="minorEastAsia"/>
                      <w:color w:val="000000" w:themeColor="text1"/>
                      <w:sz w:val="20"/>
                      <w14:textFill>
                        <w14:solidFill>
                          <w14:schemeClr w14:val="tx1"/>
                        </w14:solidFill>
                      </w14:textFill>
                    </w:rPr>
                  </w:pPr>
                </w:p>
                <w:p w14:paraId="368A5C31">
                  <w:pPr>
                    <w:ind w:left="715" w:leftChars="213" w:hanging="268" w:hangingChars="134"/>
                    <w:contextualSpacing/>
                    <w:rPr>
                      <w:rFonts w:hint="eastAsia" w:asciiTheme="minorEastAsia" w:hAnsiTheme="minorEastAsia" w:eastAsiaTheme="minorEastAsia"/>
                      <w:color w:val="000000" w:themeColor="text1"/>
                      <w:sz w:val="20"/>
                      <w14:textFill>
                        <w14:solidFill>
                          <w14:schemeClr w14:val="tx1"/>
                        </w14:solidFill>
                      </w14:textFill>
                    </w:rPr>
                  </w:pPr>
                </w:p>
                <w:p w14:paraId="74FFA07C">
                  <w:pPr>
                    <w:ind w:left="715" w:leftChars="213" w:hanging="268" w:hangingChars="134"/>
                    <w:contextualSpacing/>
                    <w:rPr>
                      <w:rFonts w:hint="eastAsia" w:asciiTheme="minorEastAsia" w:hAnsiTheme="minorEastAsia" w:eastAsiaTheme="minorEastAsia"/>
                      <w:color w:val="000000" w:themeColor="text1"/>
                      <w:sz w:val="20"/>
                      <w14:textFill>
                        <w14:solidFill>
                          <w14:schemeClr w14:val="tx1"/>
                        </w14:solidFill>
                      </w14:textFill>
                    </w:rPr>
                  </w:pPr>
                </w:p>
                <w:p w14:paraId="0DBCA957">
                  <w:pPr>
                    <w:ind w:left="715" w:leftChars="213" w:right="353" w:rightChars="168" w:hanging="268" w:hangingChars="134"/>
                    <w:contextualSpacing/>
                    <w:rPr>
                      <w:rFonts w:hint="eastAsia" w:asciiTheme="minorEastAsia" w:hAnsiTheme="minorEastAsia" w:eastAsiaTheme="minorEastAsia"/>
                      <w:color w:val="000000" w:themeColor="text1"/>
                      <w:sz w:val="20"/>
                      <w14:textFill>
                        <w14:solidFill>
                          <w14:schemeClr w14:val="tx1"/>
                        </w14:solidFill>
                      </w14:textFill>
                    </w:rPr>
                  </w:pPr>
                </w:p>
              </w:tc>
            </w:tr>
          </w:tbl>
          <w:p w14:paraId="6DD35782">
            <w:pPr>
              <w:snapToGrid w:val="0"/>
              <w:spacing w:after="78"/>
              <w:jc w:val="left"/>
              <w:rPr>
                <w:rFonts w:hint="eastAsia" w:asciiTheme="minorEastAsia" w:hAnsiTheme="minorEastAsia" w:eastAsiaTheme="minorEastAsia"/>
                <w:color w:val="000000" w:themeColor="text1"/>
                <w:sz w:val="20"/>
                <w14:textFill>
                  <w14:solidFill>
                    <w14:schemeClr w14:val="tx1"/>
                  </w14:solidFill>
                </w14:textFill>
              </w:rPr>
            </w:pPr>
          </w:p>
        </w:tc>
      </w:tr>
      <w:tr w14:paraId="5B931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290" w:type="dxa"/>
            <w:tcBorders>
              <w:top w:val="single" w:color="auto" w:sz="4" w:space="0"/>
              <w:left w:val="single" w:color="auto" w:sz="4" w:space="0"/>
              <w:bottom w:val="single" w:color="auto" w:sz="4" w:space="0"/>
              <w:right w:val="single" w:color="auto" w:sz="4" w:space="0"/>
            </w:tcBorders>
            <w:vAlign w:val="center"/>
          </w:tcPr>
          <w:p w14:paraId="6E6B445A">
            <w:pPr>
              <w:widowControl/>
              <w:jc w:val="left"/>
              <w:rPr>
                <w:rFonts w:hint="eastAsia" w:asciiTheme="minorEastAsia" w:hAnsiTheme="minorEastAsia" w:eastAsiaTheme="minorEastAsia"/>
                <w:color w:val="000000" w:themeColor="text1"/>
                <w:kern w:val="0"/>
                <w:sz w:val="20"/>
                <w14:textFill>
                  <w14:solidFill>
                    <w14:schemeClr w14:val="tx1"/>
                  </w14:solidFill>
                </w14:textFill>
              </w:rPr>
            </w:pPr>
            <w:r>
              <w:rPr>
                <w:rFonts w:hint="eastAsia" w:asciiTheme="minorEastAsia" w:hAnsiTheme="minorEastAsia" w:eastAsiaTheme="minorEastAsia"/>
                <w:color w:val="000000" w:themeColor="text1"/>
                <w:kern w:val="0"/>
                <w:sz w:val="20"/>
                <w14:textFill>
                  <w14:solidFill>
                    <w14:schemeClr w14:val="tx1"/>
                  </w14:solidFill>
                </w14:textFill>
              </w:rPr>
              <w:t>技术参数</w:t>
            </w:r>
          </w:p>
        </w:tc>
        <w:tc>
          <w:tcPr>
            <w:tcW w:w="7750" w:type="dxa"/>
            <w:tcBorders>
              <w:top w:val="single" w:color="auto" w:sz="4" w:space="0"/>
              <w:left w:val="single" w:color="auto" w:sz="4" w:space="0"/>
              <w:bottom w:val="single" w:color="auto" w:sz="4" w:space="0"/>
              <w:right w:val="single" w:color="auto" w:sz="4" w:space="0"/>
            </w:tcBorders>
          </w:tcPr>
          <w:p w14:paraId="242A1301">
            <w:pPr>
              <w:tabs>
                <w:tab w:val="left" w:pos="-720"/>
              </w:tabs>
              <w:suppressAutoHyphens/>
              <w:spacing w:after="78"/>
              <w:rPr>
                <w:rFonts w:hint="eastAsia" w:asciiTheme="minorEastAsia" w:hAnsiTheme="minorEastAsia" w:eastAsiaTheme="minorEastAsia"/>
                <w:sz w:val="20"/>
              </w:rPr>
            </w:pPr>
            <w:r>
              <w:rPr>
                <w:rFonts w:hint="eastAsia" w:asciiTheme="minorEastAsia" w:hAnsiTheme="minorEastAsia" w:eastAsiaTheme="minorEastAsia"/>
                <w:sz w:val="20"/>
              </w:rPr>
              <w:t>1.</w:t>
            </w:r>
            <w:r>
              <w:rPr>
                <w:rFonts w:hint="eastAsia" w:cs="仿宋" w:asciiTheme="minorEastAsia" w:hAnsiTheme="minorEastAsia" w:eastAsiaTheme="minorEastAsia"/>
                <w:sz w:val="20"/>
              </w:rPr>
              <w:t xml:space="preserve"> ▲</w:t>
            </w:r>
            <w:r>
              <w:rPr>
                <w:rFonts w:hint="eastAsia" w:asciiTheme="minorEastAsia" w:hAnsiTheme="minorEastAsia" w:eastAsiaTheme="minorEastAsia"/>
                <w:sz w:val="20"/>
              </w:rPr>
              <w:t>提供保修范围内维修所需的备件（核磁线圈、核磁梯度线圈、核磁射频及所有常规配件）必须是原装未拆封的，原包装的；进口备件还需提供相关报关单供医院备查，所更换的备件必须与设备本身部件品牌、型号、规格完全一致，所有备件来源均能在原厂热线系统追溯可查</w:t>
            </w:r>
            <w:r>
              <w:rPr>
                <w:rFonts w:asciiTheme="minorEastAsia" w:hAnsiTheme="minorEastAsia" w:eastAsiaTheme="minorEastAsia"/>
                <w:sz w:val="20"/>
              </w:rPr>
              <w:t>，维修更换零备件保修期：保修期1年</w:t>
            </w:r>
            <w:r>
              <w:rPr>
                <w:rFonts w:hint="eastAsia" w:asciiTheme="minorEastAsia" w:hAnsiTheme="minorEastAsia" w:eastAsiaTheme="minorEastAsia"/>
                <w:sz w:val="20"/>
              </w:rPr>
              <w:t>。</w:t>
            </w:r>
          </w:p>
          <w:p w14:paraId="7AE9B515">
            <w:pPr>
              <w:tabs>
                <w:tab w:val="left" w:pos="-720"/>
              </w:tabs>
              <w:suppressAutoHyphens/>
              <w:spacing w:after="78"/>
              <w:rPr>
                <w:rFonts w:hint="eastAsia" w:cs="Arial" w:asciiTheme="minorEastAsia" w:hAnsiTheme="minorEastAsia" w:eastAsiaTheme="minorEastAsia"/>
                <w:color w:val="000000"/>
                <w:sz w:val="20"/>
              </w:rPr>
            </w:pPr>
            <w:r>
              <w:rPr>
                <w:rFonts w:hint="eastAsia" w:asciiTheme="minorEastAsia" w:hAnsiTheme="minorEastAsia" w:eastAsiaTheme="minorEastAsia"/>
                <w:sz w:val="20"/>
              </w:rPr>
              <w:t>2.</w:t>
            </w:r>
            <w:r>
              <w:rPr>
                <w:rFonts w:hint="eastAsia" w:cs="Arial" w:asciiTheme="minorEastAsia" w:hAnsiTheme="minorEastAsia" w:eastAsiaTheme="minorEastAsia"/>
                <w:color w:val="000000"/>
                <w:sz w:val="20"/>
              </w:rPr>
              <w:t>质量保证：</w:t>
            </w:r>
            <w:r>
              <w:rPr>
                <w:rFonts w:hint="eastAsia" w:cs="Arial" w:asciiTheme="minorEastAsia" w:hAnsiTheme="minorEastAsia" w:eastAsiaTheme="minorEastAsia"/>
                <w:sz w:val="20"/>
              </w:rPr>
              <w:t>通过以下任务和工作以保证设备质量达到厂家颁布的质量标准。（1）</w:t>
            </w:r>
            <w:r>
              <w:rPr>
                <w:rFonts w:hint="eastAsia" w:cs="Arial" w:asciiTheme="minorEastAsia" w:hAnsiTheme="minorEastAsia" w:eastAsiaTheme="minorEastAsia"/>
                <w:color w:val="000000"/>
                <w:sz w:val="20"/>
              </w:rPr>
              <w:t>制定检查计划；（2）图象质量（效果）检查；（3）评判参数结果；（4）调整</w:t>
            </w:r>
            <w:r>
              <w:rPr>
                <w:rFonts w:cs="Arial" w:asciiTheme="minorEastAsia" w:hAnsiTheme="minorEastAsia" w:eastAsiaTheme="minorEastAsia"/>
                <w:color w:val="000000"/>
                <w:sz w:val="20"/>
              </w:rPr>
              <w:t xml:space="preserve"> / </w:t>
            </w:r>
            <w:r>
              <w:rPr>
                <w:rFonts w:hint="eastAsia" w:cs="Arial" w:asciiTheme="minorEastAsia" w:hAnsiTheme="minorEastAsia" w:eastAsiaTheme="minorEastAsia"/>
                <w:color w:val="000000"/>
                <w:sz w:val="20"/>
              </w:rPr>
              <w:t>校准；（5）记录检查结果。</w:t>
            </w:r>
          </w:p>
          <w:p w14:paraId="72D4DF56">
            <w:pPr>
              <w:tabs>
                <w:tab w:val="left" w:pos="-720"/>
              </w:tabs>
              <w:suppressAutoHyphens/>
              <w:spacing w:after="78"/>
              <w:rPr>
                <w:rFonts w:hint="eastAsia" w:cs="Arial" w:asciiTheme="minorEastAsia" w:hAnsiTheme="minorEastAsia" w:eastAsiaTheme="minorEastAsia"/>
                <w:color w:val="000000"/>
                <w:sz w:val="20"/>
              </w:rPr>
            </w:pPr>
            <w:r>
              <w:rPr>
                <w:rFonts w:hint="eastAsia" w:cs="Arial" w:asciiTheme="minorEastAsia" w:hAnsiTheme="minorEastAsia" w:eastAsiaTheme="minorEastAsia"/>
                <w:color w:val="000000"/>
                <w:sz w:val="20"/>
              </w:rPr>
              <w:t>安全检查：安全检查将按照厂家标准及当地规定执行，在每次设备保养时，具体包括：（1）制定检查计划；（2）机械安全检查；（3）电气安全检查；（4）记录检查结果；（5）出具安全检测报告。</w:t>
            </w:r>
          </w:p>
          <w:p w14:paraId="6B88D80E">
            <w:pPr>
              <w:tabs>
                <w:tab w:val="left" w:pos="-720"/>
              </w:tabs>
              <w:suppressAutoHyphens/>
              <w:spacing w:after="78"/>
              <w:rPr>
                <w:rFonts w:hint="eastAsia" w:cs="Arial" w:asciiTheme="minorEastAsia" w:hAnsiTheme="minorEastAsia" w:eastAsiaTheme="minorEastAsia"/>
                <w:color w:val="000000"/>
                <w:sz w:val="20"/>
              </w:rPr>
            </w:pPr>
            <w:r>
              <w:rPr>
                <w:rFonts w:hint="eastAsia" w:cs="Arial" w:asciiTheme="minorEastAsia" w:hAnsiTheme="minorEastAsia" w:eastAsiaTheme="minorEastAsia"/>
                <w:color w:val="000000"/>
                <w:sz w:val="20"/>
              </w:rPr>
              <w:t>3.</w:t>
            </w:r>
            <w:r>
              <w:rPr>
                <w:rFonts w:hint="eastAsia" w:asciiTheme="minorEastAsia" w:hAnsiTheme="minorEastAsia" w:eastAsiaTheme="minorEastAsia"/>
                <w:sz w:val="20"/>
              </w:rPr>
              <w:t>按照原厂的保养标准，按保养计划执行，</w:t>
            </w:r>
            <w:r>
              <w:rPr>
                <w:rFonts w:hint="eastAsia" w:asciiTheme="minorEastAsia" w:hAnsiTheme="minorEastAsia" w:eastAsiaTheme="minorEastAsia"/>
                <w:color w:val="000000"/>
                <w:sz w:val="20"/>
              </w:rPr>
              <w:t>提供一年</w:t>
            </w:r>
            <w:r>
              <w:rPr>
                <w:rFonts w:asciiTheme="minorEastAsia" w:hAnsiTheme="minorEastAsia" w:eastAsiaTheme="minorEastAsia"/>
                <w:sz w:val="20"/>
              </w:rPr>
              <w:t>2</w:t>
            </w:r>
            <w:r>
              <w:rPr>
                <w:rFonts w:hint="eastAsia" w:asciiTheme="minorEastAsia" w:hAnsiTheme="minorEastAsia" w:eastAsiaTheme="minorEastAsia"/>
                <w:color w:val="000000"/>
                <w:sz w:val="20"/>
              </w:rPr>
              <w:t>次的全面维护保养清单，并提供保养服务报告；定期的维护保养服务包括：（1）</w:t>
            </w:r>
            <w:r>
              <w:rPr>
                <w:rFonts w:hint="eastAsia" w:cs="Arial" w:asciiTheme="minorEastAsia" w:hAnsiTheme="minorEastAsia" w:eastAsiaTheme="minorEastAsia"/>
                <w:color w:val="000000"/>
                <w:sz w:val="20"/>
              </w:rPr>
              <w:t>记录并安排保养时间；（2）保养计划更换损耗部件；（3）检测；（4）按照厂家标准进行调校；（5）确认各项技术指标及性能；（6）记录设备状况；（7）提供设备保养内容清单。</w:t>
            </w:r>
          </w:p>
          <w:p w14:paraId="7BD58DFD">
            <w:pPr>
              <w:tabs>
                <w:tab w:val="left" w:pos="-720"/>
              </w:tabs>
              <w:suppressAutoHyphens/>
              <w:spacing w:after="78"/>
              <w:rPr>
                <w:rFonts w:hint="eastAsia" w:cs="Arial" w:asciiTheme="minorEastAsia" w:hAnsiTheme="minorEastAsia" w:eastAsiaTheme="minorEastAsia"/>
                <w:color w:val="000000"/>
                <w:sz w:val="20"/>
              </w:rPr>
            </w:pPr>
            <w:r>
              <w:rPr>
                <w:rFonts w:hint="eastAsia" w:cs="Arial" w:asciiTheme="minorEastAsia" w:hAnsiTheme="minorEastAsia" w:eastAsiaTheme="minorEastAsia"/>
                <w:color w:val="000000"/>
                <w:sz w:val="20"/>
              </w:rPr>
              <w:t>4.</w:t>
            </w:r>
            <w:r>
              <w:rPr>
                <w:rFonts w:hint="eastAsia" w:asciiTheme="minorEastAsia" w:hAnsiTheme="minorEastAsia" w:eastAsiaTheme="minorEastAsia"/>
                <w:sz w:val="20"/>
              </w:rPr>
              <w:t>供硬件和软件安全升级，以提高设备的安全性和性能。（1）持续监控设备是否需要安全升级；（2）提供安全性升级；（3）提供建议性升级。安全升级：按照生产厂家设备标准及当地规定执行，以保证设备及图像处于最佳运行状态，达到原厂标准。</w:t>
            </w:r>
            <w:r>
              <w:rPr>
                <w:rFonts w:hint="eastAsia" w:cs="Arial" w:asciiTheme="minorEastAsia" w:hAnsiTheme="minorEastAsia" w:eastAsiaTheme="minorEastAsia"/>
                <w:color w:val="000000"/>
                <w:sz w:val="20"/>
              </w:rPr>
              <w:t>提供承诺函。</w:t>
            </w:r>
          </w:p>
          <w:p w14:paraId="4AB51B52">
            <w:pPr>
              <w:tabs>
                <w:tab w:val="left" w:pos="-720"/>
              </w:tabs>
              <w:suppressAutoHyphens/>
              <w:spacing w:after="78"/>
              <w:rPr>
                <w:rFonts w:hint="eastAsia" w:cs="Arial" w:asciiTheme="minorEastAsia" w:hAnsiTheme="minorEastAsia" w:eastAsiaTheme="minorEastAsia"/>
                <w:color w:val="000000"/>
                <w:sz w:val="20"/>
              </w:rPr>
            </w:pPr>
            <w:r>
              <w:rPr>
                <w:rFonts w:hint="eastAsia" w:cs="Arial" w:asciiTheme="minorEastAsia" w:hAnsiTheme="minorEastAsia" w:eastAsiaTheme="minorEastAsia"/>
                <w:color w:val="000000"/>
                <w:sz w:val="20"/>
              </w:rPr>
              <w:t>5.在合同期内保证95%的开机率（停机时间少于5%），按一年365个日历日计算。如果此开机率由于服务商的原因未能达到，对于开机率低于95%的每一个百分点,合同期限将相应延长7个日历日。</w:t>
            </w:r>
          </w:p>
          <w:p w14:paraId="20E5EEBC">
            <w:pPr>
              <w:tabs>
                <w:tab w:val="left" w:pos="-720"/>
              </w:tabs>
              <w:suppressAutoHyphens/>
              <w:spacing w:after="78"/>
              <w:rPr>
                <w:rFonts w:hint="eastAsia" w:asciiTheme="minorEastAsia" w:hAnsiTheme="minorEastAsia" w:eastAsiaTheme="minorEastAsia"/>
                <w:color w:val="000000"/>
                <w:sz w:val="20"/>
              </w:rPr>
            </w:pPr>
            <w:r>
              <w:rPr>
                <w:rFonts w:hint="eastAsia" w:cs="Arial" w:asciiTheme="minorEastAsia" w:hAnsiTheme="minorEastAsia" w:eastAsiaTheme="minorEastAsia"/>
                <w:color w:val="000000"/>
                <w:sz w:val="20"/>
              </w:rPr>
              <w:t>6.</w:t>
            </w:r>
            <w:r>
              <w:rPr>
                <w:rFonts w:hint="eastAsia" w:asciiTheme="minorEastAsia" w:hAnsiTheme="minorEastAsia" w:eastAsiaTheme="minorEastAsia"/>
                <w:color w:val="000000"/>
                <w:sz w:val="20"/>
              </w:rPr>
              <w:t>设备维修要求：设备维修中不能采取更变原设备的设计线路。投标人提供维修、零配件更换和维修劳务等各种服务，保证设备维护达到符合厂家标准或相应的国家质量标准的要求，保证设备长期稳定，不会给设备带来危害。</w:t>
            </w:r>
          </w:p>
          <w:p w14:paraId="300462E3">
            <w:pPr>
              <w:tabs>
                <w:tab w:val="left" w:pos="-720"/>
              </w:tabs>
              <w:suppressAutoHyphens/>
              <w:spacing w:after="78"/>
              <w:rPr>
                <w:rFonts w:hint="eastAsia" w:asciiTheme="minorEastAsia" w:hAnsiTheme="minorEastAsia" w:eastAsiaTheme="minorEastAsia"/>
                <w:sz w:val="20"/>
              </w:rPr>
            </w:pPr>
            <w:r>
              <w:rPr>
                <w:rFonts w:hint="eastAsia" w:asciiTheme="minorEastAsia" w:hAnsiTheme="minorEastAsia" w:eastAsiaTheme="minorEastAsia"/>
                <w:color w:val="000000"/>
                <w:sz w:val="20"/>
              </w:rPr>
              <w:t>7.</w:t>
            </w:r>
            <w:r>
              <w:rPr>
                <w:rFonts w:hint="eastAsia" w:cs="仿宋" w:asciiTheme="minorEastAsia" w:hAnsiTheme="minorEastAsia" w:eastAsiaTheme="minorEastAsia"/>
                <w:sz w:val="20"/>
              </w:rPr>
              <w:t xml:space="preserve"> ▲</w:t>
            </w:r>
            <w:r>
              <w:rPr>
                <w:rFonts w:hint="eastAsia" w:asciiTheme="minorEastAsia" w:hAnsiTheme="minorEastAsia" w:eastAsiaTheme="minorEastAsia"/>
                <w:sz w:val="20"/>
              </w:rPr>
              <w:t>远程维护能力：需在国内具有已经建立的远程网络维修诊断系统地点，能够解决快速磁共振故障，通过智能远程系统，检查和报告液氦水平、磁体腔压力、磁体温度等重要磁体实时运行参数，并对异常情况自动报警。可提供基于宽带接入的，可以实时远程读取故障代码、分析故障代码，并基于故障代码排除故障；同时可通过智能远程系统，主动预防型保障和维修方案；（能提供公安机关认可的信息系统安全等级保护备案证明复印件）。</w:t>
            </w:r>
          </w:p>
          <w:p w14:paraId="335267F8">
            <w:pPr>
              <w:tabs>
                <w:tab w:val="left" w:pos="-720"/>
              </w:tabs>
              <w:suppressAutoHyphens/>
              <w:spacing w:after="78"/>
              <w:rPr>
                <w:rFonts w:hint="eastAsia" w:asciiTheme="minorEastAsia" w:hAnsiTheme="minorEastAsia" w:eastAsiaTheme="minorEastAsia"/>
                <w:sz w:val="20"/>
              </w:rPr>
            </w:pPr>
            <w:r>
              <w:rPr>
                <w:rFonts w:hint="eastAsia" w:asciiTheme="minorEastAsia" w:hAnsiTheme="minorEastAsia" w:eastAsiaTheme="minorEastAsia"/>
                <w:sz w:val="20"/>
              </w:rPr>
              <w:t>8.</w:t>
            </w:r>
            <w:r>
              <w:rPr>
                <w:rFonts w:hint="eastAsia" w:cs="仿宋" w:asciiTheme="minorEastAsia" w:hAnsiTheme="minorEastAsia" w:eastAsiaTheme="minorEastAsia"/>
                <w:sz w:val="20"/>
              </w:rPr>
              <w:t xml:space="preserve"> ▲</w:t>
            </w:r>
            <w:r>
              <w:rPr>
                <w:rFonts w:hint="eastAsia" w:asciiTheme="minorEastAsia" w:hAnsiTheme="minorEastAsia" w:eastAsiaTheme="minorEastAsia"/>
                <w:color w:val="000000"/>
                <w:sz w:val="20"/>
              </w:rPr>
              <w:t>具备磁共振的冷头更换能力、除冰能力、励磁和卸磁能力、磁共振磁体热循环服务能力、匀场能力。(提供证明资料)</w:t>
            </w:r>
          </w:p>
          <w:p w14:paraId="7B6B7633">
            <w:pPr>
              <w:tabs>
                <w:tab w:val="left" w:pos="-720"/>
              </w:tabs>
              <w:suppressAutoHyphens/>
              <w:spacing w:after="78"/>
              <w:rPr>
                <w:rFonts w:hint="eastAsia" w:asciiTheme="minorEastAsia" w:hAnsiTheme="minorEastAsia" w:eastAsiaTheme="minorEastAsia"/>
                <w:sz w:val="20"/>
              </w:rPr>
            </w:pPr>
            <w:r>
              <w:rPr>
                <w:rFonts w:hint="eastAsia" w:asciiTheme="minorEastAsia" w:hAnsiTheme="minorEastAsia" w:eastAsiaTheme="minorEastAsia"/>
                <w:sz w:val="20"/>
              </w:rPr>
              <w:t>9.服务报告要求：投标人在维保服务期限内必须为该维保设备提供完整的设备维修服务报告、年度设备运行评估报告，</w:t>
            </w:r>
            <w:r>
              <w:rPr>
                <w:rFonts w:hint="eastAsia" w:asciiTheme="minorEastAsia" w:hAnsiTheme="minorEastAsia" w:eastAsiaTheme="minorEastAsia"/>
                <w:color w:val="000000"/>
                <w:sz w:val="20"/>
              </w:rPr>
              <w:t>质量控制年检时，保证全部检测指标达国家标准，保证该设备能通过相关专业检测</w:t>
            </w:r>
            <w:r>
              <w:rPr>
                <w:rFonts w:hint="eastAsia" w:asciiTheme="minorEastAsia" w:hAnsiTheme="minorEastAsia" w:eastAsiaTheme="minorEastAsia"/>
                <w:sz w:val="20"/>
              </w:rPr>
              <w:t>。</w:t>
            </w:r>
          </w:p>
          <w:p w14:paraId="64A26BF3">
            <w:pPr>
              <w:rPr>
                <w:rFonts w:hint="eastAsia" w:asciiTheme="minorEastAsia" w:hAnsiTheme="minorEastAsia" w:eastAsiaTheme="minorEastAsia"/>
                <w:sz w:val="20"/>
              </w:rPr>
            </w:pPr>
            <w:r>
              <w:rPr>
                <w:rFonts w:hint="eastAsia" w:asciiTheme="minorEastAsia" w:hAnsiTheme="minorEastAsia" w:eastAsiaTheme="minorEastAsia"/>
                <w:sz w:val="20"/>
              </w:rPr>
              <w:t>10.投标人需提供以下文件</w:t>
            </w:r>
          </w:p>
          <w:p w14:paraId="461438FF">
            <w:pPr>
              <w:rPr>
                <w:rFonts w:hint="eastAsia" w:asciiTheme="minorEastAsia" w:hAnsiTheme="minorEastAsia" w:eastAsiaTheme="minorEastAsia"/>
                <w:sz w:val="20"/>
              </w:rPr>
            </w:pPr>
            <w:r>
              <w:rPr>
                <w:rFonts w:hint="eastAsia" w:asciiTheme="minorEastAsia" w:hAnsiTheme="minorEastAsia" w:eastAsiaTheme="minorEastAsia"/>
                <w:sz w:val="20"/>
              </w:rPr>
              <w:t>（1）服务商必须在整个合同期内都能合法获得原厂高级故障诊断软件的诊断维修钥匙（service key）</w:t>
            </w:r>
            <w:r>
              <w:rPr>
                <w:rFonts w:asciiTheme="minorEastAsia" w:hAnsiTheme="minorEastAsia" w:eastAsiaTheme="minorEastAsia"/>
                <w:sz w:val="20"/>
              </w:rPr>
              <w:t>,</w:t>
            </w:r>
            <w:r>
              <w:rPr>
                <w:rFonts w:hint="eastAsia" w:asciiTheme="minorEastAsia" w:hAnsiTheme="minorEastAsia" w:eastAsiaTheme="minorEastAsia"/>
                <w:sz w:val="20"/>
              </w:rPr>
              <w:t>并保证不违反国家有关知识产权的法律规定，并做出相应书面承诺。</w:t>
            </w:r>
          </w:p>
          <w:p w14:paraId="10DB61CF">
            <w:pPr>
              <w:rPr>
                <w:rFonts w:hint="eastAsia" w:asciiTheme="minorEastAsia" w:hAnsiTheme="minorEastAsia" w:eastAsiaTheme="minorEastAsia"/>
                <w:sz w:val="20"/>
              </w:rPr>
            </w:pPr>
            <w:r>
              <w:rPr>
                <w:rFonts w:hint="eastAsia" w:asciiTheme="minorEastAsia" w:hAnsiTheme="minorEastAsia" w:eastAsiaTheme="minorEastAsia"/>
                <w:sz w:val="20"/>
              </w:rPr>
              <w:t>（2）具备相关认证情况，所有证书需在有效期内，提供证书复印件。</w:t>
            </w:r>
          </w:p>
          <w:p w14:paraId="4B440D80">
            <w:pPr>
              <w:rPr>
                <w:rFonts w:hint="eastAsia" w:asciiTheme="minorEastAsia" w:hAnsiTheme="minorEastAsia" w:eastAsiaTheme="minorEastAsia"/>
                <w:sz w:val="20"/>
              </w:rPr>
            </w:pPr>
            <w:r>
              <w:rPr>
                <w:rFonts w:hint="eastAsia" w:asciiTheme="minorEastAsia" w:hAnsiTheme="minorEastAsia" w:eastAsiaTheme="minorEastAsia"/>
                <w:sz w:val="20"/>
              </w:rPr>
              <w:t>1.具有 ISO 9001 质量体系认证资质证书(要求认证范围包含以下几项：应用培训、保养维护、产品升级、维修服务及服务销售)</w:t>
            </w:r>
            <w:r>
              <w:rPr>
                <w:rFonts w:asciiTheme="minorEastAsia" w:hAnsiTheme="minorEastAsia" w:eastAsiaTheme="minorEastAsia"/>
                <w:sz w:val="20"/>
              </w:rPr>
              <w:t xml:space="preserve"> </w:t>
            </w:r>
          </w:p>
          <w:p w14:paraId="0CC6D666">
            <w:pPr>
              <w:rPr>
                <w:rFonts w:hint="eastAsia" w:asciiTheme="minorEastAsia" w:hAnsiTheme="minorEastAsia" w:eastAsiaTheme="minorEastAsia"/>
                <w:sz w:val="20"/>
              </w:rPr>
            </w:pPr>
            <w:r>
              <w:rPr>
                <w:rFonts w:hint="eastAsia" w:asciiTheme="minorEastAsia" w:hAnsiTheme="minorEastAsia" w:eastAsiaTheme="minorEastAsia"/>
                <w:sz w:val="20"/>
              </w:rPr>
              <w:t>2.具备 ISO 13485医疗器械质量管理体系认证</w:t>
            </w:r>
          </w:p>
          <w:p w14:paraId="431BB3F0">
            <w:pPr>
              <w:rPr>
                <w:rFonts w:hint="eastAsia" w:asciiTheme="minorEastAsia" w:hAnsiTheme="minorEastAsia" w:eastAsiaTheme="minorEastAsia"/>
                <w:sz w:val="20"/>
              </w:rPr>
            </w:pPr>
            <w:r>
              <w:rPr>
                <w:rFonts w:hint="eastAsia" w:asciiTheme="minorEastAsia" w:hAnsiTheme="minorEastAsia" w:eastAsiaTheme="minorEastAsia"/>
                <w:sz w:val="20"/>
              </w:rPr>
              <w:t>3.具备ISO 45001职业健康安全管理体系认证</w:t>
            </w:r>
          </w:p>
          <w:p w14:paraId="18D2D076">
            <w:pPr>
              <w:rPr>
                <w:rFonts w:hint="eastAsia" w:asciiTheme="minorEastAsia" w:hAnsiTheme="minorEastAsia" w:eastAsiaTheme="minorEastAsia"/>
                <w:sz w:val="20"/>
              </w:rPr>
            </w:pPr>
            <w:r>
              <w:rPr>
                <w:rFonts w:hint="eastAsia" w:asciiTheme="minorEastAsia" w:hAnsiTheme="minorEastAsia" w:eastAsiaTheme="minorEastAsia"/>
                <w:sz w:val="20"/>
              </w:rPr>
              <w:t>4.具有 ISO14001环境管理体系认证</w:t>
            </w:r>
          </w:p>
          <w:p w14:paraId="6A940346">
            <w:pPr>
              <w:rPr>
                <w:rFonts w:hint="eastAsia" w:asciiTheme="minorEastAsia" w:hAnsiTheme="minorEastAsia" w:eastAsiaTheme="minorEastAsia"/>
                <w:sz w:val="20"/>
              </w:rPr>
            </w:pPr>
            <w:r>
              <w:rPr>
                <w:rFonts w:hint="eastAsia" w:asciiTheme="minorEastAsia" w:hAnsiTheme="minorEastAsia" w:eastAsiaTheme="minorEastAsia"/>
                <w:sz w:val="20"/>
              </w:rPr>
              <w:t>（3）</w:t>
            </w:r>
            <w:r>
              <w:rPr>
                <w:rFonts w:hint="eastAsia" w:cs="仿宋" w:asciiTheme="minorEastAsia" w:hAnsiTheme="minorEastAsia" w:eastAsiaTheme="minorEastAsia"/>
                <w:sz w:val="20"/>
              </w:rPr>
              <w:t>▲</w:t>
            </w:r>
            <w:r>
              <w:rPr>
                <w:rFonts w:hint="eastAsia" w:asciiTheme="minorEastAsia" w:hAnsiTheme="minorEastAsia" w:eastAsiaTheme="minorEastAsia"/>
                <w:sz w:val="20"/>
              </w:rPr>
              <w:t>合同期内能提供增值服务：核磁水冷机整机更换1套及供应商认可的其他增值服务。</w:t>
            </w:r>
          </w:p>
          <w:p w14:paraId="4B4E8E6A">
            <w:pPr>
              <w:pStyle w:val="2"/>
              <w:rPr>
                <w:rFonts w:hint="eastAsia" w:asciiTheme="minorEastAsia" w:hAnsiTheme="minorEastAsia"/>
                <w:color w:val="000000"/>
                <w:sz w:val="20"/>
                <w:szCs w:val="20"/>
              </w:rPr>
            </w:pPr>
            <w:r>
              <w:rPr>
                <w:rFonts w:hint="eastAsia" w:asciiTheme="minorEastAsia" w:hAnsiTheme="minorEastAsia"/>
                <w:sz w:val="20"/>
                <w:szCs w:val="20"/>
              </w:rPr>
              <w:t>11.付款方式：</w:t>
            </w:r>
            <w:r>
              <w:rPr>
                <w:rFonts w:hint="eastAsia" w:asciiTheme="minorEastAsia" w:hAnsiTheme="minorEastAsia"/>
                <w:color w:val="000000"/>
                <w:sz w:val="20"/>
                <w:szCs w:val="20"/>
              </w:rPr>
              <w:t>合同签订后，</w:t>
            </w:r>
            <w:r>
              <w:rPr>
                <w:rFonts w:hint="eastAsia" w:asciiTheme="minorEastAsia" w:hAnsiTheme="minorEastAsia"/>
                <w:sz w:val="20"/>
                <w:szCs w:val="20"/>
              </w:rPr>
              <w:t>合同签订后6个月，验收合格付50%；合同期满，验收合格付余下50%。</w:t>
            </w:r>
            <w:r>
              <w:rPr>
                <w:rFonts w:hint="eastAsia" w:asciiTheme="minorEastAsia" w:hAnsiTheme="minorEastAsia"/>
                <w:color w:val="000000"/>
                <w:sz w:val="20"/>
                <w:szCs w:val="20"/>
              </w:rPr>
              <w:t>；</w:t>
            </w:r>
          </w:p>
          <w:p w14:paraId="1FBA4742">
            <w:pPr>
              <w:pStyle w:val="2"/>
              <w:rPr>
                <w:rFonts w:hint="eastAsia" w:asciiTheme="minorEastAsia" w:hAnsiTheme="minorEastAsia"/>
                <w:color w:val="000000"/>
                <w:sz w:val="20"/>
                <w:szCs w:val="20"/>
              </w:rPr>
            </w:pPr>
            <w:r>
              <w:rPr>
                <w:rFonts w:hint="eastAsia" w:asciiTheme="minorEastAsia" w:hAnsiTheme="minorEastAsia"/>
                <w:color w:val="000000"/>
                <w:sz w:val="20"/>
                <w:szCs w:val="20"/>
              </w:rPr>
              <w:t>12.保养清单包括但不限于：</w:t>
            </w:r>
          </w:p>
          <w:p w14:paraId="484C8525">
            <w:pPr>
              <w:pStyle w:val="2"/>
              <w:rPr>
                <w:rFonts w:hint="eastAsia" w:asciiTheme="minorEastAsia" w:hAnsiTheme="minorEastAsia"/>
                <w:color w:val="000000"/>
                <w:sz w:val="20"/>
                <w:szCs w:val="20"/>
              </w:rPr>
            </w:pPr>
            <w:r>
              <w:rPr>
                <w:rFonts w:asciiTheme="minorEastAsia" w:hAnsiTheme="minorEastAsia"/>
                <w:color w:val="000000"/>
                <w:sz w:val="20"/>
                <w:szCs w:val="20"/>
              </w:rPr>
              <w:t>系统状态检查</w:t>
            </w:r>
          </w:p>
          <w:p w14:paraId="3A9CB1EF">
            <w:pPr>
              <w:pStyle w:val="2"/>
              <w:rPr>
                <w:rFonts w:hint="eastAsia" w:asciiTheme="minorEastAsia" w:hAnsiTheme="minorEastAsia"/>
                <w:color w:val="000000"/>
                <w:sz w:val="20"/>
                <w:szCs w:val="20"/>
              </w:rPr>
            </w:pPr>
            <w:r>
              <w:rPr>
                <w:rFonts w:asciiTheme="minorEastAsia" w:hAnsiTheme="minorEastAsia"/>
                <w:color w:val="000000"/>
                <w:sz w:val="20"/>
                <w:szCs w:val="20"/>
              </w:rPr>
              <w:t>系统环境监测</w:t>
            </w:r>
          </w:p>
          <w:p w14:paraId="28630155">
            <w:pPr>
              <w:pStyle w:val="2"/>
              <w:rPr>
                <w:rFonts w:hint="eastAsia" w:asciiTheme="minorEastAsia" w:hAnsiTheme="minorEastAsia"/>
                <w:color w:val="000000"/>
                <w:sz w:val="20"/>
                <w:szCs w:val="20"/>
              </w:rPr>
            </w:pPr>
            <w:r>
              <w:rPr>
                <w:rFonts w:asciiTheme="minorEastAsia" w:hAnsiTheme="minorEastAsia"/>
                <w:color w:val="000000"/>
                <w:sz w:val="20"/>
                <w:szCs w:val="20"/>
              </w:rPr>
              <w:t xml:space="preserve">设备间温度（℃） (15℃ to 30℃) </w:t>
            </w:r>
          </w:p>
          <w:p w14:paraId="7936D5BE">
            <w:pPr>
              <w:pStyle w:val="2"/>
              <w:rPr>
                <w:rFonts w:hint="eastAsia" w:asciiTheme="minorEastAsia" w:hAnsiTheme="minorEastAsia"/>
                <w:color w:val="000000"/>
                <w:sz w:val="20"/>
                <w:szCs w:val="20"/>
              </w:rPr>
            </w:pPr>
            <w:r>
              <w:rPr>
                <w:rFonts w:asciiTheme="minorEastAsia" w:hAnsiTheme="minorEastAsia"/>
                <w:color w:val="000000"/>
                <w:sz w:val="20"/>
                <w:szCs w:val="20"/>
              </w:rPr>
              <w:t xml:space="preserve">设备间湿度（%RH） (40% - 60%) </w:t>
            </w:r>
          </w:p>
          <w:p w14:paraId="47B2DF3F">
            <w:pPr>
              <w:pStyle w:val="2"/>
              <w:rPr>
                <w:rFonts w:hint="eastAsia" w:asciiTheme="minorEastAsia" w:hAnsiTheme="minorEastAsia"/>
                <w:color w:val="000000"/>
                <w:sz w:val="20"/>
                <w:szCs w:val="20"/>
              </w:rPr>
            </w:pPr>
            <w:r>
              <w:rPr>
                <w:rFonts w:asciiTheme="minorEastAsia" w:hAnsiTheme="minorEastAsia"/>
                <w:color w:val="000000"/>
                <w:sz w:val="20"/>
                <w:szCs w:val="20"/>
              </w:rPr>
              <w:t xml:space="preserve">磁体间温度（℃）(18℃ to 22℃) </w:t>
            </w:r>
          </w:p>
          <w:p w14:paraId="342B4C3A">
            <w:pPr>
              <w:pStyle w:val="2"/>
              <w:rPr>
                <w:rFonts w:hint="eastAsia" w:asciiTheme="minorEastAsia" w:hAnsiTheme="minorEastAsia"/>
                <w:color w:val="000000"/>
                <w:sz w:val="20"/>
                <w:szCs w:val="20"/>
              </w:rPr>
            </w:pPr>
            <w:r>
              <w:rPr>
                <w:rFonts w:asciiTheme="minorEastAsia" w:hAnsiTheme="minorEastAsia"/>
                <w:color w:val="000000"/>
                <w:sz w:val="20"/>
                <w:szCs w:val="20"/>
              </w:rPr>
              <w:t xml:space="preserve">磁体间湿度（%RH） (40% - 60%) </w:t>
            </w:r>
          </w:p>
          <w:p w14:paraId="7C182CD3">
            <w:pPr>
              <w:pStyle w:val="2"/>
              <w:rPr>
                <w:rFonts w:hint="eastAsia" w:asciiTheme="minorEastAsia" w:hAnsiTheme="minorEastAsia"/>
                <w:color w:val="000000"/>
                <w:sz w:val="20"/>
                <w:szCs w:val="20"/>
              </w:rPr>
            </w:pPr>
            <w:r>
              <w:rPr>
                <w:rFonts w:asciiTheme="minorEastAsia" w:hAnsiTheme="minorEastAsia"/>
                <w:color w:val="000000"/>
                <w:sz w:val="20"/>
                <w:szCs w:val="20"/>
              </w:rPr>
              <w:t xml:space="preserve">操作间温度（℃） (15℃to 30℃) </w:t>
            </w:r>
          </w:p>
          <w:p w14:paraId="467CA019">
            <w:pPr>
              <w:pStyle w:val="2"/>
              <w:rPr>
                <w:rFonts w:hint="eastAsia" w:asciiTheme="minorEastAsia" w:hAnsiTheme="minorEastAsia"/>
                <w:color w:val="000000"/>
                <w:sz w:val="20"/>
                <w:szCs w:val="20"/>
              </w:rPr>
            </w:pPr>
            <w:r>
              <w:rPr>
                <w:rFonts w:asciiTheme="minorEastAsia" w:hAnsiTheme="minorEastAsia"/>
                <w:color w:val="000000"/>
                <w:sz w:val="20"/>
                <w:szCs w:val="20"/>
              </w:rPr>
              <w:t xml:space="preserve">操作间湿度（%RH）(40% - 60%) </w:t>
            </w:r>
          </w:p>
          <w:p w14:paraId="3616CC41">
            <w:pPr>
              <w:pStyle w:val="2"/>
              <w:rPr>
                <w:rFonts w:hint="eastAsia" w:asciiTheme="minorEastAsia" w:hAnsiTheme="minorEastAsia"/>
                <w:color w:val="000000"/>
                <w:sz w:val="20"/>
                <w:szCs w:val="20"/>
              </w:rPr>
            </w:pPr>
            <w:r>
              <w:rPr>
                <w:rFonts w:asciiTheme="minorEastAsia" w:hAnsiTheme="minorEastAsia"/>
                <w:color w:val="000000"/>
                <w:sz w:val="20"/>
                <w:szCs w:val="20"/>
              </w:rPr>
              <w:t xml:space="preserve">系统输入电压 Uab （V）(380, or 400, or 420 V ±10%) </w:t>
            </w:r>
          </w:p>
          <w:p w14:paraId="23A6A60B">
            <w:pPr>
              <w:pStyle w:val="2"/>
              <w:rPr>
                <w:rFonts w:hint="eastAsia" w:asciiTheme="minorEastAsia" w:hAnsiTheme="minorEastAsia"/>
                <w:color w:val="000000"/>
                <w:sz w:val="20"/>
                <w:szCs w:val="20"/>
              </w:rPr>
            </w:pPr>
            <w:r>
              <w:rPr>
                <w:rFonts w:asciiTheme="minorEastAsia" w:hAnsiTheme="minorEastAsia"/>
                <w:color w:val="000000"/>
                <w:sz w:val="20"/>
                <w:szCs w:val="20"/>
              </w:rPr>
              <w:t xml:space="preserve">系统输入电压 Ubc（ V ）(380, or 400, or 420 V ±10%) </w:t>
            </w:r>
          </w:p>
          <w:p w14:paraId="4B3CB1F6">
            <w:pPr>
              <w:pStyle w:val="2"/>
              <w:rPr>
                <w:rFonts w:hint="eastAsia" w:asciiTheme="minorEastAsia" w:hAnsiTheme="minorEastAsia"/>
                <w:color w:val="000000"/>
                <w:sz w:val="20"/>
                <w:szCs w:val="20"/>
              </w:rPr>
            </w:pPr>
            <w:r>
              <w:rPr>
                <w:rFonts w:asciiTheme="minorEastAsia" w:hAnsiTheme="minorEastAsia"/>
                <w:color w:val="000000"/>
                <w:sz w:val="20"/>
                <w:szCs w:val="20"/>
              </w:rPr>
              <w:t xml:space="preserve">系统输入电压 Uac（ V）(380, or 400, or 420 V ±10%) </w:t>
            </w:r>
          </w:p>
          <w:p w14:paraId="72840C85">
            <w:pPr>
              <w:pStyle w:val="2"/>
              <w:rPr>
                <w:rFonts w:hint="eastAsia" w:asciiTheme="minorEastAsia" w:hAnsiTheme="minorEastAsia"/>
                <w:color w:val="000000"/>
                <w:sz w:val="20"/>
                <w:szCs w:val="20"/>
              </w:rPr>
            </w:pPr>
            <w:r>
              <w:rPr>
                <w:rFonts w:asciiTheme="minorEastAsia" w:hAnsiTheme="minorEastAsia"/>
                <w:color w:val="000000"/>
                <w:sz w:val="20"/>
                <w:szCs w:val="20"/>
              </w:rPr>
              <w:t>初级水冷温度</w:t>
            </w:r>
          </w:p>
          <w:p w14:paraId="4EE14892">
            <w:pPr>
              <w:pStyle w:val="2"/>
              <w:rPr>
                <w:rFonts w:hint="eastAsia" w:asciiTheme="minorEastAsia" w:hAnsiTheme="minorEastAsia"/>
                <w:color w:val="000000"/>
                <w:sz w:val="20"/>
                <w:szCs w:val="20"/>
              </w:rPr>
            </w:pPr>
            <w:r>
              <w:rPr>
                <w:rFonts w:asciiTheme="minorEastAsia" w:hAnsiTheme="minorEastAsia"/>
                <w:color w:val="000000"/>
                <w:sz w:val="20"/>
                <w:szCs w:val="20"/>
              </w:rPr>
              <w:t>系统安全功能性测试</w:t>
            </w:r>
          </w:p>
          <w:p w14:paraId="33A9E56D">
            <w:pPr>
              <w:pStyle w:val="2"/>
              <w:rPr>
                <w:rFonts w:hint="eastAsia" w:asciiTheme="minorEastAsia" w:hAnsiTheme="minorEastAsia"/>
                <w:color w:val="000000"/>
                <w:sz w:val="20"/>
                <w:szCs w:val="20"/>
              </w:rPr>
            </w:pPr>
            <w:r>
              <w:rPr>
                <w:rFonts w:asciiTheme="minorEastAsia" w:hAnsiTheme="minorEastAsia"/>
                <w:color w:val="000000"/>
                <w:sz w:val="20"/>
                <w:szCs w:val="20"/>
              </w:rPr>
              <w:t xml:space="preserve">检查整个系统 </w:t>
            </w:r>
          </w:p>
          <w:p w14:paraId="17D35F04">
            <w:pPr>
              <w:pStyle w:val="2"/>
              <w:rPr>
                <w:rFonts w:hint="eastAsia" w:asciiTheme="minorEastAsia" w:hAnsiTheme="minorEastAsia"/>
                <w:color w:val="000000"/>
                <w:sz w:val="20"/>
                <w:szCs w:val="20"/>
              </w:rPr>
            </w:pPr>
            <w:r>
              <w:rPr>
                <w:rFonts w:asciiTheme="minorEastAsia" w:hAnsiTheme="minorEastAsia"/>
                <w:color w:val="000000"/>
                <w:sz w:val="20"/>
                <w:szCs w:val="20"/>
              </w:rPr>
              <w:t xml:space="preserve">检查可见的电缆和电缆槽 </w:t>
            </w:r>
          </w:p>
          <w:p w14:paraId="22F0DCD2">
            <w:pPr>
              <w:pStyle w:val="2"/>
              <w:rPr>
                <w:rFonts w:hint="eastAsia" w:asciiTheme="minorEastAsia" w:hAnsiTheme="minorEastAsia"/>
                <w:color w:val="000000"/>
                <w:sz w:val="20"/>
                <w:szCs w:val="20"/>
              </w:rPr>
            </w:pPr>
            <w:r>
              <w:rPr>
                <w:rFonts w:asciiTheme="minorEastAsia" w:hAnsiTheme="minorEastAsia"/>
                <w:color w:val="000000"/>
                <w:sz w:val="20"/>
                <w:szCs w:val="20"/>
              </w:rPr>
              <w:t xml:space="preserve">模型：检查模型有无损坏 </w:t>
            </w:r>
          </w:p>
          <w:p w14:paraId="0D5418E4">
            <w:pPr>
              <w:pStyle w:val="2"/>
              <w:rPr>
                <w:rFonts w:hint="eastAsia" w:asciiTheme="minorEastAsia" w:hAnsiTheme="minorEastAsia"/>
                <w:color w:val="000000"/>
                <w:sz w:val="20"/>
                <w:szCs w:val="20"/>
              </w:rPr>
            </w:pPr>
            <w:r>
              <w:rPr>
                <w:rFonts w:asciiTheme="minorEastAsia" w:hAnsiTheme="minorEastAsia"/>
                <w:color w:val="000000"/>
                <w:sz w:val="20"/>
                <w:szCs w:val="20"/>
              </w:rPr>
              <w:t>检查失超管(Quench tube)及出口环境</w:t>
            </w:r>
          </w:p>
          <w:p w14:paraId="6E4BA9EF">
            <w:pPr>
              <w:pStyle w:val="2"/>
              <w:rPr>
                <w:rFonts w:hint="eastAsia" w:asciiTheme="minorEastAsia" w:hAnsiTheme="minorEastAsia"/>
                <w:color w:val="000000"/>
                <w:sz w:val="20"/>
                <w:szCs w:val="20"/>
              </w:rPr>
            </w:pPr>
            <w:r>
              <w:rPr>
                <w:rFonts w:asciiTheme="minorEastAsia" w:hAnsiTheme="minorEastAsia"/>
                <w:color w:val="000000"/>
                <w:sz w:val="20"/>
                <w:szCs w:val="20"/>
              </w:rPr>
              <w:t>检查失超阀门是否有水，排水口是否畅通</w:t>
            </w:r>
          </w:p>
          <w:p w14:paraId="67C31E1F">
            <w:pPr>
              <w:pStyle w:val="2"/>
              <w:rPr>
                <w:rFonts w:hint="eastAsia" w:asciiTheme="minorEastAsia" w:hAnsiTheme="minorEastAsia"/>
                <w:color w:val="000000"/>
                <w:sz w:val="20"/>
                <w:szCs w:val="20"/>
              </w:rPr>
            </w:pPr>
            <w:r>
              <w:rPr>
                <w:rFonts w:asciiTheme="minorEastAsia" w:hAnsiTheme="minorEastAsia"/>
                <w:color w:val="000000"/>
                <w:sz w:val="20"/>
                <w:szCs w:val="20"/>
              </w:rPr>
              <w:t>磁体部分：检查维修塔外部是否有冰</w:t>
            </w:r>
          </w:p>
          <w:p w14:paraId="43678578">
            <w:pPr>
              <w:pStyle w:val="2"/>
              <w:rPr>
                <w:rFonts w:hint="eastAsia" w:asciiTheme="minorEastAsia" w:hAnsiTheme="minorEastAsia"/>
                <w:color w:val="000000"/>
                <w:sz w:val="20"/>
                <w:szCs w:val="20"/>
              </w:rPr>
            </w:pPr>
            <w:r>
              <w:rPr>
                <w:rFonts w:asciiTheme="minorEastAsia" w:hAnsiTheme="minorEastAsia"/>
                <w:color w:val="000000"/>
                <w:sz w:val="20"/>
                <w:szCs w:val="20"/>
              </w:rPr>
              <w:t>磁体：检查磁体系统是否有泄漏</w:t>
            </w:r>
          </w:p>
          <w:p w14:paraId="7578303F">
            <w:pPr>
              <w:pStyle w:val="2"/>
              <w:rPr>
                <w:rFonts w:hint="eastAsia" w:asciiTheme="minorEastAsia" w:hAnsiTheme="minorEastAsia"/>
                <w:color w:val="000000"/>
                <w:sz w:val="20"/>
                <w:szCs w:val="20"/>
              </w:rPr>
            </w:pPr>
            <w:r>
              <w:rPr>
                <w:rFonts w:asciiTheme="minorEastAsia" w:hAnsiTheme="minorEastAsia"/>
                <w:color w:val="000000"/>
                <w:sz w:val="20"/>
                <w:szCs w:val="20"/>
              </w:rPr>
              <w:t xml:space="preserve">检查病人通风风扇 </w:t>
            </w:r>
          </w:p>
          <w:p w14:paraId="1EDFD10F">
            <w:pPr>
              <w:pStyle w:val="2"/>
              <w:rPr>
                <w:rFonts w:hint="eastAsia" w:asciiTheme="minorEastAsia" w:hAnsiTheme="minorEastAsia"/>
                <w:color w:val="000000"/>
                <w:sz w:val="20"/>
                <w:szCs w:val="20"/>
              </w:rPr>
            </w:pPr>
            <w:r>
              <w:rPr>
                <w:rFonts w:asciiTheme="minorEastAsia" w:hAnsiTheme="minorEastAsia"/>
                <w:color w:val="000000"/>
                <w:sz w:val="20"/>
                <w:szCs w:val="20"/>
              </w:rPr>
              <w:t xml:space="preserve">用户文档可用和清晰 </w:t>
            </w:r>
          </w:p>
          <w:p w14:paraId="0B63DCC8">
            <w:pPr>
              <w:pStyle w:val="2"/>
              <w:rPr>
                <w:rFonts w:hint="eastAsia" w:asciiTheme="minorEastAsia" w:hAnsiTheme="minorEastAsia"/>
                <w:color w:val="000000"/>
                <w:sz w:val="20"/>
                <w:szCs w:val="20"/>
              </w:rPr>
            </w:pPr>
            <w:r>
              <w:rPr>
                <w:rFonts w:asciiTheme="minorEastAsia" w:hAnsiTheme="minorEastAsia"/>
                <w:color w:val="000000"/>
                <w:sz w:val="20"/>
                <w:szCs w:val="20"/>
              </w:rPr>
              <w:t xml:space="preserve">检查用户图标和开关按键标示 </w:t>
            </w:r>
          </w:p>
          <w:p w14:paraId="11199E34">
            <w:pPr>
              <w:pStyle w:val="2"/>
              <w:rPr>
                <w:rFonts w:hint="eastAsia" w:asciiTheme="minorEastAsia" w:hAnsiTheme="minorEastAsia"/>
                <w:color w:val="000000"/>
                <w:sz w:val="20"/>
                <w:szCs w:val="20"/>
              </w:rPr>
            </w:pPr>
            <w:r>
              <w:rPr>
                <w:rFonts w:asciiTheme="minorEastAsia" w:hAnsiTheme="minorEastAsia"/>
                <w:color w:val="000000"/>
                <w:sz w:val="20"/>
                <w:szCs w:val="20"/>
              </w:rPr>
              <w:t>认定0.5mT 场强隔离区域，检查警告标志</w:t>
            </w:r>
          </w:p>
          <w:p w14:paraId="1ED6F78D">
            <w:pPr>
              <w:pStyle w:val="2"/>
              <w:rPr>
                <w:rFonts w:hint="eastAsia" w:asciiTheme="minorEastAsia" w:hAnsiTheme="minorEastAsia"/>
                <w:color w:val="000000"/>
                <w:sz w:val="20"/>
                <w:szCs w:val="20"/>
              </w:rPr>
            </w:pPr>
            <w:r>
              <w:rPr>
                <w:rFonts w:asciiTheme="minorEastAsia" w:hAnsiTheme="minorEastAsia"/>
                <w:color w:val="000000"/>
                <w:sz w:val="20"/>
                <w:szCs w:val="20"/>
              </w:rPr>
              <w:t xml:space="preserve">射频室：检查接触表面 </w:t>
            </w:r>
          </w:p>
          <w:p w14:paraId="37E39AB7">
            <w:pPr>
              <w:pStyle w:val="2"/>
              <w:rPr>
                <w:rFonts w:hint="eastAsia" w:asciiTheme="minorEastAsia" w:hAnsiTheme="minorEastAsia"/>
                <w:color w:val="000000"/>
                <w:sz w:val="20"/>
                <w:szCs w:val="20"/>
              </w:rPr>
            </w:pPr>
            <w:r>
              <w:rPr>
                <w:rFonts w:asciiTheme="minorEastAsia" w:hAnsiTheme="minorEastAsia"/>
                <w:color w:val="000000"/>
                <w:sz w:val="20"/>
                <w:szCs w:val="20"/>
              </w:rPr>
              <w:t xml:space="preserve">射频室：检查门轴，门锁 </w:t>
            </w:r>
          </w:p>
          <w:p w14:paraId="31B324B1">
            <w:pPr>
              <w:pStyle w:val="2"/>
              <w:rPr>
                <w:rFonts w:hint="eastAsia" w:asciiTheme="minorEastAsia" w:hAnsiTheme="minorEastAsia"/>
                <w:color w:val="000000"/>
                <w:sz w:val="20"/>
                <w:szCs w:val="20"/>
              </w:rPr>
            </w:pPr>
            <w:r>
              <w:rPr>
                <w:rFonts w:asciiTheme="minorEastAsia" w:hAnsiTheme="minorEastAsia"/>
                <w:color w:val="000000"/>
                <w:sz w:val="20"/>
                <w:szCs w:val="20"/>
              </w:rPr>
              <w:t>检查激光警告标志</w:t>
            </w:r>
          </w:p>
          <w:p w14:paraId="40935558">
            <w:pPr>
              <w:pStyle w:val="2"/>
              <w:rPr>
                <w:rFonts w:hint="eastAsia" w:asciiTheme="minorEastAsia" w:hAnsiTheme="minorEastAsia"/>
                <w:color w:val="000000"/>
                <w:sz w:val="20"/>
                <w:szCs w:val="20"/>
              </w:rPr>
            </w:pPr>
            <w:r>
              <w:rPr>
                <w:rFonts w:asciiTheme="minorEastAsia" w:hAnsiTheme="minorEastAsia"/>
                <w:color w:val="000000"/>
                <w:sz w:val="20"/>
                <w:szCs w:val="20"/>
              </w:rPr>
              <w:t xml:space="preserve">检查噪声保护标志 </w:t>
            </w:r>
          </w:p>
          <w:p w14:paraId="6F3DEFE6">
            <w:pPr>
              <w:pStyle w:val="2"/>
              <w:rPr>
                <w:rFonts w:hint="eastAsia" w:asciiTheme="minorEastAsia" w:hAnsiTheme="minorEastAsia"/>
                <w:color w:val="000000"/>
                <w:sz w:val="20"/>
                <w:szCs w:val="20"/>
              </w:rPr>
            </w:pPr>
            <w:r>
              <w:rPr>
                <w:rFonts w:asciiTheme="minorEastAsia" w:hAnsiTheme="minorEastAsia"/>
                <w:color w:val="000000"/>
                <w:sz w:val="20"/>
                <w:szCs w:val="20"/>
              </w:rPr>
              <w:t>测试紧急关机按钮功能(断电按钮功能；EPC 和 GPA 断电；Alarmbox 上的“Line</w:t>
            </w:r>
          </w:p>
          <w:p w14:paraId="36295014">
            <w:pPr>
              <w:pStyle w:val="2"/>
              <w:rPr>
                <w:rFonts w:hint="eastAsia" w:asciiTheme="minorEastAsia" w:hAnsiTheme="minorEastAsia"/>
                <w:color w:val="000000"/>
                <w:sz w:val="20"/>
                <w:szCs w:val="20"/>
              </w:rPr>
            </w:pPr>
            <w:r>
              <w:rPr>
                <w:rFonts w:asciiTheme="minorEastAsia" w:hAnsiTheme="minorEastAsia"/>
                <w:color w:val="000000"/>
                <w:sz w:val="20"/>
                <w:szCs w:val="20"/>
              </w:rPr>
              <w:t>"灯不亮；如有UPS选件，其显示输出电压为零伏）</w:t>
            </w:r>
          </w:p>
          <w:p w14:paraId="69F1DD1D">
            <w:pPr>
              <w:pStyle w:val="2"/>
              <w:rPr>
                <w:rFonts w:hint="eastAsia" w:asciiTheme="minorEastAsia" w:hAnsiTheme="minorEastAsia"/>
                <w:color w:val="000000"/>
                <w:sz w:val="20"/>
                <w:szCs w:val="20"/>
              </w:rPr>
            </w:pPr>
            <w:r>
              <w:rPr>
                <w:rFonts w:asciiTheme="minorEastAsia" w:hAnsiTheme="minorEastAsia"/>
                <w:color w:val="000000"/>
                <w:sz w:val="20"/>
                <w:szCs w:val="20"/>
              </w:rPr>
              <w:t>检查梯度监控系统</w:t>
            </w:r>
          </w:p>
          <w:p w14:paraId="7EBC972B">
            <w:pPr>
              <w:pStyle w:val="2"/>
              <w:rPr>
                <w:rFonts w:hint="eastAsia" w:asciiTheme="minorEastAsia" w:hAnsiTheme="minorEastAsia"/>
                <w:color w:val="000000"/>
                <w:sz w:val="20"/>
                <w:szCs w:val="20"/>
              </w:rPr>
            </w:pPr>
            <w:r>
              <w:rPr>
                <w:rFonts w:asciiTheme="minorEastAsia" w:hAnsiTheme="minorEastAsia"/>
                <w:color w:val="000000"/>
                <w:sz w:val="20"/>
                <w:szCs w:val="20"/>
              </w:rPr>
              <w:t xml:space="preserve">检查病人床的紧急停止功能 </w:t>
            </w:r>
          </w:p>
          <w:p w14:paraId="24005392">
            <w:pPr>
              <w:pStyle w:val="2"/>
              <w:rPr>
                <w:rFonts w:hint="eastAsia" w:asciiTheme="minorEastAsia" w:hAnsiTheme="minorEastAsia"/>
                <w:color w:val="000000"/>
                <w:sz w:val="20"/>
                <w:szCs w:val="20"/>
              </w:rPr>
            </w:pPr>
            <w:r>
              <w:rPr>
                <w:rFonts w:asciiTheme="minorEastAsia" w:hAnsiTheme="minorEastAsia"/>
                <w:color w:val="000000"/>
                <w:sz w:val="20"/>
                <w:szCs w:val="20"/>
              </w:rPr>
              <w:t>检查病人床的紧急分离，手动移床功能</w:t>
            </w:r>
          </w:p>
          <w:p w14:paraId="3B92C0C3">
            <w:pPr>
              <w:pStyle w:val="2"/>
              <w:rPr>
                <w:rFonts w:hint="eastAsia" w:asciiTheme="minorEastAsia" w:hAnsiTheme="minorEastAsia"/>
                <w:color w:val="000000"/>
                <w:sz w:val="20"/>
                <w:szCs w:val="20"/>
              </w:rPr>
            </w:pPr>
            <w:r>
              <w:rPr>
                <w:rFonts w:asciiTheme="minorEastAsia" w:hAnsiTheme="minorEastAsia"/>
                <w:color w:val="000000"/>
                <w:sz w:val="20"/>
                <w:szCs w:val="20"/>
              </w:rPr>
              <w:t xml:space="preserve">检查病人床与后墙的距离 </w:t>
            </w:r>
          </w:p>
          <w:p w14:paraId="07F9BF93">
            <w:pPr>
              <w:pStyle w:val="2"/>
              <w:rPr>
                <w:rFonts w:hint="eastAsia" w:asciiTheme="minorEastAsia" w:hAnsiTheme="minorEastAsia"/>
                <w:color w:val="000000"/>
                <w:sz w:val="20"/>
                <w:szCs w:val="20"/>
              </w:rPr>
            </w:pPr>
            <w:r>
              <w:rPr>
                <w:rFonts w:asciiTheme="minorEastAsia" w:hAnsiTheme="minorEastAsia"/>
                <w:color w:val="000000"/>
                <w:sz w:val="20"/>
                <w:szCs w:val="20"/>
              </w:rPr>
              <w:t>检测床到磁体的间隙和移动</w:t>
            </w:r>
          </w:p>
          <w:p w14:paraId="13372FDD">
            <w:pPr>
              <w:pStyle w:val="2"/>
              <w:rPr>
                <w:rFonts w:hint="eastAsia" w:asciiTheme="minorEastAsia" w:hAnsiTheme="minorEastAsia"/>
                <w:color w:val="000000"/>
                <w:sz w:val="20"/>
                <w:szCs w:val="20"/>
              </w:rPr>
            </w:pPr>
            <w:r>
              <w:rPr>
                <w:rFonts w:asciiTheme="minorEastAsia" w:hAnsiTheme="minorEastAsia"/>
                <w:color w:val="000000"/>
                <w:sz w:val="20"/>
                <w:szCs w:val="20"/>
              </w:rPr>
              <w:t>检测病人床的运动</w:t>
            </w:r>
          </w:p>
          <w:p w14:paraId="4733F35F">
            <w:pPr>
              <w:pStyle w:val="2"/>
              <w:rPr>
                <w:rFonts w:hint="eastAsia" w:asciiTheme="minorEastAsia" w:hAnsiTheme="minorEastAsia"/>
                <w:color w:val="000000"/>
                <w:sz w:val="20"/>
                <w:szCs w:val="20"/>
              </w:rPr>
            </w:pPr>
            <w:r>
              <w:rPr>
                <w:rFonts w:asciiTheme="minorEastAsia" w:hAnsiTheme="minorEastAsia"/>
                <w:color w:val="000000"/>
                <w:sz w:val="20"/>
                <w:szCs w:val="20"/>
              </w:rPr>
              <w:t>检查挤压球功能</w:t>
            </w:r>
          </w:p>
          <w:p w14:paraId="2F0C654B">
            <w:pPr>
              <w:pStyle w:val="2"/>
              <w:rPr>
                <w:rFonts w:hint="eastAsia" w:asciiTheme="minorEastAsia" w:hAnsiTheme="minorEastAsia"/>
                <w:color w:val="000000"/>
                <w:sz w:val="20"/>
                <w:szCs w:val="20"/>
              </w:rPr>
            </w:pPr>
            <w:r>
              <w:rPr>
                <w:rFonts w:asciiTheme="minorEastAsia" w:hAnsiTheme="minorEastAsia"/>
                <w:color w:val="000000"/>
                <w:sz w:val="20"/>
                <w:szCs w:val="20"/>
              </w:rPr>
              <w:t xml:space="preserve">ERDU测试紧急失超开关功能 </w:t>
            </w:r>
          </w:p>
          <w:p w14:paraId="0996C9AA">
            <w:pPr>
              <w:pStyle w:val="2"/>
              <w:rPr>
                <w:rFonts w:hint="eastAsia" w:asciiTheme="minorEastAsia" w:hAnsiTheme="minorEastAsia"/>
                <w:color w:val="000000"/>
                <w:sz w:val="20"/>
                <w:szCs w:val="20"/>
              </w:rPr>
            </w:pPr>
            <w:r>
              <w:rPr>
                <w:rFonts w:asciiTheme="minorEastAsia" w:hAnsiTheme="minorEastAsia"/>
                <w:color w:val="000000"/>
                <w:sz w:val="20"/>
                <w:szCs w:val="20"/>
              </w:rPr>
              <w:t xml:space="preserve">清洁水路过滤器，检查水冷状态 </w:t>
            </w:r>
          </w:p>
          <w:p w14:paraId="78C322F2">
            <w:pPr>
              <w:pStyle w:val="2"/>
              <w:rPr>
                <w:rFonts w:hint="eastAsia" w:asciiTheme="minorEastAsia" w:hAnsiTheme="minorEastAsia"/>
                <w:color w:val="000000"/>
                <w:sz w:val="20"/>
                <w:szCs w:val="20"/>
              </w:rPr>
            </w:pPr>
            <w:r>
              <w:rPr>
                <w:rFonts w:asciiTheme="minorEastAsia" w:hAnsiTheme="minorEastAsia"/>
                <w:color w:val="000000"/>
                <w:sz w:val="20"/>
                <w:szCs w:val="20"/>
              </w:rPr>
              <w:t xml:space="preserve">清洁病床 </w:t>
            </w:r>
          </w:p>
          <w:p w14:paraId="712093D9">
            <w:pPr>
              <w:pStyle w:val="2"/>
              <w:rPr>
                <w:rFonts w:hint="eastAsia" w:asciiTheme="minorEastAsia" w:hAnsiTheme="minorEastAsia"/>
                <w:color w:val="000000"/>
                <w:sz w:val="20"/>
                <w:szCs w:val="20"/>
              </w:rPr>
            </w:pPr>
            <w:r>
              <w:rPr>
                <w:rFonts w:asciiTheme="minorEastAsia" w:hAnsiTheme="minorEastAsia"/>
                <w:color w:val="000000"/>
                <w:sz w:val="20"/>
                <w:szCs w:val="20"/>
              </w:rPr>
              <w:t xml:space="preserve">清洁磁体前后盖，滑道等 </w:t>
            </w:r>
          </w:p>
          <w:p w14:paraId="09D4E871">
            <w:pPr>
              <w:pStyle w:val="2"/>
              <w:rPr>
                <w:rFonts w:hint="eastAsia" w:asciiTheme="minorEastAsia" w:hAnsiTheme="minorEastAsia"/>
                <w:color w:val="000000"/>
                <w:sz w:val="20"/>
                <w:szCs w:val="20"/>
              </w:rPr>
            </w:pPr>
            <w:r>
              <w:rPr>
                <w:rFonts w:asciiTheme="minorEastAsia" w:hAnsiTheme="minorEastAsia"/>
                <w:color w:val="000000"/>
                <w:sz w:val="20"/>
                <w:szCs w:val="20"/>
              </w:rPr>
              <w:t xml:space="preserve">清洁线圈接头和插座 </w:t>
            </w:r>
          </w:p>
          <w:p w14:paraId="47E5ED39">
            <w:pPr>
              <w:pStyle w:val="2"/>
              <w:rPr>
                <w:rFonts w:hint="eastAsia" w:asciiTheme="minorEastAsia" w:hAnsiTheme="minorEastAsia"/>
                <w:color w:val="000000"/>
                <w:sz w:val="20"/>
                <w:szCs w:val="20"/>
              </w:rPr>
            </w:pPr>
            <w:r>
              <w:rPr>
                <w:rFonts w:asciiTheme="minorEastAsia" w:hAnsiTheme="minorEastAsia"/>
                <w:color w:val="000000"/>
                <w:sz w:val="20"/>
                <w:szCs w:val="20"/>
              </w:rPr>
              <w:t>清洁MRAWP内外灰</w:t>
            </w:r>
          </w:p>
          <w:p w14:paraId="5ACA8A0F">
            <w:pPr>
              <w:pStyle w:val="2"/>
              <w:rPr>
                <w:rFonts w:hint="eastAsia" w:asciiTheme="minorEastAsia" w:hAnsiTheme="minorEastAsia"/>
                <w:color w:val="000000"/>
                <w:sz w:val="20"/>
                <w:szCs w:val="20"/>
              </w:rPr>
            </w:pPr>
            <w:r>
              <w:rPr>
                <w:rFonts w:asciiTheme="minorEastAsia" w:hAnsiTheme="minorEastAsia"/>
                <w:color w:val="000000"/>
                <w:sz w:val="20"/>
                <w:szCs w:val="20"/>
              </w:rPr>
              <w:t xml:space="preserve">外观清洁 </w:t>
            </w:r>
          </w:p>
          <w:p w14:paraId="271F3FF0">
            <w:pPr>
              <w:pStyle w:val="2"/>
              <w:rPr>
                <w:rFonts w:hint="eastAsia" w:asciiTheme="minorEastAsia" w:hAnsiTheme="minorEastAsia"/>
                <w:color w:val="000000"/>
                <w:sz w:val="20"/>
                <w:szCs w:val="20"/>
              </w:rPr>
            </w:pPr>
            <w:r>
              <w:rPr>
                <w:rFonts w:asciiTheme="minorEastAsia" w:hAnsiTheme="minorEastAsia"/>
                <w:color w:val="000000"/>
                <w:sz w:val="20"/>
                <w:szCs w:val="20"/>
              </w:rPr>
              <w:t xml:space="preserve">更换沙袋布套 </w:t>
            </w:r>
          </w:p>
          <w:p w14:paraId="74E48F89">
            <w:pPr>
              <w:pStyle w:val="2"/>
              <w:rPr>
                <w:rFonts w:hint="eastAsia" w:asciiTheme="minorEastAsia" w:hAnsiTheme="minorEastAsia"/>
                <w:color w:val="000000"/>
                <w:sz w:val="20"/>
                <w:szCs w:val="20"/>
              </w:rPr>
            </w:pPr>
            <w:r>
              <w:rPr>
                <w:rFonts w:asciiTheme="minorEastAsia" w:hAnsiTheme="minorEastAsia"/>
                <w:color w:val="000000"/>
                <w:sz w:val="20"/>
                <w:szCs w:val="20"/>
              </w:rPr>
              <w:t>定期更换氦压机吸附器 : 该备件未到更换周期，本次无需更换</w:t>
            </w:r>
          </w:p>
          <w:p w14:paraId="7F636131">
            <w:pPr>
              <w:pStyle w:val="2"/>
              <w:rPr>
                <w:rFonts w:hint="eastAsia" w:asciiTheme="minorEastAsia" w:hAnsiTheme="minorEastAsia"/>
                <w:color w:val="000000"/>
                <w:sz w:val="20"/>
                <w:szCs w:val="20"/>
              </w:rPr>
            </w:pPr>
            <w:r>
              <w:rPr>
                <w:rFonts w:asciiTheme="minorEastAsia" w:hAnsiTheme="minorEastAsia"/>
                <w:color w:val="000000"/>
                <w:sz w:val="20"/>
                <w:szCs w:val="20"/>
              </w:rPr>
              <w:t>检查冷头状态和工作月数 : 冷头工作正常，满24个月，继续日常监测</w:t>
            </w:r>
          </w:p>
          <w:p w14:paraId="2294A0B2">
            <w:pPr>
              <w:pStyle w:val="2"/>
              <w:rPr>
                <w:rFonts w:hint="eastAsia" w:asciiTheme="minorEastAsia" w:hAnsiTheme="minorEastAsia"/>
                <w:color w:val="000000"/>
                <w:sz w:val="20"/>
                <w:szCs w:val="20"/>
              </w:rPr>
            </w:pPr>
            <w:r>
              <w:rPr>
                <w:rFonts w:asciiTheme="minorEastAsia" w:hAnsiTheme="minorEastAsia"/>
                <w:color w:val="000000"/>
                <w:sz w:val="20"/>
                <w:szCs w:val="20"/>
              </w:rPr>
              <w:t>系统检查</w:t>
            </w:r>
          </w:p>
          <w:p w14:paraId="3AE584F0">
            <w:pPr>
              <w:pStyle w:val="2"/>
              <w:rPr>
                <w:rFonts w:hint="eastAsia" w:asciiTheme="minorEastAsia" w:hAnsiTheme="minorEastAsia"/>
                <w:color w:val="000000"/>
                <w:sz w:val="20"/>
                <w:szCs w:val="20"/>
              </w:rPr>
            </w:pPr>
            <w:r>
              <w:rPr>
                <w:rFonts w:asciiTheme="minorEastAsia" w:hAnsiTheme="minorEastAsia"/>
                <w:color w:val="000000"/>
                <w:sz w:val="20"/>
                <w:szCs w:val="20"/>
              </w:rPr>
              <w:t>检查梯度滤波器风扇</w:t>
            </w:r>
          </w:p>
          <w:p w14:paraId="1229AE7A">
            <w:pPr>
              <w:pStyle w:val="2"/>
              <w:rPr>
                <w:rFonts w:hint="eastAsia" w:asciiTheme="minorEastAsia" w:hAnsiTheme="minorEastAsia"/>
                <w:color w:val="000000"/>
                <w:sz w:val="20"/>
                <w:szCs w:val="20"/>
              </w:rPr>
            </w:pPr>
            <w:r>
              <w:rPr>
                <w:rFonts w:asciiTheme="minorEastAsia" w:hAnsiTheme="minorEastAsia"/>
                <w:color w:val="000000"/>
                <w:sz w:val="20"/>
                <w:szCs w:val="20"/>
              </w:rPr>
              <w:t>磁体：检查磁体屏蔽层温度</w:t>
            </w:r>
          </w:p>
          <w:p w14:paraId="64173624">
            <w:pPr>
              <w:pStyle w:val="2"/>
              <w:rPr>
                <w:rFonts w:hint="eastAsia" w:asciiTheme="minorEastAsia" w:hAnsiTheme="minorEastAsia"/>
                <w:color w:val="000000"/>
                <w:sz w:val="20"/>
                <w:szCs w:val="20"/>
              </w:rPr>
            </w:pPr>
            <w:r>
              <w:rPr>
                <w:rFonts w:asciiTheme="minorEastAsia" w:hAnsiTheme="minorEastAsia"/>
                <w:color w:val="000000"/>
                <w:sz w:val="20"/>
                <w:szCs w:val="20"/>
              </w:rPr>
              <w:t xml:space="preserve">磁体：检查磁体阀门压力值 </w:t>
            </w:r>
          </w:p>
          <w:p w14:paraId="6984E947">
            <w:pPr>
              <w:pStyle w:val="2"/>
              <w:rPr>
                <w:rFonts w:hint="eastAsia" w:asciiTheme="minorEastAsia" w:hAnsiTheme="minorEastAsia"/>
                <w:color w:val="000000"/>
                <w:sz w:val="20"/>
                <w:szCs w:val="20"/>
              </w:rPr>
            </w:pPr>
            <w:r>
              <w:rPr>
                <w:rFonts w:asciiTheme="minorEastAsia" w:hAnsiTheme="minorEastAsia"/>
                <w:color w:val="000000"/>
                <w:sz w:val="20"/>
                <w:szCs w:val="20"/>
              </w:rPr>
              <w:t xml:space="preserve">磁体：检查氦压缩机压力 </w:t>
            </w:r>
          </w:p>
          <w:p w14:paraId="2AF63FB5">
            <w:pPr>
              <w:pStyle w:val="2"/>
              <w:rPr>
                <w:rFonts w:hint="eastAsia" w:asciiTheme="minorEastAsia" w:hAnsiTheme="minorEastAsia"/>
                <w:color w:val="000000"/>
                <w:sz w:val="20"/>
                <w:szCs w:val="20"/>
              </w:rPr>
            </w:pPr>
            <w:r>
              <w:rPr>
                <w:rFonts w:asciiTheme="minorEastAsia" w:hAnsiTheme="minorEastAsia"/>
                <w:color w:val="000000"/>
                <w:sz w:val="20"/>
                <w:szCs w:val="20"/>
              </w:rPr>
              <w:t xml:space="preserve">检查系统水压 </w:t>
            </w:r>
          </w:p>
          <w:p w14:paraId="43F6C058">
            <w:pPr>
              <w:pStyle w:val="2"/>
              <w:rPr>
                <w:rFonts w:hint="eastAsia" w:asciiTheme="minorEastAsia" w:hAnsiTheme="minorEastAsia"/>
                <w:color w:val="000000"/>
                <w:sz w:val="20"/>
                <w:szCs w:val="20"/>
              </w:rPr>
            </w:pPr>
            <w:r>
              <w:rPr>
                <w:rFonts w:asciiTheme="minorEastAsia" w:hAnsiTheme="minorEastAsia"/>
                <w:color w:val="000000"/>
                <w:sz w:val="20"/>
                <w:szCs w:val="20"/>
              </w:rPr>
              <w:t>检查TFT显示器</w:t>
            </w:r>
          </w:p>
          <w:p w14:paraId="6C3DD5A5">
            <w:pPr>
              <w:pStyle w:val="2"/>
              <w:rPr>
                <w:rFonts w:hint="eastAsia" w:asciiTheme="minorEastAsia" w:hAnsiTheme="minorEastAsia"/>
                <w:color w:val="000000"/>
                <w:sz w:val="20"/>
                <w:szCs w:val="20"/>
              </w:rPr>
            </w:pPr>
            <w:r>
              <w:rPr>
                <w:rFonts w:asciiTheme="minorEastAsia" w:hAnsiTheme="minorEastAsia"/>
                <w:color w:val="000000"/>
                <w:sz w:val="20"/>
                <w:szCs w:val="20"/>
              </w:rPr>
              <w:t xml:space="preserve">检查病人床的液压系统 </w:t>
            </w:r>
          </w:p>
          <w:p w14:paraId="1B3A0771">
            <w:pPr>
              <w:pStyle w:val="2"/>
              <w:rPr>
                <w:rFonts w:hint="eastAsia" w:asciiTheme="minorEastAsia" w:hAnsiTheme="minorEastAsia"/>
                <w:color w:val="000000"/>
                <w:sz w:val="20"/>
                <w:szCs w:val="20"/>
              </w:rPr>
            </w:pPr>
            <w:r>
              <w:rPr>
                <w:rFonts w:asciiTheme="minorEastAsia" w:hAnsiTheme="minorEastAsia"/>
                <w:color w:val="000000"/>
                <w:sz w:val="20"/>
                <w:szCs w:val="20"/>
              </w:rPr>
              <w:t>软件保养</w:t>
            </w:r>
          </w:p>
          <w:p w14:paraId="1C3C2E21">
            <w:pPr>
              <w:pStyle w:val="2"/>
              <w:rPr>
                <w:rFonts w:hint="eastAsia" w:asciiTheme="minorEastAsia" w:hAnsiTheme="minorEastAsia"/>
                <w:color w:val="000000"/>
                <w:sz w:val="20"/>
                <w:szCs w:val="20"/>
              </w:rPr>
            </w:pPr>
            <w:r>
              <w:rPr>
                <w:rFonts w:asciiTheme="minorEastAsia" w:hAnsiTheme="minorEastAsia"/>
                <w:color w:val="000000"/>
                <w:sz w:val="20"/>
                <w:szCs w:val="20"/>
              </w:rPr>
              <w:t xml:space="preserve">删除MR 纪录文件 </w:t>
            </w:r>
          </w:p>
          <w:p w14:paraId="4BC264AE">
            <w:pPr>
              <w:pStyle w:val="2"/>
              <w:rPr>
                <w:rFonts w:hint="eastAsia" w:asciiTheme="minorEastAsia" w:hAnsiTheme="minorEastAsia"/>
                <w:color w:val="000000"/>
                <w:sz w:val="20"/>
                <w:szCs w:val="20"/>
              </w:rPr>
            </w:pPr>
            <w:r>
              <w:rPr>
                <w:rFonts w:asciiTheme="minorEastAsia" w:hAnsiTheme="minorEastAsia"/>
                <w:color w:val="000000"/>
                <w:sz w:val="20"/>
                <w:szCs w:val="20"/>
              </w:rPr>
              <w:t xml:space="preserve">重建 database exchange board </w:t>
            </w:r>
          </w:p>
          <w:p w14:paraId="7B9D45FE">
            <w:pPr>
              <w:pStyle w:val="2"/>
              <w:rPr>
                <w:rFonts w:hint="eastAsia" w:asciiTheme="minorEastAsia" w:hAnsiTheme="minorEastAsia"/>
                <w:color w:val="000000"/>
                <w:sz w:val="20"/>
                <w:szCs w:val="20"/>
              </w:rPr>
            </w:pPr>
            <w:r>
              <w:rPr>
                <w:rFonts w:asciiTheme="minorEastAsia" w:hAnsiTheme="minorEastAsia"/>
                <w:color w:val="000000"/>
                <w:sz w:val="20"/>
                <w:szCs w:val="20"/>
              </w:rPr>
              <w:t>测量磁体中心频率（MHz）</w:t>
            </w:r>
          </w:p>
        </w:tc>
      </w:tr>
    </w:tbl>
    <w:p w14:paraId="352D85DE">
      <w:pPr>
        <w:widowControl/>
        <w:jc w:val="left"/>
        <w:rPr>
          <w:rFonts w:hint="eastAsia" w:ascii="宋体" w:hAnsi="宋体" w:cs="宋体"/>
          <w:color w:val="000000" w:themeColor="text1"/>
          <w:kern w:val="0"/>
          <w:szCs w:val="21"/>
          <w14:textFill>
            <w14:solidFill>
              <w14:schemeClr w14:val="tx1"/>
            </w14:solidFill>
          </w14:textFill>
        </w:rPr>
      </w:pPr>
    </w:p>
    <w:p w14:paraId="3EBA60C9">
      <w:pPr>
        <w:widowControl/>
        <w:spacing w:before="100" w:beforeAutospacing="1" w:after="100" w:afterAutospacing="1" w:line="300" w:lineRule="atLeast"/>
        <w:jc w:val="left"/>
        <w:rPr>
          <w:rFonts w:hint="eastAsia" w:asciiTheme="minorEastAsia" w:hAnsiTheme="minorEastAsia" w:eastAsiaTheme="minorEastAsia"/>
          <w:color w:val="000000" w:themeColor="text1"/>
          <w:sz w:val="24"/>
          <w:szCs w:val="24"/>
          <w14:textFill>
            <w14:solidFill>
              <w14:schemeClr w14:val="tx1"/>
            </w14:solidFill>
          </w14:textFill>
        </w:rPr>
      </w:pPr>
      <w:bookmarkStart w:id="1" w:name="_GoBack"/>
      <w:bookmarkEnd w:id="1"/>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Narrow">
    <w:panose1 w:val="020B0606020202030204"/>
    <w:charset w:val="00"/>
    <w:family w:val="swiss"/>
    <w:pitch w:val="default"/>
    <w:sig w:usb0="00000287" w:usb1="000008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588B3F">
    <w:pPr>
      <w:pStyle w:val="3"/>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976679">
                          <w:pPr>
                            <w:pStyle w:val="3"/>
                            <w:rPr>
                              <w:rStyle w:val="8"/>
                            </w:rPr>
                          </w:pPr>
                          <w:r>
                            <w:rPr>
                              <w:rStyle w:val="8"/>
                              <w:rFonts w:hint="eastAsia"/>
                            </w:rPr>
                            <w:t xml:space="preserve">第 </w:t>
                          </w:r>
                          <w:r>
                            <w:rPr>
                              <w:rStyle w:val="8"/>
                              <w:rFonts w:hint="eastAsia"/>
                            </w:rPr>
                            <w:fldChar w:fldCharType="begin"/>
                          </w:r>
                          <w:r>
                            <w:rPr>
                              <w:rStyle w:val="8"/>
                              <w:rFonts w:hint="eastAsia"/>
                            </w:rPr>
                            <w:instrText xml:space="preserve"> PAGE  \* MERGEFORMAT </w:instrText>
                          </w:r>
                          <w:r>
                            <w:rPr>
                              <w:rStyle w:val="8"/>
                              <w:rFonts w:hint="eastAsia"/>
                            </w:rPr>
                            <w:fldChar w:fldCharType="separate"/>
                          </w:r>
                          <w:r>
                            <w:rPr>
                              <w:rStyle w:val="8"/>
                            </w:rPr>
                            <w:t>4</w:t>
                          </w:r>
                          <w:r>
                            <w:rPr>
                              <w:rStyle w:val="8"/>
                              <w:rFonts w:hint="eastAsia"/>
                            </w:rPr>
                            <w:fldChar w:fldCharType="end"/>
                          </w:r>
                          <w:r>
                            <w:rPr>
                              <w:rStyle w:val="8"/>
                              <w:rFonts w:hint="eastAsia"/>
                            </w:rPr>
                            <w:t xml:space="preserve"> 页 共 </w:t>
                          </w:r>
                          <w:r>
                            <w:rPr>
                              <w:rStyle w:val="8"/>
                              <w:rFonts w:hint="eastAsia"/>
                            </w:rPr>
                            <w:fldChar w:fldCharType="begin"/>
                          </w:r>
                          <w:r>
                            <w:rPr>
                              <w:rStyle w:val="8"/>
                              <w:rFonts w:hint="eastAsia"/>
                            </w:rPr>
                            <w:instrText xml:space="preserve"> NUMPAGES  \* MERGEFORMAT </w:instrText>
                          </w:r>
                          <w:r>
                            <w:rPr>
                              <w:rStyle w:val="8"/>
                              <w:rFonts w:hint="eastAsia"/>
                            </w:rPr>
                            <w:fldChar w:fldCharType="separate"/>
                          </w:r>
                          <w:r>
                            <w:rPr>
                              <w:rStyle w:val="8"/>
                            </w:rPr>
                            <w:t>5</w:t>
                          </w:r>
                          <w:r>
                            <w:rPr>
                              <w:rStyle w:val="8"/>
                              <w:rFonts w:hint="eastAsia"/>
                            </w:rPr>
                            <w:fldChar w:fldCharType="end"/>
                          </w:r>
                          <w:r>
                            <w:rPr>
                              <w:rStyle w:val="8"/>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63976679">
                    <w:pPr>
                      <w:pStyle w:val="3"/>
                      <w:rPr>
                        <w:rStyle w:val="8"/>
                      </w:rPr>
                    </w:pPr>
                    <w:r>
                      <w:rPr>
                        <w:rStyle w:val="8"/>
                        <w:rFonts w:hint="eastAsia"/>
                      </w:rPr>
                      <w:t xml:space="preserve">第 </w:t>
                    </w:r>
                    <w:r>
                      <w:rPr>
                        <w:rStyle w:val="8"/>
                        <w:rFonts w:hint="eastAsia"/>
                      </w:rPr>
                      <w:fldChar w:fldCharType="begin"/>
                    </w:r>
                    <w:r>
                      <w:rPr>
                        <w:rStyle w:val="8"/>
                        <w:rFonts w:hint="eastAsia"/>
                      </w:rPr>
                      <w:instrText xml:space="preserve"> PAGE  \* MERGEFORMAT </w:instrText>
                    </w:r>
                    <w:r>
                      <w:rPr>
                        <w:rStyle w:val="8"/>
                        <w:rFonts w:hint="eastAsia"/>
                      </w:rPr>
                      <w:fldChar w:fldCharType="separate"/>
                    </w:r>
                    <w:r>
                      <w:rPr>
                        <w:rStyle w:val="8"/>
                      </w:rPr>
                      <w:t>4</w:t>
                    </w:r>
                    <w:r>
                      <w:rPr>
                        <w:rStyle w:val="8"/>
                        <w:rFonts w:hint="eastAsia"/>
                      </w:rPr>
                      <w:fldChar w:fldCharType="end"/>
                    </w:r>
                    <w:r>
                      <w:rPr>
                        <w:rStyle w:val="8"/>
                        <w:rFonts w:hint="eastAsia"/>
                      </w:rPr>
                      <w:t xml:space="preserve"> 页 共 </w:t>
                    </w:r>
                    <w:r>
                      <w:rPr>
                        <w:rStyle w:val="8"/>
                        <w:rFonts w:hint="eastAsia"/>
                      </w:rPr>
                      <w:fldChar w:fldCharType="begin"/>
                    </w:r>
                    <w:r>
                      <w:rPr>
                        <w:rStyle w:val="8"/>
                        <w:rFonts w:hint="eastAsia"/>
                      </w:rPr>
                      <w:instrText xml:space="preserve"> NUMPAGES  \* MERGEFORMAT </w:instrText>
                    </w:r>
                    <w:r>
                      <w:rPr>
                        <w:rStyle w:val="8"/>
                        <w:rFonts w:hint="eastAsia"/>
                      </w:rPr>
                      <w:fldChar w:fldCharType="separate"/>
                    </w:r>
                    <w:r>
                      <w:rPr>
                        <w:rStyle w:val="8"/>
                      </w:rPr>
                      <w:t>5</w:t>
                    </w:r>
                    <w:r>
                      <w:rPr>
                        <w:rStyle w:val="8"/>
                        <w:rFonts w:hint="eastAsia"/>
                      </w:rPr>
                      <w:fldChar w:fldCharType="end"/>
                    </w:r>
                    <w:r>
                      <w:rPr>
                        <w:rStyle w:val="8"/>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B61400">
    <w:pPr>
      <w:pStyle w:val="4"/>
      <w:pBdr>
        <w:bottom w:val="single" w:color="auto" w:sz="4"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4MTZhOTUwZDJlMGQxOTZjMDk4YTcwMmQ5MTljZmEifQ=="/>
  </w:docVars>
  <w:rsids>
    <w:rsidRoot w:val="00DA04D2"/>
    <w:rsid w:val="00064AE1"/>
    <w:rsid w:val="0009311F"/>
    <w:rsid w:val="000F2DE5"/>
    <w:rsid w:val="00170AB0"/>
    <w:rsid w:val="001C1575"/>
    <w:rsid w:val="00217FFD"/>
    <w:rsid w:val="00256AF0"/>
    <w:rsid w:val="00392BF8"/>
    <w:rsid w:val="003A3629"/>
    <w:rsid w:val="003C7D59"/>
    <w:rsid w:val="003E1277"/>
    <w:rsid w:val="00400573"/>
    <w:rsid w:val="004A28CE"/>
    <w:rsid w:val="004B4515"/>
    <w:rsid w:val="004D7EA0"/>
    <w:rsid w:val="00511B59"/>
    <w:rsid w:val="006A2E99"/>
    <w:rsid w:val="0070092B"/>
    <w:rsid w:val="00720DC0"/>
    <w:rsid w:val="00723098"/>
    <w:rsid w:val="007661C3"/>
    <w:rsid w:val="00773FA7"/>
    <w:rsid w:val="00856F4D"/>
    <w:rsid w:val="008714EE"/>
    <w:rsid w:val="008C4AA5"/>
    <w:rsid w:val="008D74D2"/>
    <w:rsid w:val="008E1992"/>
    <w:rsid w:val="00913772"/>
    <w:rsid w:val="009A6435"/>
    <w:rsid w:val="009D3A3C"/>
    <w:rsid w:val="00A14C67"/>
    <w:rsid w:val="00A3354B"/>
    <w:rsid w:val="00AB2F3C"/>
    <w:rsid w:val="00AD0463"/>
    <w:rsid w:val="00AE300E"/>
    <w:rsid w:val="00BB76F4"/>
    <w:rsid w:val="00C105B8"/>
    <w:rsid w:val="00C95EB6"/>
    <w:rsid w:val="00D36A32"/>
    <w:rsid w:val="00D56169"/>
    <w:rsid w:val="00D5764E"/>
    <w:rsid w:val="00D90E77"/>
    <w:rsid w:val="00DA04D2"/>
    <w:rsid w:val="00DD228D"/>
    <w:rsid w:val="00E44F89"/>
    <w:rsid w:val="00E537FC"/>
    <w:rsid w:val="00E717C4"/>
    <w:rsid w:val="00EB0AC8"/>
    <w:rsid w:val="00F51D79"/>
    <w:rsid w:val="00F9368C"/>
    <w:rsid w:val="00F9552B"/>
    <w:rsid w:val="00FB45A3"/>
    <w:rsid w:val="03917C75"/>
    <w:rsid w:val="06964E62"/>
    <w:rsid w:val="0EAE1EBD"/>
    <w:rsid w:val="15AE691D"/>
    <w:rsid w:val="16A92D8E"/>
    <w:rsid w:val="17072180"/>
    <w:rsid w:val="1F9803AC"/>
    <w:rsid w:val="20724834"/>
    <w:rsid w:val="243F366D"/>
    <w:rsid w:val="2E867D50"/>
    <w:rsid w:val="312631FD"/>
    <w:rsid w:val="321416DE"/>
    <w:rsid w:val="331715E0"/>
    <w:rsid w:val="33AA6B0E"/>
    <w:rsid w:val="37A94D12"/>
    <w:rsid w:val="3C1F4AB7"/>
    <w:rsid w:val="3C6E4C15"/>
    <w:rsid w:val="3DAF0E14"/>
    <w:rsid w:val="41D0093A"/>
    <w:rsid w:val="44324AE5"/>
    <w:rsid w:val="44455136"/>
    <w:rsid w:val="4DA373DA"/>
    <w:rsid w:val="4E535363"/>
    <w:rsid w:val="4FD23C33"/>
    <w:rsid w:val="596522F4"/>
    <w:rsid w:val="5FA370B0"/>
    <w:rsid w:val="604A1F03"/>
    <w:rsid w:val="64553030"/>
    <w:rsid w:val="679831FA"/>
    <w:rsid w:val="67EF3893"/>
    <w:rsid w:val="697F0E01"/>
    <w:rsid w:val="6D9D5C7E"/>
    <w:rsid w:val="71D827D5"/>
    <w:rsid w:val="75412B55"/>
    <w:rsid w:val="761676EA"/>
    <w:rsid w:val="777A9936"/>
    <w:rsid w:val="792C515A"/>
    <w:rsid w:val="7C4D62CB"/>
    <w:rsid w:val="7EE776DE"/>
    <w:rsid w:val="E7E7142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qFormat/>
    <w:uiPriority w:val="0"/>
    <w:pPr>
      <w:jc w:val="left"/>
    </w:pPr>
    <w:rPr>
      <w:rFonts w:asciiTheme="minorHAnsi" w:hAnsiTheme="minorHAnsi" w:eastAsiaTheme="minorEastAsia" w:cstheme="minorBidi"/>
      <w:szCs w:val="24"/>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annotation subject"/>
    <w:basedOn w:val="2"/>
    <w:next w:val="2"/>
    <w:link w:val="18"/>
    <w:semiHidden/>
    <w:unhideWhenUsed/>
    <w:qFormat/>
    <w:uiPriority w:val="99"/>
    <w:rPr>
      <w:rFonts w:ascii="Times New Roman" w:hAnsi="Times New Roman" w:eastAsia="宋体" w:cs="Times New Roman"/>
      <w:b/>
      <w:bCs/>
      <w:szCs w:val="20"/>
    </w:rPr>
  </w:style>
  <w:style w:type="character" w:styleId="8">
    <w:name w:val="page number"/>
    <w:basedOn w:val="7"/>
    <w:semiHidden/>
    <w:qFormat/>
    <w:uiPriority w:val="0"/>
  </w:style>
  <w:style w:type="character" w:styleId="9">
    <w:name w:val="annotation reference"/>
    <w:basedOn w:val="7"/>
    <w:semiHidden/>
    <w:unhideWhenUsed/>
    <w:qFormat/>
    <w:uiPriority w:val="99"/>
    <w:rPr>
      <w:sz w:val="21"/>
      <w:szCs w:val="21"/>
    </w:rPr>
  </w:style>
  <w:style w:type="character" w:customStyle="1" w:styleId="10">
    <w:name w:val="页脚 字符"/>
    <w:basedOn w:val="7"/>
    <w:link w:val="3"/>
    <w:qFormat/>
    <w:uiPriority w:val="99"/>
    <w:rPr>
      <w:rFonts w:ascii="Times New Roman" w:hAnsi="Times New Roman" w:eastAsia="宋体" w:cs="Times New Roman"/>
      <w:sz w:val="18"/>
      <w:szCs w:val="18"/>
    </w:rPr>
  </w:style>
  <w:style w:type="paragraph" w:customStyle="1" w:styleId="11">
    <w:name w:val="表格"/>
    <w:basedOn w:val="1"/>
    <w:qFormat/>
    <w:uiPriority w:val="0"/>
    <w:pPr>
      <w:spacing w:line="360" w:lineRule="auto"/>
    </w:pPr>
    <w:rPr>
      <w:rFonts w:ascii="仿宋_GB2312" w:hAnsi="宋体" w:eastAsia="仿宋_GB2312"/>
      <w:bCs/>
      <w:color w:val="333333"/>
      <w:kern w:val="0"/>
      <w:sz w:val="28"/>
      <w:szCs w:val="24"/>
    </w:rPr>
  </w:style>
  <w:style w:type="character" w:customStyle="1" w:styleId="12">
    <w:name w:val="页眉 字符"/>
    <w:basedOn w:val="7"/>
    <w:link w:val="4"/>
    <w:qFormat/>
    <w:uiPriority w:val="99"/>
    <w:rPr>
      <w:rFonts w:ascii="Times New Roman" w:hAnsi="Times New Roman" w:eastAsia="宋体" w:cs="Times New Roman"/>
      <w:sz w:val="18"/>
      <w:szCs w:val="18"/>
    </w:rPr>
  </w:style>
  <w:style w:type="paragraph" w:customStyle="1" w:styleId="13">
    <w:name w:val="列出段落1"/>
    <w:basedOn w:val="1"/>
    <w:qFormat/>
    <w:uiPriority w:val="34"/>
    <w:pPr>
      <w:widowControl/>
      <w:ind w:left="720"/>
      <w:contextualSpacing/>
      <w:jc w:val="left"/>
    </w:pPr>
    <w:rPr>
      <w:rFonts w:ascii="宋体" w:hAnsi="宋体" w:cstheme="minorBidi"/>
      <w:kern w:val="0"/>
      <w:sz w:val="22"/>
      <w:szCs w:val="22"/>
    </w:rPr>
  </w:style>
  <w:style w:type="paragraph" w:customStyle="1" w:styleId="14">
    <w:name w:val="Default"/>
    <w:qFormat/>
    <w:uiPriority w:val="0"/>
    <w:pPr>
      <w:widowControl w:val="0"/>
      <w:autoSpaceDE w:val="0"/>
      <w:autoSpaceDN w:val="0"/>
      <w:adjustRightInd w:val="0"/>
    </w:pPr>
    <w:rPr>
      <w:rFonts w:ascii="Arial Narrow" w:hAnsi="Arial Narrow" w:cs="Arial Narrow" w:eastAsiaTheme="minorEastAsia"/>
      <w:color w:val="000000"/>
      <w:sz w:val="24"/>
      <w:szCs w:val="24"/>
      <w:lang w:val="en-US" w:eastAsia="zh-CN" w:bidi="ar-SA"/>
    </w:rPr>
  </w:style>
  <w:style w:type="character" w:customStyle="1" w:styleId="15">
    <w:name w:val="批注文字 字符"/>
    <w:basedOn w:val="7"/>
    <w:link w:val="2"/>
    <w:qFormat/>
    <w:uiPriority w:val="0"/>
    <w:rPr>
      <w:rFonts w:asciiTheme="minorHAnsi" w:hAnsiTheme="minorHAnsi" w:eastAsiaTheme="minorEastAsia" w:cstheme="minorBidi"/>
      <w:kern w:val="2"/>
      <w:sz w:val="21"/>
      <w:szCs w:val="24"/>
    </w:rPr>
  </w:style>
  <w:style w:type="paragraph" w:customStyle="1" w:styleId="16">
    <w:name w:val="修订1"/>
    <w:hidden/>
    <w:unhideWhenUsed/>
    <w:qFormat/>
    <w:uiPriority w:val="99"/>
    <w:rPr>
      <w:rFonts w:ascii="Times New Roman" w:hAnsi="Times New Roman" w:eastAsia="宋体" w:cs="Times New Roman"/>
      <w:kern w:val="2"/>
      <w:sz w:val="21"/>
      <w:lang w:val="en-US" w:eastAsia="zh-CN" w:bidi="ar-SA"/>
    </w:rPr>
  </w:style>
  <w:style w:type="paragraph" w:customStyle="1" w:styleId="17">
    <w:name w:val="Revision"/>
    <w:hidden/>
    <w:unhideWhenUsed/>
    <w:qFormat/>
    <w:uiPriority w:val="99"/>
    <w:rPr>
      <w:rFonts w:ascii="Times New Roman" w:hAnsi="Times New Roman" w:eastAsia="宋体" w:cs="Times New Roman"/>
      <w:kern w:val="2"/>
      <w:sz w:val="21"/>
      <w:lang w:val="en-US" w:eastAsia="zh-CN" w:bidi="ar-SA"/>
    </w:rPr>
  </w:style>
  <w:style w:type="character" w:customStyle="1" w:styleId="18">
    <w:name w:val="批注主题 字符"/>
    <w:basedOn w:val="15"/>
    <w:link w:val="5"/>
    <w:semiHidden/>
    <w:qFormat/>
    <w:uiPriority w:val="99"/>
    <w:rPr>
      <w:rFonts w:ascii="Times New Roman" w:hAnsi="Times New Roman" w:eastAsiaTheme="minorEastAsia" w:cstheme="minorBidi"/>
      <w:b/>
      <w:bCs/>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4711</Words>
  <Characters>5036</Characters>
  <Lines>257</Lines>
  <Paragraphs>228</Paragraphs>
  <TotalTime>32</TotalTime>
  <ScaleCrop>false</ScaleCrop>
  <LinksUpToDate>false</LinksUpToDate>
  <CharactersWithSpaces>5173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2017-06-12T10:35:00Z</dcterms:created>
  <dc:creator>Windows 用户</dc:creator>
  <cp:lastModifiedBy>Limbor</cp:lastModifiedBy>
  <dcterms:modified xsi:type="dcterms:W3CDTF">2025-10-22T06:18:56Z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BAFD85BDF20F457DA8D81DFA11E5BF18_12</vt:lpwstr>
  </property>
  <property fmtid="{D5CDD505-2E9C-101B-9397-08002B2CF9AE}" pid="4" name="KSOTemplateDocerSaveRecord">
    <vt:lpwstr>eyJoZGlkIjoiMDA4MTZhOTUwZDJlMGQxOTZjMDk4YTcwMmQ5MTljZmEiLCJ1c2VySWQiOiI2MjA3NDU1MjcifQ==</vt:lpwstr>
  </property>
  <property fmtid="{D5CDD505-2E9C-101B-9397-08002B2CF9AE}" pid="5" name="MSIP_Label_ff6dbec8-95a8-4638-9f5f-bd076536645c_Enabled">
    <vt:lpwstr>true</vt:lpwstr>
  </property>
  <property fmtid="{D5CDD505-2E9C-101B-9397-08002B2CF9AE}" pid="6" name="MSIP_Label_ff6dbec8-95a8-4638-9f5f-bd076536645c_SetDate">
    <vt:lpwstr>2025-09-08T07:27:13Z</vt:lpwstr>
  </property>
  <property fmtid="{D5CDD505-2E9C-101B-9397-08002B2CF9AE}" pid="7" name="MSIP_Label_ff6dbec8-95a8-4638-9f5f-bd076536645c_Method">
    <vt:lpwstr>Standard</vt:lpwstr>
  </property>
  <property fmtid="{D5CDD505-2E9C-101B-9397-08002B2CF9AE}" pid="8" name="MSIP_Label_ff6dbec8-95a8-4638-9f5f-bd076536645c_Name">
    <vt:lpwstr>Restricted - Default</vt:lpwstr>
  </property>
  <property fmtid="{D5CDD505-2E9C-101B-9397-08002B2CF9AE}" pid="9" name="MSIP_Label_ff6dbec8-95a8-4638-9f5f-bd076536645c_SiteId">
    <vt:lpwstr>5dbf1add-202a-4b8d-815b-bf0fb024e033</vt:lpwstr>
  </property>
  <property fmtid="{D5CDD505-2E9C-101B-9397-08002B2CF9AE}" pid="10" name="MSIP_Label_ff6dbec8-95a8-4638-9f5f-bd076536645c_ActionId">
    <vt:lpwstr>596cab4c-2ac9-410f-8c71-e212b3724b15</vt:lpwstr>
  </property>
  <property fmtid="{D5CDD505-2E9C-101B-9397-08002B2CF9AE}" pid="11" name="MSIP_Label_ff6dbec8-95a8-4638-9f5f-bd076536645c_ContentBits">
    <vt:lpwstr>0</vt:lpwstr>
  </property>
  <property fmtid="{D5CDD505-2E9C-101B-9397-08002B2CF9AE}" pid="12" name="MSIP_Label_ff6dbec8-95a8-4638-9f5f-bd076536645c_Tag">
    <vt:lpwstr>10, 3, 0, 1</vt:lpwstr>
  </property>
</Properties>
</file>