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739C">
      <w:pPr>
        <w:jc w:val="center"/>
        <w:rPr>
          <w:rFonts w:hint="eastAsia"/>
          <w:b/>
          <w:bCs/>
          <w:sz w:val="28"/>
          <w:szCs w:val="36"/>
          <w:lang w:eastAsia="zh-CN"/>
        </w:rPr>
      </w:pPr>
      <w:r>
        <w:rPr>
          <w:rFonts w:hint="eastAsia"/>
          <w:b/>
          <w:bCs/>
          <w:sz w:val="28"/>
          <w:szCs w:val="36"/>
          <w:lang w:eastAsia="zh-CN"/>
        </w:rPr>
        <w:t>用户需求书</w:t>
      </w:r>
    </w:p>
    <w:p w14:paraId="19CF214B">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项目名称：生物反馈电刺激仪</w:t>
      </w:r>
    </w:p>
    <w:p w14:paraId="3FC42F91">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采购预算：44万元</w:t>
      </w:r>
    </w:p>
    <w:p w14:paraId="410E9729">
      <w:pPr>
        <w:pStyle w:val="4"/>
        <w:numPr>
          <w:ilvl w:val="0"/>
          <w:numId w:val="1"/>
        </w:numPr>
        <w:ind w:left="0" w:leftChars="0" w:firstLine="0" w:firstLineChars="0"/>
        <w:rPr>
          <w:rFonts w:hint="eastAsia" w:ascii="宋体" w:hAnsi="宋体" w:eastAsia="宋体" w:cs="宋体"/>
          <w:bCs w:val="0"/>
          <w:spacing w:val="0"/>
          <w:kern w:val="2"/>
          <w:sz w:val="21"/>
          <w:szCs w:val="24"/>
          <w:lang w:val="en-US" w:eastAsia="zh-CN" w:bidi="ar-SA"/>
        </w:rPr>
      </w:pPr>
      <w:r>
        <w:rPr>
          <w:rFonts w:hint="eastAsia" w:ascii="宋体" w:hAnsi="宋体" w:eastAsia="宋体" w:cs="宋体"/>
          <w:bCs w:val="0"/>
          <w:spacing w:val="0"/>
          <w:kern w:val="2"/>
          <w:sz w:val="21"/>
          <w:szCs w:val="24"/>
          <w:lang w:val="en-US" w:eastAsia="zh-CN" w:bidi="ar-SA"/>
        </w:rPr>
        <w:t>采购数量：2台</w:t>
      </w:r>
    </w:p>
    <w:p w14:paraId="4193B33F">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产地：国产</w:t>
      </w:r>
    </w:p>
    <w:p w14:paraId="0B335638">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参数要求：</w:t>
      </w:r>
    </w:p>
    <w:tbl>
      <w:tblPr>
        <w:tblStyle w:val="2"/>
        <w:tblW w:w="8902"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23"/>
        <w:gridCol w:w="7779"/>
      </w:tblGrid>
      <w:tr w14:paraId="635EF2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23" w:type="dxa"/>
            <w:tcBorders>
              <w:top w:val="single" w:color="auto" w:sz="6" w:space="0"/>
              <w:left w:val="single" w:color="auto" w:sz="6" w:space="0"/>
              <w:bottom w:val="nil"/>
              <w:right w:val="nil"/>
            </w:tcBorders>
            <w:noWrap w:val="0"/>
            <w:vAlign w:val="center"/>
          </w:tcPr>
          <w:p w14:paraId="557024E2">
            <w:pPr>
              <w:widowControl/>
              <w:spacing w:before="100" w:beforeAutospacing="1" w:after="100" w:afterAutospacing="1"/>
              <w:jc w:val="center"/>
              <w:rPr>
                <w:rFonts w:hint="eastAsia" w:ascii="宋体" w:hAnsi="宋体" w:eastAsia="宋体" w:cs="宋体"/>
                <w:color w:val="FF0000"/>
                <w:kern w:val="0"/>
                <w:sz w:val="21"/>
                <w:szCs w:val="21"/>
              </w:rPr>
            </w:pPr>
            <w:r>
              <w:rPr>
                <w:rFonts w:hint="eastAsia" w:ascii="宋体" w:hAnsi="宋体" w:eastAsia="宋体" w:cs="宋体"/>
                <w:b/>
                <w:bCs/>
                <w:color w:val="FF0000"/>
                <w:kern w:val="0"/>
                <w:sz w:val="21"/>
                <w:szCs w:val="21"/>
              </w:rPr>
              <w:t>序号</w:t>
            </w:r>
          </w:p>
        </w:tc>
        <w:tc>
          <w:tcPr>
            <w:tcW w:w="7779" w:type="dxa"/>
            <w:tcBorders>
              <w:top w:val="single" w:color="auto" w:sz="6" w:space="0"/>
              <w:left w:val="single" w:color="auto" w:sz="6" w:space="0"/>
              <w:bottom w:val="nil"/>
              <w:right w:val="nil"/>
            </w:tcBorders>
            <w:noWrap w:val="0"/>
            <w:vAlign w:val="center"/>
          </w:tcPr>
          <w:p w14:paraId="70827AFD">
            <w:pPr>
              <w:widowControl/>
              <w:spacing w:before="100" w:beforeAutospacing="1" w:after="100" w:afterAutospacing="1"/>
              <w:jc w:val="center"/>
              <w:rPr>
                <w:rFonts w:hint="eastAsia" w:ascii="宋体" w:hAnsi="宋体" w:eastAsia="宋体" w:cs="宋体"/>
                <w:sz w:val="21"/>
                <w:szCs w:val="21"/>
              </w:rPr>
            </w:pPr>
            <w:r>
              <w:rPr>
                <w:rFonts w:hint="eastAsia" w:ascii="宋体" w:hAnsi="宋体" w:eastAsia="宋体" w:cs="宋体"/>
                <w:b/>
                <w:bCs/>
                <w:color w:val="FF0000"/>
                <w:kern w:val="0"/>
                <w:sz w:val="21"/>
                <w:szCs w:val="21"/>
              </w:rPr>
              <w:t>具体参数要求</w:t>
            </w:r>
          </w:p>
        </w:tc>
      </w:tr>
      <w:tr w14:paraId="3ACF72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noWrap w:val="0"/>
            <w:vAlign w:val="center"/>
          </w:tcPr>
          <w:p w14:paraId="15931263">
            <w:pPr>
              <w:widowControl/>
              <w:spacing w:before="100" w:beforeAutospacing="1" w:after="100" w:afterAutospacing="1"/>
              <w:ind w:firstLine="420" w:firstLineChars="200"/>
              <w:rPr>
                <w:rFonts w:hint="eastAsia" w:ascii="宋体" w:hAnsi="宋体" w:eastAsia="宋体" w:cs="宋体"/>
                <w:color w:val="FF0000"/>
                <w:kern w:val="0"/>
                <w:sz w:val="21"/>
                <w:szCs w:val="21"/>
              </w:rPr>
            </w:pPr>
            <w:r>
              <w:rPr>
                <w:rFonts w:hint="eastAsia" w:ascii="宋体" w:hAnsi="宋体" w:eastAsia="宋体" w:cs="宋体"/>
                <w:color w:val="FF0000"/>
                <w:sz w:val="21"/>
                <w:szCs w:val="21"/>
              </w:rPr>
              <w:t>▲</w:t>
            </w:r>
            <w:r>
              <w:rPr>
                <w:rFonts w:hint="eastAsia" w:ascii="宋体" w:hAnsi="宋体" w:eastAsia="宋体" w:cs="宋体"/>
                <w:sz w:val="21"/>
                <w:szCs w:val="21"/>
              </w:rPr>
              <w:t>1</w:t>
            </w:r>
          </w:p>
        </w:tc>
        <w:tc>
          <w:tcPr>
            <w:tcW w:w="7779" w:type="dxa"/>
            <w:tcBorders>
              <w:top w:val="single" w:color="auto" w:sz="6" w:space="0"/>
              <w:left w:val="single" w:color="auto" w:sz="6" w:space="0"/>
              <w:bottom w:val="nil"/>
              <w:right w:val="nil"/>
            </w:tcBorders>
            <w:noWrap w:val="0"/>
            <w:vAlign w:val="top"/>
          </w:tcPr>
          <w:p w14:paraId="473DBC39">
            <w:pPr>
              <w:numPr>
                <w:numId w:val="0"/>
              </w:numPr>
              <w:spacing w:line="360" w:lineRule="auto"/>
              <w:ind w:leftChars="0"/>
              <w:jc w:val="left"/>
              <w:rPr>
                <w:rFonts w:hint="eastAsia" w:ascii="宋体" w:hAnsi="宋体" w:eastAsia="宋体" w:cs="宋体"/>
                <w:sz w:val="21"/>
                <w:szCs w:val="21"/>
              </w:rPr>
            </w:pPr>
            <w:r>
              <w:rPr>
                <w:rFonts w:hint="eastAsia" w:ascii="宋体" w:hAnsi="宋体" w:cs="宋体"/>
                <w:szCs w:val="21"/>
              </w:rPr>
              <w:t>设备功能包括肌电信号采集分析、生物反馈训练以及电刺激，同时必须有同品牌且独立注册的阴道电极和直肠电极。</w:t>
            </w:r>
          </w:p>
        </w:tc>
      </w:tr>
      <w:tr w14:paraId="24AE98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03" w:hRule="atLeast"/>
          <w:tblCellSpacing w:w="0" w:type="dxa"/>
        </w:trPr>
        <w:tc>
          <w:tcPr>
            <w:tcW w:w="1123" w:type="dxa"/>
            <w:tcBorders>
              <w:top w:val="single" w:color="auto" w:sz="6" w:space="0"/>
              <w:left w:val="single" w:color="auto" w:sz="6" w:space="0"/>
              <w:bottom w:val="nil"/>
              <w:right w:val="nil"/>
            </w:tcBorders>
            <w:noWrap w:val="0"/>
            <w:vAlign w:val="center"/>
          </w:tcPr>
          <w:p w14:paraId="29C49B32">
            <w:pPr>
              <w:widowControl/>
              <w:spacing w:before="100" w:beforeAutospacing="1" w:after="100" w:afterAutospacing="1"/>
              <w:jc w:val="center"/>
              <w:rPr>
                <w:rFonts w:hint="eastAsia" w:ascii="宋体" w:hAnsi="宋体" w:eastAsia="宋体" w:cs="宋体"/>
                <w:color w:val="FF0000"/>
                <w:kern w:val="0"/>
                <w:sz w:val="21"/>
                <w:szCs w:val="21"/>
              </w:rPr>
            </w:pPr>
            <w:r>
              <w:rPr>
                <w:rFonts w:hint="eastAsia" w:ascii="宋体" w:hAnsi="宋体" w:eastAsia="宋体" w:cs="宋体"/>
                <w:color w:val="FF0000"/>
                <w:sz w:val="21"/>
                <w:szCs w:val="21"/>
              </w:rPr>
              <w:t>▲</w:t>
            </w:r>
            <w:r>
              <w:rPr>
                <w:rFonts w:hint="eastAsia" w:ascii="宋体" w:hAnsi="宋体" w:eastAsia="宋体" w:cs="宋体"/>
                <w:color w:val="000000"/>
                <w:kern w:val="0"/>
                <w:sz w:val="21"/>
                <w:szCs w:val="21"/>
              </w:rPr>
              <w:t>2</w:t>
            </w:r>
          </w:p>
        </w:tc>
        <w:tc>
          <w:tcPr>
            <w:tcW w:w="7779" w:type="dxa"/>
            <w:tcBorders>
              <w:top w:val="single" w:color="auto" w:sz="6" w:space="0"/>
              <w:left w:val="single" w:color="auto" w:sz="6" w:space="0"/>
              <w:bottom w:val="nil"/>
              <w:right w:val="nil"/>
            </w:tcBorders>
            <w:noWrap w:val="0"/>
            <w:vAlign w:val="top"/>
          </w:tcPr>
          <w:p w14:paraId="58C81F5C">
            <w:pPr>
              <w:numPr>
                <w:numId w:val="0"/>
              </w:numPr>
              <w:spacing w:line="360" w:lineRule="auto"/>
              <w:ind w:leftChars="0"/>
              <w:jc w:val="left"/>
              <w:rPr>
                <w:rFonts w:hint="eastAsia" w:ascii="宋体" w:hAnsi="宋体" w:eastAsia="宋体" w:cs="宋体"/>
                <w:sz w:val="21"/>
                <w:szCs w:val="21"/>
              </w:rPr>
            </w:pPr>
            <w:r>
              <w:rPr>
                <w:rFonts w:hint="eastAsia" w:ascii="宋体" w:hAnsi="宋体"/>
              </w:rPr>
              <w:t>注册适用范围至少包括肌肉治疗及缓解疼痛</w:t>
            </w:r>
            <w:r>
              <w:rPr>
                <w:rFonts w:hint="eastAsia" w:ascii="宋体" w:hAnsi="宋体" w:cs="宋体"/>
                <w:szCs w:val="21"/>
              </w:rPr>
              <w:t>。（提供厂家盖章注册证）</w:t>
            </w:r>
          </w:p>
        </w:tc>
      </w:tr>
      <w:tr w14:paraId="39B869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243" w:hRule="atLeast"/>
          <w:tblCellSpacing w:w="0" w:type="dxa"/>
        </w:trPr>
        <w:tc>
          <w:tcPr>
            <w:tcW w:w="1123" w:type="dxa"/>
            <w:tcBorders>
              <w:top w:val="single" w:color="auto" w:sz="6" w:space="0"/>
              <w:left w:val="single" w:color="auto" w:sz="6" w:space="0"/>
              <w:bottom w:val="nil"/>
              <w:right w:val="nil"/>
            </w:tcBorders>
            <w:noWrap w:val="0"/>
            <w:vAlign w:val="center"/>
          </w:tcPr>
          <w:p w14:paraId="2C0C1FAD">
            <w:pPr>
              <w:widowControl/>
              <w:spacing w:before="100" w:beforeAutospacing="1" w:after="100" w:afterAutospacing="1"/>
              <w:ind w:firstLine="420" w:firstLineChars="200"/>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3</w:t>
            </w:r>
          </w:p>
        </w:tc>
        <w:tc>
          <w:tcPr>
            <w:tcW w:w="7779" w:type="dxa"/>
            <w:tcBorders>
              <w:top w:val="single" w:color="auto" w:sz="6" w:space="0"/>
              <w:left w:val="single" w:color="auto" w:sz="6" w:space="0"/>
              <w:bottom w:val="nil"/>
              <w:right w:val="nil"/>
            </w:tcBorders>
            <w:noWrap w:val="0"/>
            <w:vAlign w:val="top"/>
          </w:tcPr>
          <w:p w14:paraId="36AAA61B">
            <w:pPr>
              <w:numPr>
                <w:numId w:val="0"/>
              </w:numPr>
              <w:tabs>
                <w:tab w:val="left" w:pos="0"/>
              </w:tabs>
              <w:spacing w:line="360" w:lineRule="auto"/>
              <w:ind w:leftChars="0"/>
              <w:jc w:val="left"/>
              <w:rPr>
                <w:rFonts w:hint="eastAsia" w:ascii="宋体" w:hAnsi="宋体" w:eastAsia="宋体" w:cs="宋体"/>
                <w:sz w:val="21"/>
                <w:szCs w:val="21"/>
              </w:rPr>
            </w:pPr>
            <w:r>
              <w:rPr>
                <w:rFonts w:hint="eastAsia" w:ascii="宋体" w:hAnsi="宋体" w:cs="宋体"/>
                <w:szCs w:val="21"/>
              </w:rPr>
              <w:t>一体化设计，主机内置于工作站推车机箱内，具有良好的抗电磁干扰。</w:t>
            </w:r>
          </w:p>
        </w:tc>
      </w:tr>
      <w:tr w14:paraId="79FEB5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38" w:hRule="atLeast"/>
          <w:tblCellSpacing w:w="0" w:type="dxa"/>
        </w:trPr>
        <w:tc>
          <w:tcPr>
            <w:tcW w:w="1123" w:type="dxa"/>
            <w:tcBorders>
              <w:top w:val="single" w:color="auto" w:sz="6" w:space="0"/>
              <w:left w:val="single" w:color="auto" w:sz="6" w:space="0"/>
              <w:bottom w:val="nil"/>
              <w:right w:val="nil"/>
            </w:tcBorders>
            <w:noWrap w:val="0"/>
            <w:vAlign w:val="center"/>
          </w:tcPr>
          <w:p w14:paraId="515EFAAA">
            <w:pPr>
              <w:widowControl/>
              <w:spacing w:before="100" w:beforeAutospacing="1" w:after="100" w:afterAutospacing="1"/>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4</w:t>
            </w:r>
          </w:p>
        </w:tc>
        <w:tc>
          <w:tcPr>
            <w:tcW w:w="7779" w:type="dxa"/>
            <w:tcBorders>
              <w:top w:val="single" w:color="auto" w:sz="6" w:space="0"/>
              <w:left w:val="single" w:color="auto" w:sz="6" w:space="0"/>
              <w:bottom w:val="nil"/>
              <w:right w:val="nil"/>
            </w:tcBorders>
            <w:noWrap w:val="0"/>
            <w:vAlign w:val="top"/>
          </w:tcPr>
          <w:p w14:paraId="5706841D">
            <w:pPr>
              <w:numPr>
                <w:numId w:val="0"/>
              </w:numPr>
              <w:tabs>
                <w:tab w:val="left" w:pos="0"/>
              </w:tabs>
              <w:spacing w:line="360" w:lineRule="auto"/>
              <w:ind w:leftChars="0"/>
              <w:jc w:val="left"/>
              <w:rPr>
                <w:rFonts w:hint="eastAsia" w:ascii="宋体" w:hAnsi="宋体" w:eastAsia="宋体" w:cs="宋体"/>
                <w:sz w:val="21"/>
                <w:szCs w:val="21"/>
              </w:rPr>
            </w:pPr>
            <w:r>
              <w:rPr>
                <w:rFonts w:hint="eastAsia" w:ascii="宋体" w:hAnsi="宋体" w:cs="宋体"/>
                <w:szCs w:val="21"/>
              </w:rPr>
              <w:t>至少具有三个独立电刺激通道，三个独立肌电反馈通道、一个内置压力反馈通道、一个远距离调节电流通道。</w:t>
            </w:r>
          </w:p>
        </w:tc>
      </w:tr>
      <w:tr w14:paraId="37DC16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78" w:hRule="atLeast"/>
          <w:tblCellSpacing w:w="0" w:type="dxa"/>
        </w:trPr>
        <w:tc>
          <w:tcPr>
            <w:tcW w:w="1123" w:type="dxa"/>
            <w:tcBorders>
              <w:top w:val="single" w:color="auto" w:sz="6" w:space="0"/>
              <w:left w:val="single" w:color="auto" w:sz="6" w:space="0"/>
              <w:bottom w:val="nil"/>
              <w:right w:val="nil"/>
            </w:tcBorders>
            <w:noWrap w:val="0"/>
            <w:vAlign w:val="center"/>
          </w:tcPr>
          <w:p w14:paraId="22A1914F">
            <w:pPr>
              <w:widowControl/>
              <w:spacing w:before="100" w:beforeAutospacing="1" w:after="100" w:afterAutospacing="1"/>
              <w:jc w:val="center"/>
              <w:rPr>
                <w:rFonts w:hint="eastAsia" w:ascii="宋体" w:hAnsi="宋体" w:eastAsia="宋体" w:cs="宋体"/>
                <w:color w:val="FF0000"/>
                <w:kern w:val="0"/>
                <w:sz w:val="21"/>
                <w:szCs w:val="21"/>
              </w:rPr>
            </w:pPr>
            <w:r>
              <w:rPr>
                <w:rFonts w:hint="eastAsia" w:ascii="宋体" w:hAnsi="宋体" w:eastAsia="宋体" w:cs="宋体"/>
                <w:color w:val="FF0000"/>
                <w:sz w:val="21"/>
                <w:szCs w:val="21"/>
              </w:rPr>
              <w:t>▲</w:t>
            </w:r>
            <w:r>
              <w:rPr>
                <w:rFonts w:hint="eastAsia" w:ascii="宋体" w:hAnsi="宋体" w:eastAsia="宋体" w:cs="宋体"/>
                <w:color w:val="000000"/>
                <w:kern w:val="0"/>
                <w:sz w:val="21"/>
                <w:szCs w:val="21"/>
              </w:rPr>
              <w:t>5</w:t>
            </w:r>
          </w:p>
        </w:tc>
        <w:tc>
          <w:tcPr>
            <w:tcW w:w="7779" w:type="dxa"/>
            <w:tcBorders>
              <w:top w:val="single" w:color="auto" w:sz="6" w:space="0"/>
              <w:left w:val="single" w:color="auto" w:sz="6" w:space="0"/>
              <w:bottom w:val="nil"/>
              <w:right w:val="nil"/>
            </w:tcBorders>
            <w:noWrap w:val="0"/>
            <w:vAlign w:val="top"/>
          </w:tcPr>
          <w:p w14:paraId="50696858">
            <w:pPr>
              <w:numPr>
                <w:numId w:val="0"/>
              </w:numPr>
              <w:tabs>
                <w:tab w:val="left" w:pos="0"/>
              </w:tabs>
              <w:spacing w:line="360" w:lineRule="auto"/>
              <w:ind w:leftChars="0"/>
              <w:jc w:val="left"/>
              <w:rPr>
                <w:rFonts w:hint="eastAsia" w:ascii="宋体" w:hAnsi="宋体" w:eastAsia="宋体" w:cs="宋体"/>
                <w:sz w:val="21"/>
                <w:szCs w:val="21"/>
              </w:rPr>
            </w:pPr>
            <w:r>
              <w:rPr>
                <w:rFonts w:hint="eastAsia" w:ascii="宋体" w:hAnsi="宋体" w:cs="宋体"/>
                <w:szCs w:val="21"/>
              </w:rPr>
              <w:t>肌电信号测量范围≥5-2500μV，差模输入阻抗≥8 MΩ。（提供厂家盖章技术参数或注册检验报告）</w:t>
            </w:r>
          </w:p>
        </w:tc>
      </w:tr>
      <w:tr w14:paraId="41D385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93" w:hRule="atLeast"/>
          <w:tblCellSpacing w:w="0" w:type="dxa"/>
        </w:trPr>
        <w:tc>
          <w:tcPr>
            <w:tcW w:w="1123" w:type="dxa"/>
            <w:tcBorders>
              <w:top w:val="single" w:color="auto" w:sz="6" w:space="0"/>
              <w:left w:val="single" w:color="auto" w:sz="6" w:space="0"/>
              <w:bottom w:val="nil"/>
              <w:right w:val="nil"/>
            </w:tcBorders>
            <w:noWrap w:val="0"/>
            <w:vAlign w:val="center"/>
          </w:tcPr>
          <w:p w14:paraId="59DE96D5">
            <w:pPr>
              <w:widowControl/>
              <w:spacing w:before="100" w:beforeAutospacing="1" w:after="100" w:afterAutospacing="1"/>
              <w:jc w:val="center"/>
              <w:rPr>
                <w:rFonts w:hint="eastAsia" w:ascii="宋体" w:hAnsi="宋体" w:eastAsia="宋体" w:cs="宋体"/>
                <w:color w:val="FF0000"/>
                <w:kern w:val="0"/>
                <w:sz w:val="21"/>
                <w:szCs w:val="21"/>
              </w:rPr>
            </w:pPr>
            <w:r>
              <w:rPr>
                <w:rFonts w:hint="eastAsia" w:ascii="宋体" w:hAnsi="宋体" w:eastAsia="宋体" w:cs="宋体"/>
                <w:color w:val="FF0000"/>
                <w:sz w:val="21"/>
                <w:szCs w:val="21"/>
              </w:rPr>
              <w:t>▲</w:t>
            </w:r>
            <w:r>
              <w:rPr>
                <w:rFonts w:hint="eastAsia" w:ascii="宋体" w:hAnsi="宋体" w:eastAsia="宋体" w:cs="宋体"/>
                <w:color w:val="000000"/>
                <w:kern w:val="0"/>
                <w:sz w:val="21"/>
                <w:szCs w:val="21"/>
              </w:rPr>
              <w:t>6</w:t>
            </w:r>
          </w:p>
        </w:tc>
        <w:tc>
          <w:tcPr>
            <w:tcW w:w="7779" w:type="dxa"/>
            <w:tcBorders>
              <w:top w:val="single" w:color="auto" w:sz="6" w:space="0"/>
              <w:left w:val="single" w:color="auto" w:sz="6" w:space="0"/>
              <w:bottom w:val="nil"/>
              <w:right w:val="nil"/>
            </w:tcBorders>
            <w:noWrap w:val="0"/>
            <w:vAlign w:val="top"/>
          </w:tcPr>
          <w:p w14:paraId="33A609BB">
            <w:pPr>
              <w:numPr>
                <w:numId w:val="0"/>
              </w:numPr>
              <w:tabs>
                <w:tab w:val="left" w:pos="0"/>
              </w:tabs>
              <w:spacing w:line="360" w:lineRule="auto"/>
              <w:ind w:leftChars="0"/>
              <w:jc w:val="left"/>
              <w:rPr>
                <w:rFonts w:hint="eastAsia" w:ascii="宋体" w:hAnsi="宋体" w:eastAsia="宋体" w:cs="宋体"/>
                <w:sz w:val="21"/>
                <w:szCs w:val="21"/>
              </w:rPr>
            </w:pPr>
            <w:r>
              <w:rPr>
                <w:rFonts w:hint="eastAsia" w:ascii="宋体" w:hAnsi="宋体" w:cs="宋体"/>
                <w:szCs w:val="21"/>
              </w:rPr>
              <w:t>刺激频率范围下限≤5Hz，上限≥160Hz；刺激脉宽范围下限≥50μs，上限≤1000μs。（提供厂家盖章技术参数或注册检验报告）</w:t>
            </w:r>
          </w:p>
        </w:tc>
      </w:tr>
      <w:tr w14:paraId="3ADA65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93" w:hRule="atLeast"/>
          <w:tblCellSpacing w:w="0" w:type="dxa"/>
        </w:trPr>
        <w:tc>
          <w:tcPr>
            <w:tcW w:w="1123" w:type="dxa"/>
            <w:tcBorders>
              <w:top w:val="single" w:color="auto" w:sz="6" w:space="0"/>
              <w:left w:val="single" w:color="auto" w:sz="6" w:space="0"/>
              <w:bottom w:val="nil"/>
              <w:right w:val="nil"/>
            </w:tcBorders>
            <w:noWrap w:val="0"/>
            <w:vAlign w:val="center"/>
          </w:tcPr>
          <w:p w14:paraId="5D282207">
            <w:pPr>
              <w:widowControl/>
              <w:spacing w:before="100" w:beforeAutospacing="1" w:after="100" w:afterAutospacing="1"/>
              <w:jc w:val="center"/>
              <w:rPr>
                <w:rFonts w:hint="eastAsia" w:ascii="宋体" w:hAnsi="宋体" w:eastAsia="宋体" w:cs="宋体"/>
                <w:color w:val="FF0000"/>
                <w:kern w:val="0"/>
                <w:sz w:val="21"/>
                <w:szCs w:val="21"/>
              </w:rPr>
            </w:pPr>
            <w:r>
              <w:rPr>
                <w:rFonts w:hint="eastAsia" w:ascii="宋体" w:hAnsi="宋体" w:eastAsia="宋体" w:cs="宋体"/>
                <w:color w:val="FF0000"/>
                <w:sz w:val="21"/>
                <w:szCs w:val="21"/>
              </w:rPr>
              <w:t>▲</w:t>
            </w:r>
            <w:r>
              <w:rPr>
                <w:rFonts w:hint="eastAsia" w:ascii="宋体" w:hAnsi="宋体" w:eastAsia="宋体" w:cs="宋体"/>
                <w:color w:val="000000"/>
                <w:kern w:val="0"/>
                <w:sz w:val="21"/>
                <w:szCs w:val="21"/>
              </w:rPr>
              <w:t>7</w:t>
            </w:r>
          </w:p>
        </w:tc>
        <w:tc>
          <w:tcPr>
            <w:tcW w:w="7779" w:type="dxa"/>
            <w:tcBorders>
              <w:top w:val="single" w:color="auto" w:sz="6" w:space="0"/>
              <w:left w:val="single" w:color="auto" w:sz="6" w:space="0"/>
              <w:bottom w:val="nil"/>
              <w:right w:val="nil"/>
            </w:tcBorders>
            <w:noWrap w:val="0"/>
            <w:vAlign w:val="top"/>
          </w:tcPr>
          <w:p w14:paraId="5BAF09F9">
            <w:pPr>
              <w:numPr>
                <w:numId w:val="0"/>
              </w:numPr>
              <w:tabs>
                <w:tab w:val="left" w:pos="0"/>
              </w:tabs>
              <w:spacing w:line="360" w:lineRule="auto"/>
              <w:ind w:leftChars="0"/>
              <w:jc w:val="left"/>
              <w:rPr>
                <w:rFonts w:hint="eastAsia" w:ascii="宋体" w:hAnsi="宋体" w:eastAsia="宋体" w:cs="宋体"/>
                <w:sz w:val="21"/>
                <w:szCs w:val="21"/>
              </w:rPr>
            </w:pPr>
            <w:r>
              <w:rPr>
                <w:rFonts w:hint="eastAsia" w:ascii="宋体" w:hAnsi="宋体" w:cs="宋体"/>
                <w:szCs w:val="21"/>
              </w:rPr>
              <w:t>可输出单相波、双相波和交替波三种基准脉冲波形。（提供厂家盖章技术参数或注册检验报告）</w:t>
            </w:r>
          </w:p>
        </w:tc>
      </w:tr>
      <w:tr w14:paraId="5C6417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noWrap w:val="0"/>
            <w:vAlign w:val="center"/>
          </w:tcPr>
          <w:p w14:paraId="0D6CBFB9">
            <w:pPr>
              <w:widowControl/>
              <w:spacing w:before="100" w:beforeAutospacing="1" w:after="100" w:afterAutospacing="1"/>
              <w:jc w:val="center"/>
              <w:rPr>
                <w:rFonts w:hint="eastAsia" w:ascii="宋体" w:hAnsi="宋体" w:eastAsia="宋体" w:cs="宋体"/>
                <w:color w:val="FF0000"/>
                <w:kern w:val="0"/>
                <w:sz w:val="21"/>
                <w:szCs w:val="21"/>
              </w:rPr>
            </w:pPr>
            <w:r>
              <w:rPr>
                <w:rFonts w:hint="eastAsia" w:ascii="宋体" w:hAnsi="宋体" w:eastAsia="宋体" w:cs="宋体"/>
                <w:color w:val="FF0000"/>
                <w:sz w:val="21"/>
                <w:szCs w:val="21"/>
              </w:rPr>
              <w:t>▲</w:t>
            </w:r>
            <w:r>
              <w:rPr>
                <w:rFonts w:hint="eastAsia" w:ascii="宋体" w:hAnsi="宋体" w:eastAsia="宋体" w:cs="宋体"/>
                <w:color w:val="000000"/>
                <w:kern w:val="0"/>
                <w:sz w:val="21"/>
                <w:szCs w:val="21"/>
              </w:rPr>
              <w:t>8</w:t>
            </w:r>
          </w:p>
        </w:tc>
        <w:tc>
          <w:tcPr>
            <w:tcW w:w="7779" w:type="dxa"/>
            <w:tcBorders>
              <w:top w:val="single" w:color="auto" w:sz="6" w:space="0"/>
              <w:left w:val="single" w:color="auto" w:sz="6" w:space="0"/>
              <w:bottom w:val="nil"/>
              <w:right w:val="nil"/>
            </w:tcBorders>
            <w:noWrap w:val="0"/>
            <w:vAlign w:val="top"/>
          </w:tcPr>
          <w:p w14:paraId="755F742A">
            <w:pPr>
              <w:numPr>
                <w:numId w:val="0"/>
              </w:numPr>
              <w:tabs>
                <w:tab w:val="left" w:pos="0"/>
              </w:tabs>
              <w:spacing w:line="360" w:lineRule="auto"/>
              <w:ind w:leftChars="0"/>
              <w:jc w:val="left"/>
              <w:rPr>
                <w:rFonts w:hint="eastAsia" w:ascii="宋体" w:hAnsi="宋体" w:eastAsia="宋体" w:cs="宋体"/>
                <w:sz w:val="21"/>
                <w:szCs w:val="21"/>
              </w:rPr>
            </w:pPr>
            <w:r>
              <w:rPr>
                <w:rFonts w:hint="eastAsia" w:ascii="宋体" w:hAnsi="宋体" w:cs="宋体"/>
                <w:bCs/>
                <w:color w:val="000000"/>
                <w:szCs w:val="21"/>
              </w:rPr>
              <w:t>标</w:t>
            </w:r>
            <w:r>
              <w:rPr>
                <w:rFonts w:hint="eastAsia" w:ascii="宋体" w:hAnsi="宋体" w:cs="宋体"/>
                <w:color w:val="000000"/>
                <w:szCs w:val="21"/>
              </w:rPr>
              <w:t>配有压力气囊，压力测量范围≤0-160mmHg，可实现自动充气。</w:t>
            </w:r>
            <w:r>
              <w:rPr>
                <w:rFonts w:hint="eastAsia" w:ascii="宋体" w:hAnsi="宋体" w:cs="宋体"/>
                <w:szCs w:val="21"/>
              </w:rPr>
              <w:t>（提供厂家盖章技术参数或注册检验报告）</w:t>
            </w:r>
          </w:p>
        </w:tc>
      </w:tr>
      <w:tr w14:paraId="6576A7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33" w:hRule="atLeast"/>
          <w:tblCellSpacing w:w="0" w:type="dxa"/>
        </w:trPr>
        <w:tc>
          <w:tcPr>
            <w:tcW w:w="1123" w:type="dxa"/>
            <w:tcBorders>
              <w:top w:val="single" w:color="auto" w:sz="6" w:space="0"/>
              <w:left w:val="single" w:color="auto" w:sz="6" w:space="0"/>
              <w:bottom w:val="nil"/>
              <w:right w:val="nil"/>
            </w:tcBorders>
            <w:noWrap w:val="0"/>
            <w:vAlign w:val="center"/>
          </w:tcPr>
          <w:p w14:paraId="106D3F02">
            <w:pPr>
              <w:widowControl/>
              <w:spacing w:before="100" w:beforeAutospacing="1" w:after="100" w:afterAutospacing="1"/>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9</w:t>
            </w:r>
          </w:p>
        </w:tc>
        <w:tc>
          <w:tcPr>
            <w:tcW w:w="7779" w:type="dxa"/>
            <w:tcBorders>
              <w:top w:val="single" w:color="auto" w:sz="6" w:space="0"/>
              <w:left w:val="single" w:color="auto" w:sz="6" w:space="0"/>
              <w:bottom w:val="nil"/>
              <w:right w:val="nil"/>
            </w:tcBorders>
            <w:noWrap w:val="0"/>
            <w:vAlign w:val="top"/>
          </w:tcPr>
          <w:p w14:paraId="25EE6451">
            <w:pPr>
              <w:numPr>
                <w:numId w:val="0"/>
              </w:numPr>
              <w:tabs>
                <w:tab w:val="left" w:pos="0"/>
              </w:tabs>
              <w:spacing w:line="360" w:lineRule="auto"/>
              <w:ind w:leftChars="0"/>
              <w:jc w:val="left"/>
              <w:rPr>
                <w:rFonts w:hint="eastAsia" w:ascii="宋体" w:hAnsi="宋体" w:eastAsia="宋体" w:cs="宋体"/>
                <w:sz w:val="21"/>
                <w:szCs w:val="21"/>
              </w:rPr>
            </w:pPr>
            <w:r>
              <w:rPr>
                <w:rFonts w:hint="eastAsia" w:ascii="宋体" w:hAnsi="宋体" w:cs="宋体"/>
                <w:szCs w:val="21"/>
              </w:rPr>
              <w:t>使用物理旋钮调节电流强度，操作方便，每个通道均设置各自的独立旋钮控制，可实现多通道不同强度刺激。</w:t>
            </w:r>
          </w:p>
        </w:tc>
      </w:tr>
      <w:tr w14:paraId="107926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93" w:hRule="atLeast"/>
          <w:tblCellSpacing w:w="0" w:type="dxa"/>
        </w:trPr>
        <w:tc>
          <w:tcPr>
            <w:tcW w:w="1123" w:type="dxa"/>
            <w:tcBorders>
              <w:top w:val="single" w:color="auto" w:sz="6" w:space="0"/>
              <w:left w:val="single" w:color="auto" w:sz="6" w:space="0"/>
              <w:bottom w:val="nil"/>
              <w:right w:val="nil"/>
            </w:tcBorders>
            <w:noWrap w:val="0"/>
            <w:vAlign w:val="center"/>
          </w:tcPr>
          <w:p w14:paraId="247EC9C1">
            <w:pPr>
              <w:widowControl/>
              <w:spacing w:before="100" w:beforeAutospacing="1" w:after="100" w:afterAutospacing="1"/>
              <w:jc w:val="center"/>
              <w:rPr>
                <w:rFonts w:hint="eastAsia" w:ascii="宋体" w:hAnsi="宋体" w:eastAsia="宋体" w:cs="宋体"/>
                <w:color w:val="FF0000"/>
                <w:kern w:val="0"/>
                <w:sz w:val="21"/>
                <w:szCs w:val="21"/>
              </w:rPr>
            </w:pPr>
            <w:r>
              <w:rPr>
                <w:rFonts w:hint="eastAsia" w:ascii="宋体" w:hAnsi="宋体" w:eastAsia="宋体" w:cs="宋体"/>
                <w:color w:val="FF0000"/>
                <w:sz w:val="21"/>
                <w:szCs w:val="21"/>
              </w:rPr>
              <w:t>▲</w:t>
            </w:r>
            <w:r>
              <w:rPr>
                <w:rFonts w:hint="eastAsia" w:ascii="宋体" w:hAnsi="宋体" w:eastAsia="宋体" w:cs="宋体"/>
                <w:color w:val="000000"/>
                <w:kern w:val="0"/>
                <w:sz w:val="21"/>
                <w:szCs w:val="21"/>
              </w:rPr>
              <w:t>10</w:t>
            </w:r>
          </w:p>
        </w:tc>
        <w:tc>
          <w:tcPr>
            <w:tcW w:w="7779" w:type="dxa"/>
            <w:tcBorders>
              <w:top w:val="single" w:color="auto" w:sz="6" w:space="0"/>
              <w:left w:val="single" w:color="auto" w:sz="6" w:space="0"/>
              <w:bottom w:val="nil"/>
              <w:right w:val="nil"/>
            </w:tcBorders>
            <w:noWrap w:val="0"/>
            <w:vAlign w:val="top"/>
          </w:tcPr>
          <w:p w14:paraId="68E95F6E">
            <w:pPr>
              <w:numPr>
                <w:numId w:val="0"/>
              </w:numPr>
              <w:tabs>
                <w:tab w:val="left" w:pos="0"/>
              </w:tabs>
              <w:spacing w:line="360" w:lineRule="auto"/>
              <w:ind w:leftChars="0"/>
              <w:jc w:val="left"/>
              <w:rPr>
                <w:rFonts w:hint="eastAsia" w:ascii="宋体" w:hAnsi="宋体" w:eastAsia="宋体" w:cs="宋体"/>
                <w:sz w:val="21"/>
                <w:szCs w:val="21"/>
              </w:rPr>
            </w:pPr>
            <w:r>
              <w:rPr>
                <w:rFonts w:hint="eastAsia" w:ascii="宋体" w:hAnsi="宋体" w:cs="宋体"/>
                <w:szCs w:val="21"/>
              </w:rPr>
              <w:t>注册结构组成包括远距离控制器或线控开关或脚踏开关或用户中断控制器，可实现电刺激远程输出调控。（提供厂家盖章注册证）</w:t>
            </w:r>
          </w:p>
        </w:tc>
      </w:tr>
      <w:tr w14:paraId="121927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13" w:hRule="atLeast"/>
          <w:tblCellSpacing w:w="0" w:type="dxa"/>
        </w:trPr>
        <w:tc>
          <w:tcPr>
            <w:tcW w:w="1123" w:type="dxa"/>
            <w:tcBorders>
              <w:top w:val="single" w:color="auto" w:sz="6" w:space="0"/>
              <w:left w:val="single" w:color="auto" w:sz="6" w:space="0"/>
              <w:bottom w:val="nil"/>
              <w:right w:val="nil"/>
            </w:tcBorders>
            <w:noWrap w:val="0"/>
            <w:vAlign w:val="center"/>
          </w:tcPr>
          <w:p w14:paraId="7D0BE335">
            <w:pPr>
              <w:widowControl/>
              <w:spacing w:before="100" w:beforeAutospacing="1" w:after="100" w:afterAutospacing="1"/>
              <w:jc w:val="center"/>
              <w:rPr>
                <w:rFonts w:hint="eastAsia" w:ascii="宋体" w:hAnsi="宋体" w:eastAsia="宋体" w:cs="宋体"/>
                <w:color w:val="FF0000"/>
                <w:kern w:val="0"/>
                <w:sz w:val="21"/>
                <w:szCs w:val="21"/>
              </w:rPr>
            </w:pPr>
            <w:r>
              <w:rPr>
                <w:rFonts w:hint="eastAsia" w:ascii="宋体" w:hAnsi="宋体" w:eastAsia="宋体" w:cs="宋体"/>
                <w:color w:val="000000"/>
                <w:kern w:val="0"/>
                <w:sz w:val="21"/>
                <w:szCs w:val="21"/>
              </w:rPr>
              <w:t>11</w:t>
            </w:r>
          </w:p>
        </w:tc>
        <w:tc>
          <w:tcPr>
            <w:tcW w:w="7779" w:type="dxa"/>
            <w:tcBorders>
              <w:top w:val="single" w:color="auto" w:sz="6" w:space="0"/>
              <w:left w:val="single" w:color="auto" w:sz="6" w:space="0"/>
              <w:bottom w:val="nil"/>
              <w:right w:val="nil"/>
            </w:tcBorders>
            <w:noWrap w:val="0"/>
            <w:vAlign w:val="top"/>
          </w:tcPr>
          <w:p w14:paraId="3554B530">
            <w:pPr>
              <w:numPr>
                <w:numId w:val="0"/>
              </w:numPr>
              <w:tabs>
                <w:tab w:val="left" w:pos="0"/>
              </w:tabs>
              <w:spacing w:line="360" w:lineRule="auto"/>
              <w:ind w:leftChars="0"/>
              <w:jc w:val="left"/>
              <w:rPr>
                <w:rFonts w:hint="eastAsia" w:ascii="宋体" w:hAnsi="宋体" w:eastAsia="宋体" w:cs="宋体"/>
                <w:sz w:val="21"/>
                <w:szCs w:val="21"/>
              </w:rPr>
            </w:pPr>
            <w:r>
              <w:rPr>
                <w:rFonts w:hint="eastAsia" w:ascii="宋体" w:hAnsi="宋体" w:cs="宋体"/>
                <w:szCs w:val="21"/>
              </w:rPr>
              <w:t xml:space="preserve">具有肌电和压力两种评估方式，压力气囊自动充气，评估全程语音模板提示。   </w:t>
            </w:r>
          </w:p>
        </w:tc>
      </w:tr>
      <w:tr w14:paraId="4D7569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noWrap w:val="0"/>
            <w:vAlign w:val="center"/>
          </w:tcPr>
          <w:p w14:paraId="3D3E884F">
            <w:pPr>
              <w:widowControl/>
              <w:spacing w:before="100" w:beforeAutospacing="1" w:after="100" w:afterAutospacing="1"/>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7779" w:type="dxa"/>
            <w:tcBorders>
              <w:top w:val="single" w:color="auto" w:sz="6" w:space="0"/>
              <w:left w:val="single" w:color="auto" w:sz="6" w:space="0"/>
              <w:bottom w:val="nil"/>
              <w:right w:val="nil"/>
            </w:tcBorders>
            <w:noWrap w:val="0"/>
            <w:vAlign w:val="top"/>
          </w:tcPr>
          <w:p w14:paraId="6A448452">
            <w:pPr>
              <w:numPr>
                <w:numId w:val="0"/>
              </w:numPr>
              <w:tabs>
                <w:tab w:val="left" w:pos="0"/>
              </w:tabs>
              <w:spacing w:line="360" w:lineRule="auto"/>
              <w:ind w:leftChars="0"/>
              <w:jc w:val="left"/>
              <w:rPr>
                <w:rFonts w:hint="eastAsia" w:ascii="宋体" w:hAnsi="宋体" w:eastAsia="宋体" w:cs="宋体"/>
                <w:sz w:val="21"/>
                <w:szCs w:val="21"/>
              </w:rPr>
            </w:pPr>
            <w:r>
              <w:rPr>
                <w:rFonts w:hint="eastAsia" w:ascii="宋体" w:hAnsi="宋体" w:cs="宋体"/>
                <w:szCs w:val="21"/>
              </w:rPr>
              <w:t>预设多种肌肉功能评估方案，包括盆底肌肉评估和外周肌肉评估等，支持多媒体动画形式评估。</w:t>
            </w:r>
          </w:p>
        </w:tc>
      </w:tr>
      <w:tr w14:paraId="6181C4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noWrap w:val="0"/>
            <w:vAlign w:val="center"/>
          </w:tcPr>
          <w:p w14:paraId="188FE205">
            <w:pPr>
              <w:widowControl/>
              <w:spacing w:before="100" w:beforeAutospacing="1" w:after="100" w:afterAutospacing="1"/>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7779" w:type="dxa"/>
            <w:tcBorders>
              <w:top w:val="single" w:color="auto" w:sz="6" w:space="0"/>
              <w:left w:val="single" w:color="auto" w:sz="6" w:space="0"/>
              <w:bottom w:val="nil"/>
              <w:right w:val="nil"/>
            </w:tcBorders>
            <w:noWrap w:val="0"/>
            <w:vAlign w:val="top"/>
          </w:tcPr>
          <w:p w14:paraId="011D6AEF">
            <w:pPr>
              <w:numPr>
                <w:numId w:val="0"/>
              </w:numPr>
              <w:tabs>
                <w:tab w:val="left" w:pos="0"/>
              </w:tabs>
              <w:spacing w:line="360" w:lineRule="auto"/>
              <w:ind w:leftChars="0"/>
              <w:jc w:val="left"/>
              <w:rPr>
                <w:rFonts w:hint="eastAsia" w:ascii="宋体" w:hAnsi="宋体" w:eastAsia="宋体" w:cs="宋体"/>
                <w:sz w:val="21"/>
                <w:szCs w:val="21"/>
              </w:rPr>
            </w:pPr>
            <w:r>
              <w:rPr>
                <w:rFonts w:hint="eastAsia" w:ascii="宋体" w:hAnsi="宋体" w:cs="宋体"/>
                <w:szCs w:val="21"/>
              </w:rPr>
              <w:t>具有四通道肌电采集，可对盆底肌、腹肌、臀肌及内收肌进行同时监测，并生成报告，计算各肌肉异常收缩程度的指标。</w:t>
            </w:r>
          </w:p>
        </w:tc>
      </w:tr>
      <w:tr w14:paraId="113AF9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noWrap w:val="0"/>
            <w:vAlign w:val="center"/>
          </w:tcPr>
          <w:p w14:paraId="03051097">
            <w:pPr>
              <w:widowControl/>
              <w:spacing w:before="100" w:beforeAutospacing="1" w:after="100" w:afterAutospacing="1"/>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7779" w:type="dxa"/>
            <w:tcBorders>
              <w:top w:val="single" w:color="auto" w:sz="6" w:space="0"/>
              <w:left w:val="single" w:color="auto" w:sz="6" w:space="0"/>
              <w:bottom w:val="nil"/>
              <w:right w:val="nil"/>
            </w:tcBorders>
            <w:noWrap w:val="0"/>
            <w:vAlign w:val="top"/>
          </w:tcPr>
          <w:p w14:paraId="128DE990">
            <w:pPr>
              <w:numPr>
                <w:numId w:val="0"/>
              </w:numPr>
              <w:tabs>
                <w:tab w:val="left" w:pos="0"/>
              </w:tabs>
              <w:spacing w:line="360" w:lineRule="auto"/>
              <w:ind w:leftChars="0"/>
              <w:jc w:val="left"/>
              <w:rPr>
                <w:rFonts w:hint="eastAsia" w:ascii="宋体" w:hAnsi="宋体" w:eastAsia="宋体" w:cs="宋体"/>
                <w:sz w:val="21"/>
                <w:szCs w:val="21"/>
              </w:rPr>
            </w:pPr>
            <w:r>
              <w:rPr>
                <w:rFonts w:hint="eastAsia" w:ascii="宋体" w:hAnsi="宋体" w:cs="宋体"/>
                <w:szCs w:val="21"/>
              </w:rPr>
              <w:t>评估报告对各评估指标打分，计算总得分，并具有反映腹肌异常收缩程度的指标。</w:t>
            </w:r>
          </w:p>
        </w:tc>
      </w:tr>
      <w:tr w14:paraId="6D9277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noWrap w:val="0"/>
            <w:vAlign w:val="center"/>
          </w:tcPr>
          <w:p w14:paraId="4CDFD421">
            <w:pPr>
              <w:widowControl/>
              <w:spacing w:before="100" w:beforeAutospacing="1" w:after="100" w:afterAutospacing="1"/>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7779" w:type="dxa"/>
            <w:tcBorders>
              <w:top w:val="single" w:color="auto" w:sz="6" w:space="0"/>
              <w:left w:val="single" w:color="auto" w:sz="6" w:space="0"/>
              <w:bottom w:val="nil"/>
              <w:right w:val="nil"/>
            </w:tcBorders>
            <w:noWrap w:val="0"/>
            <w:vAlign w:val="top"/>
          </w:tcPr>
          <w:p w14:paraId="1E581FF2">
            <w:pPr>
              <w:widowControl/>
              <w:numPr>
                <w:numId w:val="0"/>
              </w:numPr>
              <w:spacing w:line="360" w:lineRule="auto"/>
              <w:ind w:leftChars="0"/>
              <w:jc w:val="left"/>
              <w:rPr>
                <w:rFonts w:hint="eastAsia" w:ascii="宋体" w:hAnsi="宋体" w:eastAsia="宋体" w:cs="宋体"/>
                <w:sz w:val="21"/>
                <w:szCs w:val="21"/>
              </w:rPr>
            </w:pPr>
            <w:r>
              <w:rPr>
                <w:rFonts w:hint="eastAsia" w:ascii="宋体" w:hAnsi="宋体" w:cs="宋体"/>
                <w:szCs w:val="21"/>
              </w:rPr>
              <w:t>治疗方法至少包括肌电触发电刺激、扩张训练、刺激反馈训练、音乐放松训练、呼吸放松训练、多媒体游戏训练，并可自行导入音乐和多媒体动画。</w:t>
            </w:r>
          </w:p>
        </w:tc>
      </w:tr>
      <w:tr w14:paraId="157F33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noWrap w:val="0"/>
            <w:vAlign w:val="center"/>
          </w:tcPr>
          <w:p w14:paraId="63B16859">
            <w:pPr>
              <w:widowControl/>
              <w:spacing w:before="100" w:beforeAutospacing="1" w:after="100" w:afterAutospacing="1"/>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7779" w:type="dxa"/>
            <w:tcBorders>
              <w:top w:val="single" w:color="auto" w:sz="6" w:space="0"/>
              <w:left w:val="single" w:color="auto" w:sz="6" w:space="0"/>
              <w:bottom w:val="single" w:color="auto" w:sz="6" w:space="0"/>
              <w:right w:val="nil"/>
            </w:tcBorders>
            <w:noWrap w:val="0"/>
            <w:vAlign w:val="top"/>
          </w:tcPr>
          <w:p w14:paraId="7DAE396D">
            <w:pPr>
              <w:widowControl/>
              <w:numPr>
                <w:numId w:val="0"/>
              </w:numPr>
              <w:spacing w:line="360" w:lineRule="auto"/>
              <w:ind w:leftChars="0"/>
              <w:jc w:val="left"/>
              <w:rPr>
                <w:rFonts w:hint="eastAsia" w:ascii="宋体" w:hAnsi="宋体" w:eastAsia="宋体" w:cs="宋体"/>
                <w:sz w:val="21"/>
                <w:szCs w:val="21"/>
              </w:rPr>
            </w:pPr>
            <w:r>
              <w:rPr>
                <w:rFonts w:hint="eastAsia" w:ascii="宋体" w:hAnsi="宋体" w:cs="宋体"/>
                <w:color w:val="000000"/>
                <w:szCs w:val="21"/>
              </w:rPr>
              <w:t>具有各类尿失禁、膀胱过度活动、神经源性膀胱、前列腺切除术后尿失禁、慢性前列腺炎、慢性盆腔疼痛、阳痿、早泄等治疗方案。</w:t>
            </w:r>
          </w:p>
        </w:tc>
      </w:tr>
      <w:tr w14:paraId="3963D7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noWrap w:val="0"/>
            <w:vAlign w:val="center"/>
          </w:tcPr>
          <w:p w14:paraId="15FD4F64">
            <w:pPr>
              <w:widowControl/>
              <w:spacing w:before="100" w:beforeAutospacing="1" w:after="100" w:afterAutospacing="1"/>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17</w:t>
            </w:r>
          </w:p>
        </w:tc>
        <w:tc>
          <w:tcPr>
            <w:tcW w:w="7779" w:type="dxa"/>
            <w:tcBorders>
              <w:top w:val="single" w:color="auto" w:sz="6" w:space="0"/>
              <w:left w:val="single" w:color="auto" w:sz="6" w:space="0"/>
              <w:bottom w:val="single" w:color="auto" w:sz="6" w:space="0"/>
              <w:right w:val="nil"/>
            </w:tcBorders>
            <w:noWrap w:val="0"/>
            <w:vAlign w:val="top"/>
          </w:tcPr>
          <w:p w14:paraId="32A9D760">
            <w:pPr>
              <w:widowControl/>
              <w:numPr>
                <w:numId w:val="0"/>
              </w:numPr>
              <w:spacing w:line="360" w:lineRule="auto"/>
              <w:ind w:leftChars="0"/>
              <w:jc w:val="left"/>
              <w:rPr>
                <w:rFonts w:hint="eastAsia" w:ascii="宋体" w:hAnsi="宋体" w:cs="宋体"/>
                <w:color w:val="000000"/>
                <w:szCs w:val="21"/>
              </w:rPr>
            </w:pPr>
            <w:r>
              <w:rPr>
                <w:rFonts w:hint="eastAsia" w:ascii="宋体" w:hAnsi="宋体" w:cs="宋体"/>
                <w:color w:val="000000"/>
                <w:szCs w:val="21"/>
              </w:rPr>
              <w:t>肌电触发电刺激具有阈值上和阈值下两种触发方式，并且可选择手动阈值模式和自动阈值模式。</w:t>
            </w:r>
          </w:p>
        </w:tc>
      </w:tr>
      <w:tr w14:paraId="334CD2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noWrap w:val="0"/>
            <w:vAlign w:val="center"/>
          </w:tcPr>
          <w:p w14:paraId="658C5007">
            <w:pPr>
              <w:widowControl/>
              <w:spacing w:before="100" w:beforeAutospacing="1" w:after="100" w:afterAutospacing="1"/>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18</w:t>
            </w:r>
          </w:p>
        </w:tc>
        <w:tc>
          <w:tcPr>
            <w:tcW w:w="7779" w:type="dxa"/>
            <w:tcBorders>
              <w:top w:val="single" w:color="auto" w:sz="6" w:space="0"/>
              <w:left w:val="single" w:color="auto" w:sz="6" w:space="0"/>
              <w:bottom w:val="single" w:color="auto" w:sz="6" w:space="0"/>
              <w:right w:val="nil"/>
            </w:tcBorders>
            <w:noWrap w:val="0"/>
            <w:vAlign w:val="top"/>
          </w:tcPr>
          <w:p w14:paraId="798E0B11">
            <w:pPr>
              <w:widowControl/>
              <w:numPr>
                <w:numId w:val="0"/>
              </w:numPr>
              <w:spacing w:line="360" w:lineRule="auto"/>
              <w:ind w:leftChars="0"/>
              <w:jc w:val="left"/>
              <w:rPr>
                <w:rFonts w:hint="eastAsia" w:ascii="宋体" w:hAnsi="宋体" w:cs="宋体"/>
                <w:color w:val="000000"/>
                <w:szCs w:val="21"/>
              </w:rPr>
            </w:pPr>
            <w:r>
              <w:rPr>
                <w:rFonts w:hint="eastAsia" w:ascii="宋体" w:hAnsi="宋体" w:cs="宋体"/>
                <w:color w:val="000000"/>
                <w:szCs w:val="21"/>
              </w:rPr>
              <w:t>经皮神经电刺激至少包括连续刺激模式、爆发刺激模式、调频调幅刺激模式，可实现急性和慢性疼痛的缓解。</w:t>
            </w:r>
          </w:p>
        </w:tc>
      </w:tr>
      <w:tr w14:paraId="36B04C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noWrap w:val="0"/>
            <w:vAlign w:val="center"/>
          </w:tcPr>
          <w:p w14:paraId="29653A09">
            <w:pPr>
              <w:widowControl/>
              <w:spacing w:before="100" w:beforeAutospacing="1" w:after="100" w:afterAutospacing="1"/>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19</w:t>
            </w:r>
          </w:p>
        </w:tc>
        <w:tc>
          <w:tcPr>
            <w:tcW w:w="7779" w:type="dxa"/>
            <w:tcBorders>
              <w:top w:val="single" w:color="auto" w:sz="6" w:space="0"/>
              <w:left w:val="single" w:color="auto" w:sz="6" w:space="0"/>
              <w:bottom w:val="single" w:color="auto" w:sz="6" w:space="0"/>
              <w:right w:val="nil"/>
            </w:tcBorders>
            <w:noWrap w:val="0"/>
            <w:vAlign w:val="top"/>
          </w:tcPr>
          <w:p w14:paraId="33B27941">
            <w:pPr>
              <w:widowControl/>
              <w:numPr>
                <w:numId w:val="0"/>
              </w:numPr>
              <w:spacing w:line="360" w:lineRule="auto"/>
              <w:ind w:leftChars="0"/>
              <w:jc w:val="left"/>
              <w:rPr>
                <w:rFonts w:hint="eastAsia" w:ascii="宋体" w:hAnsi="宋体" w:cs="宋体"/>
                <w:color w:val="000000"/>
                <w:szCs w:val="21"/>
              </w:rPr>
            </w:pPr>
            <w:r>
              <w:rPr>
                <w:rFonts w:hint="eastAsia" w:ascii="宋体" w:hAnsi="宋体" w:cs="宋体"/>
                <w:szCs w:val="21"/>
              </w:rPr>
              <w:t>可根据评估结果自动生成个性化磁电联合方案，并支持与同品牌的盆底磁设备之间数据共享。</w:t>
            </w:r>
          </w:p>
        </w:tc>
      </w:tr>
      <w:tr w14:paraId="33D662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noWrap w:val="0"/>
            <w:vAlign w:val="center"/>
          </w:tcPr>
          <w:p w14:paraId="4BEBC87B">
            <w:pPr>
              <w:widowControl/>
              <w:spacing w:before="100" w:beforeAutospacing="1" w:after="100" w:afterAutospacing="1"/>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w:t>
            </w:r>
          </w:p>
        </w:tc>
        <w:tc>
          <w:tcPr>
            <w:tcW w:w="7779" w:type="dxa"/>
            <w:tcBorders>
              <w:top w:val="single" w:color="auto" w:sz="6" w:space="0"/>
              <w:left w:val="single" w:color="auto" w:sz="6" w:space="0"/>
              <w:bottom w:val="single" w:color="auto" w:sz="6" w:space="0"/>
              <w:right w:val="nil"/>
            </w:tcBorders>
            <w:noWrap w:val="0"/>
            <w:vAlign w:val="top"/>
          </w:tcPr>
          <w:p w14:paraId="61D9E883">
            <w:pPr>
              <w:widowControl/>
              <w:numPr>
                <w:numId w:val="0"/>
              </w:numPr>
              <w:spacing w:line="360" w:lineRule="auto"/>
              <w:ind w:leftChars="0"/>
              <w:jc w:val="left"/>
              <w:rPr>
                <w:rFonts w:hint="eastAsia" w:ascii="宋体" w:hAnsi="宋体" w:cs="宋体"/>
                <w:color w:val="000000"/>
                <w:szCs w:val="21"/>
              </w:rPr>
            </w:pPr>
            <w:r>
              <w:rPr>
                <w:rFonts w:hint="eastAsia" w:ascii="宋体" w:hAnsi="宋体" w:cs="宋体"/>
                <w:szCs w:val="21"/>
              </w:rPr>
              <w:t>kegel训练过程中，允许同时进行电刺激治疗，支持双人同时治疗。</w:t>
            </w:r>
          </w:p>
        </w:tc>
      </w:tr>
      <w:tr w14:paraId="00542C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noWrap w:val="0"/>
            <w:vAlign w:val="center"/>
          </w:tcPr>
          <w:p w14:paraId="77175C13">
            <w:pPr>
              <w:widowControl/>
              <w:spacing w:before="100" w:beforeAutospacing="1" w:after="100" w:afterAutospacing="1"/>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w:t>
            </w:r>
          </w:p>
        </w:tc>
        <w:tc>
          <w:tcPr>
            <w:tcW w:w="7779" w:type="dxa"/>
            <w:tcBorders>
              <w:top w:val="single" w:color="auto" w:sz="6" w:space="0"/>
              <w:left w:val="single" w:color="auto" w:sz="6" w:space="0"/>
              <w:bottom w:val="single" w:color="auto" w:sz="6" w:space="0"/>
              <w:right w:val="nil"/>
            </w:tcBorders>
            <w:noWrap w:val="0"/>
            <w:vAlign w:val="top"/>
          </w:tcPr>
          <w:p w14:paraId="382591C4">
            <w:pPr>
              <w:widowControl/>
              <w:numPr>
                <w:numId w:val="0"/>
              </w:numPr>
              <w:spacing w:line="360" w:lineRule="auto"/>
              <w:ind w:leftChars="0"/>
              <w:jc w:val="left"/>
              <w:rPr>
                <w:rFonts w:hint="eastAsia" w:ascii="宋体" w:hAnsi="宋体" w:cs="宋体"/>
                <w:color w:val="000000"/>
                <w:szCs w:val="21"/>
              </w:rPr>
            </w:pPr>
            <w:r>
              <w:rPr>
                <w:rFonts w:hint="eastAsia" w:ascii="宋体" w:hAnsi="宋体" w:cs="宋体"/>
                <w:szCs w:val="21"/>
              </w:rPr>
              <w:t>治疗过程中实时监测肌肉疲劳状态，可根据疲劳状态自动调整训练难度，防止过度疲劳。</w:t>
            </w:r>
          </w:p>
        </w:tc>
      </w:tr>
      <w:tr w14:paraId="1C1971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noWrap w:val="0"/>
            <w:vAlign w:val="center"/>
          </w:tcPr>
          <w:p w14:paraId="47411400">
            <w:pPr>
              <w:widowControl/>
              <w:spacing w:before="100" w:beforeAutospacing="1" w:after="100" w:afterAutospacing="1"/>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22</w:t>
            </w:r>
          </w:p>
        </w:tc>
        <w:tc>
          <w:tcPr>
            <w:tcW w:w="7779" w:type="dxa"/>
            <w:tcBorders>
              <w:top w:val="single" w:color="auto" w:sz="6" w:space="0"/>
              <w:left w:val="single" w:color="auto" w:sz="6" w:space="0"/>
              <w:bottom w:val="single" w:color="auto" w:sz="6" w:space="0"/>
              <w:right w:val="nil"/>
            </w:tcBorders>
            <w:noWrap w:val="0"/>
            <w:vAlign w:val="top"/>
          </w:tcPr>
          <w:p w14:paraId="68928EB3">
            <w:pPr>
              <w:widowControl/>
              <w:numPr>
                <w:numId w:val="0"/>
              </w:numPr>
              <w:spacing w:line="360" w:lineRule="auto"/>
              <w:ind w:leftChars="0"/>
              <w:jc w:val="left"/>
              <w:rPr>
                <w:rFonts w:hint="eastAsia" w:ascii="宋体" w:hAnsi="宋体" w:cs="宋体"/>
                <w:color w:val="000000"/>
                <w:szCs w:val="21"/>
              </w:rPr>
            </w:pPr>
            <w:r>
              <w:rPr>
                <w:rFonts w:hint="eastAsia" w:ascii="宋体" w:hAnsi="宋体" w:cs="宋体"/>
                <w:szCs w:val="21"/>
              </w:rPr>
              <w:t>可以通过压力反馈的方式进行盆底肌肉被动扩张训练，支持多媒体动画反馈和压力信号反馈。</w:t>
            </w:r>
          </w:p>
        </w:tc>
      </w:tr>
      <w:tr w14:paraId="60F723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noWrap w:val="0"/>
            <w:vAlign w:val="center"/>
          </w:tcPr>
          <w:p w14:paraId="4863C9AE">
            <w:pPr>
              <w:widowControl/>
              <w:spacing w:before="100" w:beforeAutospacing="1" w:after="100" w:afterAutospacing="1"/>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23</w:t>
            </w:r>
          </w:p>
        </w:tc>
        <w:tc>
          <w:tcPr>
            <w:tcW w:w="7779" w:type="dxa"/>
            <w:tcBorders>
              <w:top w:val="single" w:color="auto" w:sz="6" w:space="0"/>
              <w:left w:val="single" w:color="auto" w:sz="6" w:space="0"/>
              <w:bottom w:val="single" w:color="auto" w:sz="6" w:space="0"/>
              <w:right w:val="nil"/>
            </w:tcBorders>
            <w:noWrap w:val="0"/>
            <w:vAlign w:val="top"/>
          </w:tcPr>
          <w:p w14:paraId="60306A81">
            <w:pPr>
              <w:widowControl/>
              <w:numPr>
                <w:numId w:val="0"/>
              </w:numPr>
              <w:spacing w:line="360" w:lineRule="auto"/>
              <w:ind w:leftChars="0"/>
              <w:jc w:val="left"/>
              <w:rPr>
                <w:rFonts w:hint="eastAsia" w:ascii="宋体" w:hAnsi="宋体" w:cs="宋体"/>
                <w:color w:val="000000"/>
                <w:szCs w:val="21"/>
              </w:rPr>
            </w:pPr>
            <w:r>
              <w:rPr>
                <w:rFonts w:hint="eastAsia" w:ascii="宋体" w:hAnsi="宋体" w:cs="宋体"/>
                <w:szCs w:val="21"/>
              </w:rPr>
              <w:t>支持将设备的训练方案（包括电刺激、触发电刺激、生物反馈训练、多媒体游戏训练）通过无线方式传输至同品牌手持式盆底生物刺激反馈类设备。并支持医护人员远距离查看该手持式设备的治疗数据。</w:t>
            </w:r>
          </w:p>
        </w:tc>
      </w:tr>
      <w:tr w14:paraId="1BFF45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noWrap w:val="0"/>
            <w:vAlign w:val="center"/>
          </w:tcPr>
          <w:p w14:paraId="4ECBF008">
            <w:pPr>
              <w:widowControl/>
              <w:spacing w:before="100" w:beforeAutospacing="1" w:after="100" w:afterAutospacing="1"/>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p>
        </w:tc>
        <w:tc>
          <w:tcPr>
            <w:tcW w:w="7779" w:type="dxa"/>
            <w:tcBorders>
              <w:top w:val="single" w:color="auto" w:sz="6" w:space="0"/>
              <w:left w:val="single" w:color="auto" w:sz="6" w:space="0"/>
              <w:bottom w:val="single" w:color="auto" w:sz="6" w:space="0"/>
              <w:right w:val="nil"/>
            </w:tcBorders>
            <w:noWrap w:val="0"/>
            <w:vAlign w:val="top"/>
          </w:tcPr>
          <w:p w14:paraId="56EEB80E">
            <w:pPr>
              <w:widowControl/>
              <w:numPr>
                <w:numId w:val="0"/>
              </w:numPr>
              <w:spacing w:line="360" w:lineRule="auto"/>
              <w:ind w:leftChars="0"/>
              <w:jc w:val="left"/>
              <w:rPr>
                <w:rFonts w:hint="eastAsia" w:ascii="宋体" w:hAnsi="宋体" w:cs="宋体"/>
                <w:color w:val="000000"/>
                <w:szCs w:val="21"/>
              </w:rPr>
            </w:pPr>
            <w:r>
              <w:rPr>
                <w:rFonts w:hint="eastAsia" w:ascii="宋体" w:hAnsi="宋体" w:cs="宋体"/>
                <w:szCs w:val="21"/>
              </w:rPr>
              <w:t>配置信息综合管理系统，具有网页端和APP端两个平台，可实现治疗预约、设备管理、患者宣教和家庭训练监督等功能。</w:t>
            </w:r>
          </w:p>
        </w:tc>
      </w:tr>
      <w:tr w14:paraId="26A5A3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single" w:color="auto" w:sz="6" w:space="0"/>
              <w:right w:val="nil"/>
            </w:tcBorders>
            <w:noWrap w:val="0"/>
            <w:vAlign w:val="center"/>
          </w:tcPr>
          <w:p w14:paraId="5CE7C4F1">
            <w:pPr>
              <w:widowControl/>
              <w:spacing w:before="100" w:beforeAutospacing="1" w:after="100" w:afterAutospacing="1"/>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p>
        </w:tc>
        <w:tc>
          <w:tcPr>
            <w:tcW w:w="7779" w:type="dxa"/>
            <w:tcBorders>
              <w:top w:val="single" w:color="auto" w:sz="6" w:space="0"/>
              <w:left w:val="single" w:color="auto" w:sz="6" w:space="0"/>
              <w:bottom w:val="single" w:color="auto" w:sz="6" w:space="0"/>
              <w:right w:val="nil"/>
            </w:tcBorders>
            <w:noWrap w:val="0"/>
            <w:vAlign w:val="top"/>
          </w:tcPr>
          <w:p w14:paraId="0A40D0EF">
            <w:pPr>
              <w:widowControl/>
              <w:numPr>
                <w:numId w:val="0"/>
              </w:numPr>
              <w:spacing w:line="360" w:lineRule="auto"/>
              <w:ind w:leftChars="0"/>
              <w:jc w:val="left"/>
              <w:rPr>
                <w:rFonts w:hint="eastAsia" w:ascii="宋体" w:hAnsi="宋体" w:cs="宋体"/>
                <w:color w:val="000000"/>
                <w:szCs w:val="21"/>
              </w:rPr>
            </w:pPr>
            <w:r>
              <w:rPr>
                <w:rFonts w:hint="eastAsia" w:ascii="宋体" w:hAnsi="宋体"/>
                <w:szCs w:val="21"/>
              </w:rPr>
              <w:t>数据管理模块至少包括工作量统计、数据回顾和趋势分析等，可实现多个条件联合检索，并支持多种图表形式显示</w:t>
            </w:r>
            <w:r>
              <w:rPr>
                <w:rFonts w:hint="eastAsia" w:ascii="宋体" w:hAnsi="宋体" w:cs="宋体"/>
                <w:szCs w:val="21"/>
              </w:rPr>
              <w:t xml:space="preserve">。 </w:t>
            </w:r>
          </w:p>
        </w:tc>
      </w:tr>
      <w:tr w14:paraId="08F1E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8902" w:type="dxa"/>
            <w:gridSpan w:val="2"/>
            <w:tcBorders>
              <w:top w:val="single" w:color="auto" w:sz="6" w:space="0"/>
              <w:left w:val="single" w:color="auto" w:sz="6" w:space="0"/>
              <w:bottom w:val="single" w:color="auto" w:sz="6" w:space="0"/>
              <w:right w:val="nil"/>
            </w:tcBorders>
            <w:noWrap w:val="0"/>
            <w:vAlign w:val="center"/>
          </w:tcPr>
          <w:p w14:paraId="08A6D8A1">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商务参数</w:t>
            </w:r>
          </w:p>
        </w:tc>
      </w:tr>
      <w:tr w14:paraId="1FC382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noWrap w:val="0"/>
            <w:vAlign w:val="center"/>
          </w:tcPr>
          <w:p w14:paraId="1894BA3A">
            <w:pPr>
              <w:widowControl/>
              <w:spacing w:before="100" w:beforeAutospacing="1" w:after="100" w:afterAutospacing="1"/>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7779" w:type="dxa"/>
            <w:tcBorders>
              <w:top w:val="single" w:color="auto" w:sz="6" w:space="0"/>
              <w:left w:val="single" w:color="auto" w:sz="6" w:space="0"/>
              <w:bottom w:val="nil"/>
              <w:right w:val="nil"/>
            </w:tcBorders>
            <w:noWrap w:val="0"/>
            <w:vAlign w:val="center"/>
          </w:tcPr>
          <w:p w14:paraId="26E91F68">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整机保修5年</w:t>
            </w:r>
          </w:p>
        </w:tc>
      </w:tr>
    </w:tbl>
    <w:p w14:paraId="74861424">
      <w:pPr>
        <w:numPr>
          <w:ilvl w:val="0"/>
          <w:numId w:val="1"/>
        </w:numPr>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专机配套耗材：</w:t>
      </w:r>
    </w:p>
    <w:p w14:paraId="3E1D8963">
      <w:pPr>
        <w:numPr>
          <w:ilvl w:val="0"/>
          <w:numId w:val="2"/>
        </w:numPr>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一次性直肠电极，</w:t>
      </w:r>
      <w:r>
        <w:rPr>
          <w:rFonts w:hint="eastAsia" w:ascii="宋体" w:hAnsi="宋体" w:eastAsia="宋体" w:cs="宋体"/>
          <w:color w:val="FF0000"/>
          <w:lang w:val="en-US" w:eastAsia="zh-CN"/>
        </w:rPr>
        <w:t>限价70元/个</w:t>
      </w:r>
      <w:r>
        <w:rPr>
          <w:rFonts w:hint="eastAsia" w:ascii="宋体" w:hAnsi="宋体" w:eastAsia="宋体" w:cs="宋体"/>
          <w:color w:val="auto"/>
          <w:lang w:val="en-US" w:eastAsia="zh-CN"/>
        </w:rPr>
        <w:t>；</w:t>
      </w:r>
    </w:p>
    <w:p w14:paraId="72BA9430">
      <w:pPr>
        <w:numPr>
          <w:ilvl w:val="0"/>
          <w:numId w:val="2"/>
        </w:numPr>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重复用直肠电极，</w:t>
      </w:r>
      <w:r>
        <w:rPr>
          <w:rFonts w:hint="eastAsia" w:ascii="宋体" w:hAnsi="宋体" w:eastAsia="宋体" w:cs="宋体"/>
          <w:color w:val="FF0000"/>
          <w:lang w:val="en-US" w:eastAsia="zh-CN"/>
        </w:rPr>
        <w:t>限价300元/个</w:t>
      </w:r>
      <w:r>
        <w:rPr>
          <w:rFonts w:hint="eastAsia" w:ascii="宋体" w:hAnsi="宋体" w:eastAsia="宋体" w:cs="宋体"/>
          <w:color w:val="auto"/>
          <w:lang w:val="en-US" w:eastAsia="zh-CN"/>
        </w:rPr>
        <w:t>；</w:t>
      </w:r>
      <w:bookmarkStart w:id="0" w:name="_GoBack"/>
      <w:bookmarkEnd w:id="0"/>
    </w:p>
    <w:p w14:paraId="70555F51">
      <w:pPr>
        <w:numPr>
          <w:ilvl w:val="0"/>
          <w:numId w:val="2"/>
        </w:numPr>
        <w:ind w:leftChars="0"/>
      </w:pPr>
      <w:r>
        <w:rPr>
          <w:rFonts w:hint="eastAsia" w:ascii="宋体" w:hAnsi="宋体" w:eastAsia="宋体" w:cs="宋体"/>
          <w:color w:val="auto"/>
          <w:lang w:val="en-US" w:eastAsia="zh-CN"/>
        </w:rPr>
        <w:t>理疗用体表电极，</w:t>
      </w:r>
      <w:r>
        <w:rPr>
          <w:rFonts w:hint="eastAsia" w:ascii="宋体" w:hAnsi="宋体" w:eastAsia="宋体" w:cs="宋体"/>
          <w:color w:val="FF0000"/>
          <w:lang w:val="en-US" w:eastAsia="zh-CN"/>
        </w:rPr>
        <w:t>限价40元/个</w:t>
      </w:r>
      <w:r>
        <w:rPr>
          <w:rFonts w:hint="eastAsia" w:ascii="宋体" w:hAnsi="宋体" w:eastAsia="宋体" w:cs="宋体"/>
          <w:color w:val="auto"/>
          <w:lang w:val="en-US" w:eastAsia="zh-CN"/>
        </w:rPr>
        <w:t>。</w:t>
      </w:r>
    </w:p>
    <w:p w14:paraId="2FDC88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8C8B"/>
    <w:multiLevelType w:val="singleLevel"/>
    <w:tmpl w:val="A0A68C8B"/>
    <w:lvl w:ilvl="0" w:tentative="0">
      <w:start w:val="1"/>
      <w:numFmt w:val="chineseCounting"/>
      <w:suff w:val="nothing"/>
      <w:lvlText w:val="%1、"/>
      <w:lvlJc w:val="left"/>
      <w:rPr>
        <w:rFonts w:hint="eastAsia"/>
      </w:rPr>
    </w:lvl>
  </w:abstractNum>
  <w:abstractNum w:abstractNumId="1">
    <w:nsid w:val="1B9A97BC"/>
    <w:multiLevelType w:val="singleLevel"/>
    <w:tmpl w:val="1B9A97B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F6A6F"/>
    <w:rsid w:val="0A5F6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2025-10-21T02:28:00Z</dcterms:created>
  <dc:creator>茜茜 ✨</dc:creator>
  <cp:lastModifiedBy>茜茜 ✨</cp:lastModifiedBy>
  <dcterms:modified xsi:type="dcterms:W3CDTF">2025-10-21T02:40:49Z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345BF852FD46490F92020577314C2493_11</vt:lpwstr>
  </property>
  <property fmtid="{D5CDD505-2E9C-101B-9397-08002B2CF9AE}" pid="4" name="KSOTemplateDocerSaveRecord">
    <vt:lpwstr>eyJoZGlkIjoiMGNjYmY0NDQ3OWE4YmY2NzJlYTA4MDM0NjNhNzdkMzYiLCJ1c2VySWQiOiI1Mzc0MjMyMDUifQ==</vt:lpwstr>
  </property>
</Properties>
</file>