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30分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15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w:t>
            </w:r>
            <w:bookmarkStart w:id="15" w:name="_GoBack"/>
            <w:bookmarkEnd w:id="15"/>
            <w:r>
              <w:rPr>
                <w:rFonts w:hint="eastAsia" w:ascii="宋体" w:hAnsi="宋体" w:eastAsia="宋体" w:cs="宋体"/>
                <w:color w:val="000000" w:themeColor="text1"/>
                <w:sz w:val="24"/>
                <w:szCs w:val="24"/>
                <w14:textFill>
                  <w14:solidFill>
                    <w14:schemeClr w14:val="tx1"/>
                  </w14:solidFill>
                </w14:textFill>
              </w:rPr>
              <w:t>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5"/>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997946"/>
      <w:bookmarkStart w:id="3" w:name="_Toc201401658"/>
      <w:bookmarkStart w:id="4" w:name="_Toc201742861"/>
      <w:bookmarkStart w:id="5" w:name="_Toc201743116"/>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0"/>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1"/>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eastAsia" w:ascii="宋体" w:hAnsi="宋体" w:cs="宋体"/>
                      <w:sz w:val="24"/>
                      <w:szCs w:val="24"/>
                    </w:rPr>
                    <w:t>裁条机</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ind w:firstLine="420" w:firstLineChars="200"/>
              <w:jc w:val="both"/>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w:t>
            </w:r>
          </w:p>
        </w:tc>
        <w:tc>
          <w:tcPr>
            <w:tcW w:w="6648" w:type="dxa"/>
            <w:tcBorders>
              <w:top w:val="single" w:color="auto" w:sz="6" w:space="0"/>
              <w:left w:val="single" w:color="auto" w:sz="6" w:space="0"/>
              <w:bottom w:val="nil"/>
              <w:right w:val="nil"/>
            </w:tcBorders>
            <w:shd w:val="clear"/>
            <w:noWrap w:val="0"/>
            <w:vAlign w:val="center"/>
          </w:tcPr>
          <w:p w14:paraId="71F8D0E9">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斩切精度</w:t>
            </w:r>
            <w:r>
              <w:rPr>
                <w:rFonts w:hint="eastAsia"/>
                <w:sz w:val="21"/>
                <w:szCs w:val="21"/>
              </w:rPr>
              <w:t>≤</w:t>
            </w:r>
            <w:r>
              <w:rPr>
                <w:sz w:val="21"/>
                <w:szCs w:val="21"/>
              </w:rPr>
              <w:t>±</w:t>
            </w:r>
            <w:r>
              <w:rPr>
                <w:rFonts w:hint="eastAsia"/>
                <w:sz w:val="21"/>
                <w:szCs w:val="21"/>
              </w:rPr>
              <w:t>0.1mm</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宋体" w:hAnsi="宋体" w:cs="宋体"/>
                <w:kern w:val="0"/>
                <w:sz w:val="24"/>
                <w:szCs w:val="24"/>
                <w:lang w:val="en-US" w:eastAsia="zh-CN"/>
              </w:rPr>
              <w:t>2</w:t>
            </w:r>
          </w:p>
        </w:tc>
        <w:tc>
          <w:tcPr>
            <w:tcW w:w="6648" w:type="dxa"/>
            <w:tcBorders>
              <w:top w:val="single" w:color="auto" w:sz="6" w:space="0"/>
              <w:left w:val="single" w:color="auto" w:sz="6" w:space="0"/>
              <w:bottom w:val="nil"/>
              <w:right w:val="nil"/>
            </w:tcBorders>
            <w:shd w:val="clear"/>
            <w:noWrap w:val="0"/>
            <w:vAlign w:val="center"/>
          </w:tcPr>
          <w:p w14:paraId="5E2FCD12">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待切物料宽度≥</w:t>
            </w:r>
            <w:r>
              <w:rPr>
                <w:rFonts w:hint="eastAsia"/>
                <w:sz w:val="21"/>
                <w:szCs w:val="21"/>
              </w:rPr>
              <w:t>310mm</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15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6648" w:type="dxa"/>
            <w:tcBorders>
              <w:top w:val="single" w:color="auto" w:sz="6" w:space="0"/>
              <w:left w:val="single" w:color="auto" w:sz="6" w:space="0"/>
              <w:bottom w:val="nil"/>
              <w:right w:val="nil"/>
            </w:tcBorders>
            <w:shd w:val="clear"/>
            <w:noWrap w:val="0"/>
            <w:vAlign w:val="center"/>
          </w:tcPr>
          <w:p w14:paraId="748E7C82">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切条宽度包含</w:t>
            </w:r>
            <w:r>
              <w:rPr>
                <w:rFonts w:hint="eastAsia"/>
                <w:sz w:val="21"/>
                <w:szCs w:val="21"/>
              </w:rPr>
              <w:t>5-20mm</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4</w:t>
            </w:r>
          </w:p>
        </w:tc>
        <w:tc>
          <w:tcPr>
            <w:tcW w:w="6648" w:type="dxa"/>
            <w:tcBorders>
              <w:top w:val="single" w:color="auto" w:sz="6" w:space="0"/>
              <w:left w:val="single" w:color="auto" w:sz="6" w:space="0"/>
              <w:bottom w:val="nil"/>
              <w:right w:val="nil"/>
            </w:tcBorders>
            <w:shd w:val="clear"/>
            <w:noWrap w:val="0"/>
            <w:vAlign w:val="center"/>
          </w:tcPr>
          <w:p w14:paraId="78A2EC55">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切条速度≥</w:t>
            </w:r>
            <w:r>
              <w:rPr>
                <w:rFonts w:hint="eastAsia"/>
                <w:sz w:val="21"/>
                <w:szCs w:val="21"/>
              </w:rPr>
              <w:t>50次/分钟</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648" w:type="dxa"/>
            <w:tcBorders>
              <w:top w:val="single" w:color="auto" w:sz="6" w:space="0"/>
              <w:left w:val="single" w:color="auto" w:sz="6" w:space="0"/>
              <w:bottom w:val="nil"/>
              <w:right w:val="nil"/>
            </w:tcBorders>
            <w:shd w:val="clear"/>
            <w:noWrap w:val="0"/>
            <w:vAlign w:val="center"/>
          </w:tcPr>
          <w:p w14:paraId="31069815">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最小残留量≤</w:t>
            </w:r>
            <w:r>
              <w:rPr>
                <w:rFonts w:hint="eastAsia"/>
                <w:sz w:val="21"/>
                <w:szCs w:val="21"/>
              </w:rPr>
              <w:t>20mm</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648" w:type="dxa"/>
            <w:tcBorders>
              <w:top w:val="single" w:color="auto" w:sz="6" w:space="0"/>
              <w:left w:val="single" w:color="auto" w:sz="6" w:space="0"/>
              <w:bottom w:val="nil"/>
              <w:right w:val="nil"/>
            </w:tcBorders>
            <w:shd w:val="clear" w:color="auto" w:fill="auto"/>
            <w:noWrap w:val="0"/>
            <w:vAlign w:val="center"/>
          </w:tcPr>
          <w:p w14:paraId="14D66A74">
            <w:pPr>
              <w:spacing w:line="360" w:lineRule="exact"/>
              <w:jc w:val="center"/>
              <w:rPr>
                <w:rFonts w:hint="eastAsia" w:ascii="Times New Roman" w:hAnsi="Times New Roman" w:eastAsia="宋体" w:cs="Times New Roman"/>
                <w:kern w:val="2"/>
                <w:sz w:val="21"/>
                <w:szCs w:val="21"/>
                <w:lang w:val="en-US" w:eastAsia="zh-CN" w:bidi="ar-SA"/>
              </w:rPr>
            </w:pP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648"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center"/>
              <w:rPr>
                <w:rFonts w:hint="eastAsia" w:ascii="宋体" w:hAnsi="宋体" w:eastAsia="宋体" w:cs="宋体"/>
                <w:kern w:val="0"/>
                <w:sz w:val="21"/>
                <w:szCs w:val="21"/>
                <w:lang w:val="en-US" w:eastAsia="zh-CN" w:bidi="ar-SA"/>
              </w:rPr>
            </w:pP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648" w:type="dxa"/>
            <w:tcBorders>
              <w:top w:val="single" w:color="auto" w:sz="6" w:space="0"/>
              <w:left w:val="single" w:color="auto" w:sz="6" w:space="0"/>
              <w:bottom w:val="nil"/>
              <w:right w:val="nil"/>
            </w:tcBorders>
            <w:noWrap w:val="0"/>
            <w:vAlign w:val="center"/>
          </w:tcPr>
          <w:p w14:paraId="7B923E82">
            <w:pPr>
              <w:keepNext w:val="0"/>
              <w:keepLines w:val="0"/>
              <w:widowControl/>
              <w:suppressLineNumbers w:val="0"/>
              <w:jc w:val="left"/>
              <w:textAlignment w:val="center"/>
              <w:rPr>
                <w:rFonts w:hint="eastAsia" w:ascii="宋体" w:hAnsi="宋体" w:cs="宋体"/>
                <w:color w:val="auto"/>
                <w:kern w:val="0"/>
                <w:szCs w:val="21"/>
              </w:rPr>
            </w:pP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648" w:type="dxa"/>
            <w:tcBorders>
              <w:top w:val="single" w:color="auto" w:sz="6" w:space="0"/>
              <w:left w:val="single" w:color="auto" w:sz="6" w:space="0"/>
              <w:bottom w:val="nil"/>
              <w:right w:val="nil"/>
            </w:tcBorders>
            <w:noWrap w:val="0"/>
            <w:vAlign w:val="center"/>
          </w:tcPr>
          <w:p w14:paraId="737382B7">
            <w:pPr>
              <w:keepNext w:val="0"/>
              <w:keepLines w:val="0"/>
              <w:widowControl/>
              <w:suppressLineNumbers w:val="0"/>
              <w:jc w:val="left"/>
              <w:textAlignment w:val="center"/>
              <w:rPr>
                <w:rFonts w:hint="eastAsia" w:ascii="宋体" w:hAnsi="宋体" w:cs="宋体"/>
                <w:color w:val="auto"/>
                <w:kern w:val="0"/>
                <w:szCs w:val="21"/>
              </w:rPr>
            </w:pP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30天内中标方向采购方付货款5%质保金，采购方收到质保金后再由财政部门支付100%货款给中标方。质保金在设备验收合格后正常运转一年并无故障的情况下由采购方退还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1301FFB9">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5"/>
        <w:spacing w:line="300" w:lineRule="auto"/>
        <w:jc w:val="center"/>
        <w:rPr>
          <w:rFonts w:asciiTheme="minorEastAsia" w:hAnsiTheme="minorEastAsia" w:eastAsiaTheme="minorEastAsia"/>
          <w:szCs w:val="24"/>
        </w:rPr>
      </w:pPr>
      <w:bookmarkStart w:id="12" w:name="_Toc201743194"/>
      <w:bookmarkStart w:id="13" w:name="_Toc201998022"/>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5"/>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62C03D63">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15:20Z" w:initials="">
    <w:p w14:paraId="24BB3E28">
      <w:pPr>
        <w:pStyle w:val="6"/>
        <w:rPr>
          <w:rFonts w:hint="default" w:eastAsia="宋体"/>
          <w:lang w:val="en-US" w:eastAsia="zh-CN"/>
        </w:rPr>
      </w:pPr>
      <w:r>
        <w:rPr>
          <w:rFonts w:hint="eastAsia"/>
          <w:lang w:val="en-US" w:eastAsia="zh-CN"/>
        </w:rPr>
        <w:t>一般情况下精确到市，涉及多个工厂来源广泛的可到省</w:t>
      </w:r>
    </w:p>
  </w:comment>
  <w:comment w:id="1" w:author="罗睿田" w:date="2025-10-16T16:22:14Z" w:initials="">
    <w:p w14:paraId="64A7D370">
      <w:pPr>
        <w:pStyle w:val="6"/>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AC00B9"/>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583C94"/>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E8035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14562A"/>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0A4405"/>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3E1546"/>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455E44"/>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hAnsi="宋体"/>
      <w:color w:val="FF0000"/>
      <w:szCs w:val="24"/>
    </w:rPr>
  </w:style>
  <w:style w:type="paragraph" w:styleId="6">
    <w:name w:val="annotation text"/>
    <w:basedOn w:val="1"/>
    <w:autoRedefine/>
    <w:unhideWhenUsed/>
    <w:qFormat/>
    <w:uiPriority w:val="99"/>
    <w:pPr>
      <w:jc w:val="left"/>
    </w:p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4"/>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3"/>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3871</Words>
  <Characters>3905</Characters>
  <Lines>48</Lines>
  <Paragraphs>13</Paragraphs>
  <TotalTime>2</TotalTime>
  <ScaleCrop>false</ScaleCrop>
  <LinksUpToDate>false</LinksUpToDate>
  <CharactersWithSpaces>4641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2017-09-05T08:05:00Z</cp:lastPrinted>
  <dcterms:modified xsi:type="dcterms:W3CDTF">2025-10-17T08:35:44Z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9E767FC79C844BABAF6C412B26E7F1F0_13</vt:lpwstr>
  </property>
  <property fmtid="{D5CDD505-2E9C-101B-9397-08002B2CF9AE}" pid="4" name="KSOTemplateDocerSaveRecord">
    <vt:lpwstr>eyJoZGlkIjoiZjhmNTA2ZThhM2M4MDU3NGRjNWE2NDRkZTc3Yjc1NDUiLCJ1c2VySWQiOiIzNTM4NDc5NTUifQ==</vt:lpwstr>
  </property>
</Properties>
</file>