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eastAsia="宋体"/>
                <w:color w:val="000000" w:themeColor="text1"/>
                <w:sz w:val="24"/>
                <w:szCs w:val="24"/>
                <w:lang w:val="en-US" w:eastAsia="zh-CN"/>
                <w14:textFill>
                  <w14:solidFill>
                    <w14:schemeClr w14:val="tx1"/>
                  </w14:solidFill>
                </w14:textFill>
              </w:rPr>
              <w:t>10分  专机专用耗材/试剂20</w:t>
            </w:r>
            <w:r>
              <w:rPr>
                <w:rFonts w:hint="eastAsia" w:ascii="宋体" w:hAnsi="宋体" w:eastAsia="宋体"/>
                <w:color w:val="FF0000"/>
                <w:sz w:val="24"/>
                <w:szCs w:val="24"/>
                <w:lang w:val="en-US" w:eastAsia="zh-CN"/>
              </w:rPr>
              <w:t xml:space="preserve"> </w:t>
            </w:r>
            <w:r>
              <w:rPr>
                <w:rFonts w:hint="eastAsia" w:ascii="宋体" w:hAnsi="宋体" w:eastAsia="宋体"/>
                <w:sz w:val="24"/>
                <w:szCs w:val="24"/>
                <w:lang w:val="en-US" w:eastAsia="zh-CN"/>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分，其他参数每负偏离一项扣2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7DAA64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在投标文件中详细说明保障措施（包括技术团队和技术方案、所投产品在同类产品中性能水平及应用程度等），评审委员会根据响应情况进行横向比较，按优3分，良2分，中1分，差0分打分。</w:t>
            </w:r>
          </w:p>
          <w:p w14:paraId="4449EDC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优：技术团队和技术方案完善、所投产品在同类产品中性能水平高及应用程度高。</w:t>
            </w:r>
          </w:p>
          <w:p w14:paraId="14B789C4">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良：技术团队和技术方案较完善、所投产品在同类产品中性能水平较高及应用程度较高。</w:t>
            </w:r>
          </w:p>
          <w:p w14:paraId="76B8993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中：技术团队和技术方案基本完善、所投产品在同类产品中性能水平普通及应用程度普通。</w:t>
            </w:r>
          </w:p>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差：不能满足基本要求及未提供详细说明。</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bookmarkStart w:id="15" w:name="_GoBack"/>
      <w:bookmarkEnd w:id="15"/>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401658"/>
      <w:bookmarkStart w:id="3" w:name="_Toc201997946"/>
      <w:bookmarkStart w:id="4" w:name="_Toc201743116"/>
      <w:bookmarkStart w:id="5" w:name="_Toc201742861"/>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19EF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62A9D9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0D662DA5">
            <w:pPr>
              <w:jc w:val="left"/>
              <w:rPr>
                <w:rFonts w:asciiTheme="minorEastAsia" w:hAnsiTheme="minorEastAsia" w:eastAsiaTheme="minorEastAsia"/>
                <w:sz w:val="24"/>
                <w:szCs w:val="24"/>
              </w:rPr>
            </w:pPr>
          </w:p>
        </w:tc>
        <w:tc>
          <w:tcPr>
            <w:tcW w:w="1419" w:type="dxa"/>
            <w:vAlign w:val="center"/>
          </w:tcPr>
          <w:p w14:paraId="1F36C8B0">
            <w:pPr>
              <w:jc w:val="center"/>
              <w:rPr>
                <w:rFonts w:asciiTheme="minorEastAsia" w:hAnsiTheme="minorEastAsia" w:eastAsiaTheme="minorEastAsia"/>
                <w:sz w:val="24"/>
                <w:szCs w:val="24"/>
              </w:rPr>
            </w:pPr>
          </w:p>
        </w:tc>
        <w:tc>
          <w:tcPr>
            <w:tcW w:w="990" w:type="dxa"/>
            <w:vAlign w:val="center"/>
          </w:tcPr>
          <w:p w14:paraId="6CBE2E50">
            <w:pPr>
              <w:jc w:val="center"/>
              <w:rPr>
                <w:rFonts w:asciiTheme="minorEastAsia" w:hAnsiTheme="minorEastAsia" w:eastAsiaTheme="minorEastAsia"/>
                <w:sz w:val="24"/>
                <w:szCs w:val="24"/>
              </w:rPr>
            </w:pPr>
          </w:p>
        </w:tc>
        <w:tc>
          <w:tcPr>
            <w:tcW w:w="705" w:type="dxa"/>
            <w:vAlign w:val="center"/>
          </w:tcPr>
          <w:p w14:paraId="30D23E1E">
            <w:pPr>
              <w:jc w:val="center"/>
              <w:rPr>
                <w:rFonts w:asciiTheme="minorEastAsia" w:hAnsiTheme="minorEastAsia" w:eastAsiaTheme="minorEastAsia"/>
                <w:sz w:val="24"/>
                <w:szCs w:val="24"/>
              </w:rPr>
            </w:pPr>
          </w:p>
        </w:tc>
        <w:tc>
          <w:tcPr>
            <w:tcW w:w="852" w:type="dxa"/>
            <w:vAlign w:val="center"/>
          </w:tcPr>
          <w:p w14:paraId="6797659E">
            <w:pPr>
              <w:jc w:val="center"/>
              <w:rPr>
                <w:rFonts w:asciiTheme="minorEastAsia" w:hAnsiTheme="minorEastAsia" w:eastAsiaTheme="minorEastAsia"/>
                <w:sz w:val="24"/>
                <w:szCs w:val="24"/>
              </w:rPr>
            </w:pPr>
          </w:p>
        </w:tc>
        <w:tc>
          <w:tcPr>
            <w:tcW w:w="711" w:type="dxa"/>
            <w:vAlign w:val="center"/>
          </w:tcPr>
          <w:p w14:paraId="4C2CB7A1">
            <w:pPr>
              <w:jc w:val="center"/>
              <w:rPr>
                <w:rFonts w:asciiTheme="minorEastAsia" w:hAnsiTheme="minorEastAsia" w:eastAsiaTheme="minorEastAsia"/>
                <w:sz w:val="24"/>
                <w:szCs w:val="24"/>
              </w:rPr>
            </w:pPr>
          </w:p>
        </w:tc>
        <w:tc>
          <w:tcPr>
            <w:tcW w:w="808" w:type="dxa"/>
            <w:vAlign w:val="center"/>
          </w:tcPr>
          <w:p w14:paraId="2DCAD091">
            <w:pPr>
              <w:jc w:val="center"/>
              <w:rPr>
                <w:rFonts w:asciiTheme="minorEastAsia" w:hAnsiTheme="minorEastAsia" w:eastAsiaTheme="minorEastAsia"/>
                <w:sz w:val="24"/>
                <w:szCs w:val="24"/>
              </w:rPr>
            </w:pPr>
          </w:p>
        </w:tc>
        <w:tc>
          <w:tcPr>
            <w:tcW w:w="1395" w:type="dxa"/>
            <w:vAlign w:val="center"/>
          </w:tcPr>
          <w:p w14:paraId="0A96C664">
            <w:pPr>
              <w:jc w:val="center"/>
              <w:rPr>
                <w:rFonts w:asciiTheme="minorEastAsia" w:hAnsiTheme="minorEastAsia" w:eastAsiaTheme="minorEastAsia"/>
                <w:sz w:val="24"/>
                <w:szCs w:val="24"/>
              </w:rPr>
            </w:pPr>
          </w:p>
        </w:tc>
      </w:tr>
      <w:tr w14:paraId="77706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B0CC05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21E1B803">
            <w:pPr>
              <w:jc w:val="left"/>
              <w:rPr>
                <w:rFonts w:asciiTheme="minorEastAsia" w:hAnsiTheme="minorEastAsia" w:eastAsiaTheme="minorEastAsia"/>
                <w:sz w:val="24"/>
                <w:szCs w:val="24"/>
              </w:rPr>
            </w:pPr>
          </w:p>
        </w:tc>
        <w:tc>
          <w:tcPr>
            <w:tcW w:w="1419" w:type="dxa"/>
            <w:vAlign w:val="center"/>
          </w:tcPr>
          <w:p w14:paraId="3C3BE95F">
            <w:pPr>
              <w:jc w:val="center"/>
              <w:rPr>
                <w:rFonts w:asciiTheme="minorEastAsia" w:hAnsiTheme="minorEastAsia" w:eastAsiaTheme="minorEastAsia"/>
                <w:sz w:val="24"/>
                <w:szCs w:val="24"/>
              </w:rPr>
            </w:pPr>
          </w:p>
        </w:tc>
        <w:tc>
          <w:tcPr>
            <w:tcW w:w="990" w:type="dxa"/>
            <w:vAlign w:val="center"/>
          </w:tcPr>
          <w:p w14:paraId="2DE9EFFF">
            <w:pPr>
              <w:jc w:val="center"/>
              <w:rPr>
                <w:rFonts w:asciiTheme="minorEastAsia" w:hAnsiTheme="minorEastAsia" w:eastAsiaTheme="minorEastAsia"/>
                <w:sz w:val="24"/>
                <w:szCs w:val="24"/>
              </w:rPr>
            </w:pPr>
          </w:p>
        </w:tc>
        <w:tc>
          <w:tcPr>
            <w:tcW w:w="705" w:type="dxa"/>
            <w:vAlign w:val="center"/>
          </w:tcPr>
          <w:p w14:paraId="2559A8E7">
            <w:pPr>
              <w:jc w:val="center"/>
              <w:rPr>
                <w:rFonts w:asciiTheme="minorEastAsia" w:hAnsiTheme="minorEastAsia" w:eastAsiaTheme="minorEastAsia"/>
                <w:sz w:val="24"/>
                <w:szCs w:val="24"/>
              </w:rPr>
            </w:pPr>
          </w:p>
        </w:tc>
        <w:tc>
          <w:tcPr>
            <w:tcW w:w="852" w:type="dxa"/>
            <w:vAlign w:val="center"/>
          </w:tcPr>
          <w:p w14:paraId="7765D86A">
            <w:pPr>
              <w:jc w:val="center"/>
              <w:rPr>
                <w:rFonts w:asciiTheme="minorEastAsia" w:hAnsiTheme="minorEastAsia" w:eastAsiaTheme="minorEastAsia"/>
                <w:sz w:val="24"/>
                <w:szCs w:val="24"/>
              </w:rPr>
            </w:pPr>
          </w:p>
        </w:tc>
        <w:tc>
          <w:tcPr>
            <w:tcW w:w="711" w:type="dxa"/>
            <w:vAlign w:val="center"/>
          </w:tcPr>
          <w:p w14:paraId="38D8E73C">
            <w:pPr>
              <w:jc w:val="center"/>
              <w:rPr>
                <w:rFonts w:asciiTheme="minorEastAsia" w:hAnsiTheme="minorEastAsia" w:eastAsiaTheme="minorEastAsia"/>
                <w:sz w:val="24"/>
                <w:szCs w:val="24"/>
              </w:rPr>
            </w:pPr>
          </w:p>
        </w:tc>
        <w:tc>
          <w:tcPr>
            <w:tcW w:w="808" w:type="dxa"/>
            <w:vAlign w:val="center"/>
          </w:tcPr>
          <w:p w14:paraId="08D66C5E">
            <w:pPr>
              <w:jc w:val="center"/>
              <w:rPr>
                <w:rFonts w:asciiTheme="minorEastAsia" w:hAnsiTheme="minorEastAsia" w:eastAsiaTheme="minorEastAsia"/>
                <w:sz w:val="24"/>
                <w:szCs w:val="24"/>
              </w:rPr>
            </w:pPr>
          </w:p>
        </w:tc>
        <w:tc>
          <w:tcPr>
            <w:tcW w:w="1395" w:type="dxa"/>
            <w:vAlign w:val="center"/>
          </w:tcPr>
          <w:p w14:paraId="66916206">
            <w:pPr>
              <w:jc w:val="center"/>
              <w:rPr>
                <w:rFonts w:asciiTheme="minorEastAsia" w:hAnsiTheme="minorEastAsia" w:eastAsiaTheme="minorEastAsia"/>
                <w:sz w:val="24"/>
                <w:szCs w:val="24"/>
              </w:rPr>
            </w:pPr>
          </w:p>
        </w:tc>
      </w:tr>
      <w:tr w14:paraId="7AB31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5B80DA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02277E3A">
            <w:pPr>
              <w:jc w:val="left"/>
              <w:rPr>
                <w:rFonts w:asciiTheme="minorEastAsia" w:hAnsiTheme="minorEastAsia" w:eastAsiaTheme="minorEastAsia"/>
                <w:sz w:val="24"/>
                <w:szCs w:val="24"/>
              </w:rPr>
            </w:pPr>
          </w:p>
        </w:tc>
        <w:tc>
          <w:tcPr>
            <w:tcW w:w="1419" w:type="dxa"/>
            <w:vAlign w:val="center"/>
          </w:tcPr>
          <w:p w14:paraId="5787DDCC">
            <w:pPr>
              <w:jc w:val="center"/>
              <w:rPr>
                <w:rFonts w:asciiTheme="minorEastAsia" w:hAnsiTheme="minorEastAsia" w:eastAsiaTheme="minorEastAsia"/>
                <w:sz w:val="24"/>
                <w:szCs w:val="24"/>
              </w:rPr>
            </w:pPr>
          </w:p>
        </w:tc>
        <w:tc>
          <w:tcPr>
            <w:tcW w:w="990" w:type="dxa"/>
            <w:vAlign w:val="center"/>
          </w:tcPr>
          <w:p w14:paraId="7DB98AD0">
            <w:pPr>
              <w:jc w:val="center"/>
              <w:rPr>
                <w:rFonts w:asciiTheme="minorEastAsia" w:hAnsiTheme="minorEastAsia" w:eastAsiaTheme="minorEastAsia"/>
                <w:sz w:val="24"/>
                <w:szCs w:val="24"/>
              </w:rPr>
            </w:pPr>
          </w:p>
        </w:tc>
        <w:tc>
          <w:tcPr>
            <w:tcW w:w="705" w:type="dxa"/>
            <w:vAlign w:val="center"/>
          </w:tcPr>
          <w:p w14:paraId="760E6640">
            <w:pPr>
              <w:jc w:val="center"/>
              <w:rPr>
                <w:rFonts w:asciiTheme="minorEastAsia" w:hAnsiTheme="minorEastAsia" w:eastAsiaTheme="minorEastAsia"/>
                <w:sz w:val="24"/>
                <w:szCs w:val="24"/>
              </w:rPr>
            </w:pPr>
          </w:p>
        </w:tc>
        <w:tc>
          <w:tcPr>
            <w:tcW w:w="852" w:type="dxa"/>
            <w:vAlign w:val="center"/>
          </w:tcPr>
          <w:p w14:paraId="5F106D63">
            <w:pPr>
              <w:jc w:val="center"/>
              <w:rPr>
                <w:rFonts w:asciiTheme="minorEastAsia" w:hAnsiTheme="minorEastAsia" w:eastAsiaTheme="minorEastAsia"/>
                <w:sz w:val="24"/>
                <w:szCs w:val="24"/>
              </w:rPr>
            </w:pPr>
          </w:p>
        </w:tc>
        <w:tc>
          <w:tcPr>
            <w:tcW w:w="711" w:type="dxa"/>
            <w:vAlign w:val="center"/>
          </w:tcPr>
          <w:p w14:paraId="460994BB">
            <w:pPr>
              <w:jc w:val="center"/>
              <w:rPr>
                <w:rFonts w:asciiTheme="minorEastAsia" w:hAnsiTheme="minorEastAsia" w:eastAsiaTheme="minorEastAsia"/>
                <w:sz w:val="24"/>
                <w:szCs w:val="24"/>
              </w:rPr>
            </w:pPr>
          </w:p>
        </w:tc>
        <w:tc>
          <w:tcPr>
            <w:tcW w:w="808" w:type="dxa"/>
            <w:vAlign w:val="center"/>
          </w:tcPr>
          <w:p w14:paraId="0E3722AE">
            <w:pPr>
              <w:jc w:val="center"/>
              <w:rPr>
                <w:rFonts w:asciiTheme="minorEastAsia" w:hAnsiTheme="minorEastAsia" w:eastAsiaTheme="minorEastAsia"/>
                <w:sz w:val="24"/>
                <w:szCs w:val="24"/>
              </w:rPr>
            </w:pPr>
          </w:p>
        </w:tc>
        <w:tc>
          <w:tcPr>
            <w:tcW w:w="1395" w:type="dxa"/>
            <w:vAlign w:val="center"/>
          </w:tcPr>
          <w:p w14:paraId="03C29B77">
            <w:pPr>
              <w:jc w:val="center"/>
              <w:rPr>
                <w:rFonts w:asciiTheme="minorEastAsia" w:hAnsiTheme="minorEastAsia" w:eastAsiaTheme="minorEastAsia"/>
                <w:sz w:val="24"/>
                <w:szCs w:val="24"/>
              </w:rPr>
            </w:pPr>
          </w:p>
        </w:tc>
      </w:tr>
      <w:tr w14:paraId="4C9B0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E32DCFE">
            <w:pPr>
              <w:jc w:val="center"/>
              <w:rPr>
                <w:rFonts w:asciiTheme="minorEastAsia" w:hAnsiTheme="minorEastAsia" w:eastAsiaTheme="minorEastAsia"/>
                <w:sz w:val="24"/>
                <w:szCs w:val="24"/>
              </w:rPr>
            </w:pPr>
          </w:p>
        </w:tc>
        <w:tc>
          <w:tcPr>
            <w:tcW w:w="2236" w:type="dxa"/>
            <w:vAlign w:val="center"/>
          </w:tcPr>
          <w:p w14:paraId="0E834444">
            <w:pPr>
              <w:jc w:val="left"/>
              <w:rPr>
                <w:rFonts w:asciiTheme="minorEastAsia" w:hAnsiTheme="minorEastAsia" w:eastAsiaTheme="minorEastAsia"/>
                <w:sz w:val="24"/>
                <w:szCs w:val="24"/>
              </w:rPr>
            </w:pPr>
          </w:p>
        </w:tc>
        <w:tc>
          <w:tcPr>
            <w:tcW w:w="1419" w:type="dxa"/>
            <w:vAlign w:val="center"/>
          </w:tcPr>
          <w:p w14:paraId="22AF61BD">
            <w:pPr>
              <w:jc w:val="center"/>
              <w:rPr>
                <w:rFonts w:asciiTheme="minorEastAsia" w:hAnsiTheme="minorEastAsia" w:eastAsiaTheme="minorEastAsia"/>
                <w:sz w:val="24"/>
                <w:szCs w:val="24"/>
              </w:rPr>
            </w:pPr>
          </w:p>
        </w:tc>
        <w:tc>
          <w:tcPr>
            <w:tcW w:w="990" w:type="dxa"/>
            <w:vAlign w:val="center"/>
          </w:tcPr>
          <w:p w14:paraId="5469FA7A">
            <w:pPr>
              <w:jc w:val="center"/>
              <w:rPr>
                <w:rFonts w:asciiTheme="minorEastAsia" w:hAnsiTheme="minorEastAsia" w:eastAsiaTheme="minorEastAsia"/>
                <w:sz w:val="24"/>
                <w:szCs w:val="24"/>
              </w:rPr>
            </w:pPr>
          </w:p>
        </w:tc>
        <w:tc>
          <w:tcPr>
            <w:tcW w:w="705" w:type="dxa"/>
            <w:vAlign w:val="center"/>
          </w:tcPr>
          <w:p w14:paraId="1C08893B">
            <w:pPr>
              <w:jc w:val="center"/>
              <w:rPr>
                <w:rFonts w:asciiTheme="minorEastAsia" w:hAnsiTheme="minorEastAsia" w:eastAsiaTheme="minorEastAsia"/>
                <w:sz w:val="24"/>
                <w:szCs w:val="24"/>
              </w:rPr>
            </w:pPr>
          </w:p>
        </w:tc>
        <w:tc>
          <w:tcPr>
            <w:tcW w:w="852" w:type="dxa"/>
            <w:vAlign w:val="center"/>
          </w:tcPr>
          <w:p w14:paraId="757EC15F">
            <w:pPr>
              <w:jc w:val="center"/>
              <w:rPr>
                <w:rFonts w:asciiTheme="minorEastAsia" w:hAnsiTheme="minorEastAsia" w:eastAsiaTheme="minorEastAsia"/>
                <w:sz w:val="24"/>
                <w:szCs w:val="24"/>
              </w:rPr>
            </w:pPr>
          </w:p>
        </w:tc>
        <w:tc>
          <w:tcPr>
            <w:tcW w:w="711" w:type="dxa"/>
            <w:vAlign w:val="center"/>
          </w:tcPr>
          <w:p w14:paraId="2DCEEA1F">
            <w:pPr>
              <w:jc w:val="center"/>
              <w:rPr>
                <w:rFonts w:asciiTheme="minorEastAsia" w:hAnsiTheme="minorEastAsia" w:eastAsiaTheme="minorEastAsia"/>
                <w:sz w:val="24"/>
                <w:szCs w:val="24"/>
              </w:rPr>
            </w:pPr>
          </w:p>
        </w:tc>
        <w:tc>
          <w:tcPr>
            <w:tcW w:w="808" w:type="dxa"/>
            <w:vAlign w:val="center"/>
          </w:tcPr>
          <w:p w14:paraId="15C4987D">
            <w:pPr>
              <w:jc w:val="center"/>
              <w:rPr>
                <w:rFonts w:asciiTheme="minorEastAsia" w:hAnsiTheme="minorEastAsia" w:eastAsiaTheme="minorEastAsia"/>
                <w:sz w:val="24"/>
                <w:szCs w:val="24"/>
              </w:rPr>
            </w:pPr>
          </w:p>
        </w:tc>
        <w:tc>
          <w:tcPr>
            <w:tcW w:w="1395" w:type="dxa"/>
            <w:vAlign w:val="center"/>
          </w:tcPr>
          <w:p w14:paraId="624698DA">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015"/>
        <w:gridCol w:w="108"/>
        <w:gridCol w:w="3317"/>
        <w:gridCol w:w="1480"/>
        <w:gridCol w:w="1851"/>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6"/>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6"/>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both"/>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核酸分子杂交仪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gridSpan w:val="2"/>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gridSpan w:val="3"/>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7D9BAF5E">
            <w:pPr>
              <w:widowControl/>
              <w:spacing w:before="100" w:beforeAutospacing="1" w:after="100" w:afterAutospacing="1"/>
              <w:ind w:firstLine="420" w:firstLineChars="200"/>
              <w:jc w:val="both"/>
              <w:rPr>
                <w:rFonts w:hint="eastAsia" w:ascii="宋体" w:hAnsi="宋体" w:cs="宋体"/>
                <w:kern w:val="0"/>
                <w:sz w:val="24"/>
                <w:szCs w:val="24"/>
                <w:lang w:val="en-US" w:eastAsia="zh-CN"/>
              </w:rPr>
            </w:pPr>
            <w:r>
              <w:rPr>
                <w:rFonts w:hint="eastAsia"/>
                <w:color w:val="FF0000"/>
                <w:lang w:val="en-US" w:eastAsia="zh-CN"/>
              </w:rPr>
              <w:t>▲</w:t>
            </w:r>
            <w:r>
              <w:rPr>
                <w:rFonts w:hint="eastAsia"/>
                <w:lang w:val="en-US" w:eastAsia="zh-CN"/>
              </w:rPr>
              <w:t>1</w:t>
            </w:r>
          </w:p>
        </w:tc>
        <w:tc>
          <w:tcPr>
            <w:tcW w:w="6648" w:type="dxa"/>
            <w:gridSpan w:val="3"/>
            <w:tcBorders>
              <w:top w:val="single" w:color="auto" w:sz="6" w:space="0"/>
              <w:left w:val="single" w:color="auto" w:sz="6" w:space="0"/>
              <w:bottom w:val="nil"/>
              <w:right w:val="nil"/>
            </w:tcBorders>
            <w:noWrap w:val="0"/>
            <w:vAlign w:val="center"/>
          </w:tcPr>
          <w:p w14:paraId="71F8D0E9">
            <w:pPr>
              <w:keepNext w:val="0"/>
              <w:keepLines w:val="0"/>
              <w:widowControl/>
              <w:suppressLineNumbers w:val="0"/>
              <w:jc w:val="left"/>
              <w:textAlignment w:val="center"/>
              <w:rPr>
                <w:rFonts w:hint="eastAsia" w:ascii="宋体" w:hAnsi="宋体" w:cs="宋体"/>
                <w:color w:val="auto"/>
                <w:kern w:val="0"/>
                <w:szCs w:val="21"/>
                <w:lang w:eastAsia="zh-CN"/>
              </w:rPr>
            </w:pPr>
            <w:r>
              <w:rPr>
                <w:rFonts w:hint="eastAsia" w:ascii="宋体" w:hAnsi="宋体" w:eastAsia="宋体" w:cs="宋体"/>
                <w:i w:val="0"/>
                <w:iCs w:val="0"/>
                <w:color w:val="000000"/>
                <w:kern w:val="0"/>
                <w:sz w:val="21"/>
                <w:szCs w:val="21"/>
                <w:u w:val="none"/>
                <w:lang w:val="en-US" w:eastAsia="zh-CN" w:bidi="ar"/>
              </w:rPr>
              <w:t>专机试剂具有医疗器械许可证</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4BD88AB9">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default" w:ascii="Times New Roman" w:hAnsi="Times New Roman" w:cs="Times New Roman"/>
                <w:color w:val="000000"/>
                <w:kern w:val="0"/>
                <w:sz w:val="24"/>
                <w:szCs w:val="24"/>
                <w:lang w:val="en-US" w:eastAsia="zh-CN"/>
              </w:rPr>
              <w:t>2</w:t>
            </w:r>
          </w:p>
        </w:tc>
        <w:tc>
          <w:tcPr>
            <w:tcW w:w="6648" w:type="dxa"/>
            <w:gridSpan w:val="3"/>
            <w:tcBorders>
              <w:top w:val="single" w:color="auto" w:sz="6" w:space="0"/>
              <w:left w:val="single" w:color="auto" w:sz="6" w:space="0"/>
              <w:bottom w:val="nil"/>
              <w:right w:val="nil"/>
            </w:tcBorders>
            <w:noWrap w:val="0"/>
            <w:vAlign w:val="center"/>
          </w:tcPr>
          <w:p w14:paraId="5E2FCD12">
            <w:pPr>
              <w:keepNext w:val="0"/>
              <w:keepLines w:val="0"/>
              <w:widowControl/>
              <w:suppressLineNumbers w:val="0"/>
              <w:jc w:val="left"/>
              <w:textAlignment w:val="center"/>
              <w:rPr>
                <w:rFonts w:hint="eastAsia" w:ascii="宋体" w:hAnsi="宋体" w:cs="宋体"/>
                <w:color w:val="auto"/>
                <w:kern w:val="0"/>
                <w:szCs w:val="21"/>
                <w:lang w:val="en-US" w:eastAsia="zh-CN"/>
              </w:rPr>
            </w:pPr>
            <w:r>
              <w:rPr>
                <w:rFonts w:hint="eastAsia" w:ascii="宋体" w:hAnsi="宋体" w:eastAsia="宋体" w:cs="宋体"/>
                <w:i w:val="0"/>
                <w:iCs w:val="0"/>
                <w:color w:val="000000"/>
                <w:kern w:val="0"/>
                <w:sz w:val="21"/>
                <w:szCs w:val="21"/>
                <w:u w:val="none"/>
                <w:lang w:val="en-US" w:eastAsia="zh-CN" w:bidi="ar"/>
              </w:rPr>
              <w:t>检测通量：≥48孔</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color w:val="000000"/>
                <w:kern w:val="0"/>
                <w:sz w:val="24"/>
                <w:szCs w:val="24"/>
                <w:lang w:val="en-US" w:eastAsia="zh-CN"/>
              </w:rPr>
              <w:t>4</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0DB596F1">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auto"/>
                <w:lang w:val="en-US" w:eastAsia="zh-CN"/>
              </w:rPr>
              <w:t>3</w:t>
            </w:r>
          </w:p>
        </w:tc>
        <w:tc>
          <w:tcPr>
            <w:tcW w:w="6648" w:type="dxa"/>
            <w:gridSpan w:val="3"/>
            <w:tcBorders>
              <w:top w:val="single" w:color="auto" w:sz="6" w:space="0"/>
              <w:left w:val="single" w:color="auto" w:sz="6" w:space="0"/>
              <w:bottom w:val="nil"/>
              <w:right w:val="nil"/>
            </w:tcBorders>
            <w:noWrap w:val="0"/>
            <w:vAlign w:val="center"/>
          </w:tcPr>
          <w:p w14:paraId="748E7C82">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检测通道：≥2通道</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1DF4C051">
            <w:pPr>
              <w:widowControl/>
              <w:spacing w:before="100" w:beforeAutospacing="1" w:after="100" w:afterAutospacing="1"/>
              <w:jc w:val="center"/>
              <w:rPr>
                <w:rFonts w:hint="eastAsia" w:ascii="宋体" w:hAnsi="宋体" w:cs="宋体"/>
                <w:kern w:val="0"/>
                <w:sz w:val="24"/>
                <w:szCs w:val="24"/>
                <w:lang w:val="en-US" w:eastAsia="zh-CN"/>
              </w:rPr>
            </w:pPr>
            <w:r>
              <w:rPr>
                <w:rFonts w:hint="default" w:ascii="Times New Roman" w:hAnsi="Times New Roman" w:cs="Times New Roman"/>
                <w:color w:val="auto"/>
                <w:lang w:val="en-US" w:eastAsia="zh-CN"/>
              </w:rPr>
              <w:t>4</w:t>
            </w:r>
          </w:p>
        </w:tc>
        <w:tc>
          <w:tcPr>
            <w:tcW w:w="6648" w:type="dxa"/>
            <w:gridSpan w:val="3"/>
            <w:tcBorders>
              <w:top w:val="single" w:color="auto" w:sz="6" w:space="0"/>
              <w:left w:val="single" w:color="auto" w:sz="6" w:space="0"/>
              <w:bottom w:val="nil"/>
              <w:right w:val="nil"/>
            </w:tcBorders>
            <w:noWrap w:val="0"/>
            <w:vAlign w:val="center"/>
          </w:tcPr>
          <w:p w14:paraId="78A2EC55">
            <w:pPr>
              <w:keepNext w:val="0"/>
              <w:keepLines w:val="0"/>
              <w:widowControl/>
              <w:suppressLineNumbers w:val="0"/>
              <w:jc w:val="left"/>
              <w:textAlignment w:val="center"/>
              <w:rPr>
                <w:rFonts w:hint="eastAsia" w:ascii="宋体" w:hAnsi="宋体" w:cs="宋体"/>
                <w:color w:val="auto"/>
                <w:kern w:val="0"/>
                <w:szCs w:val="21"/>
                <w:lang w:val="en-US" w:eastAsia="zh-CN"/>
              </w:rPr>
            </w:pPr>
            <w:r>
              <w:rPr>
                <w:rFonts w:hint="eastAsia" w:ascii="宋体" w:hAnsi="宋体" w:eastAsia="宋体" w:cs="宋体"/>
                <w:i w:val="0"/>
                <w:iCs w:val="0"/>
                <w:color w:val="000000"/>
                <w:kern w:val="0"/>
                <w:sz w:val="21"/>
                <w:szCs w:val="21"/>
                <w:u w:val="none"/>
                <w:lang w:val="en-US" w:eastAsia="zh-CN" w:bidi="ar"/>
              </w:rPr>
              <w:t>温度准确性：≤0.1℃</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73B32453">
            <w:pPr>
              <w:widowControl/>
              <w:spacing w:before="100" w:beforeAutospacing="1" w:after="100" w:afterAutospacing="1"/>
              <w:jc w:val="center"/>
              <w:rPr>
                <w:rFonts w:hint="eastAsia" w:ascii="宋体" w:hAnsi="宋体" w:cs="宋体"/>
                <w:kern w:val="0"/>
                <w:sz w:val="24"/>
                <w:szCs w:val="24"/>
              </w:rPr>
            </w:pPr>
            <w:r>
              <w:rPr>
                <w:rFonts w:hint="default" w:ascii="Times New Roman" w:hAnsi="Times New Roman" w:cs="Times New Roman"/>
                <w:color w:val="auto"/>
                <w:lang w:val="en-US" w:eastAsia="zh-CN"/>
              </w:rPr>
              <w:t>5</w:t>
            </w:r>
          </w:p>
        </w:tc>
        <w:tc>
          <w:tcPr>
            <w:tcW w:w="6648" w:type="dxa"/>
            <w:gridSpan w:val="3"/>
            <w:tcBorders>
              <w:top w:val="single" w:color="auto" w:sz="6" w:space="0"/>
              <w:left w:val="single" w:color="auto" w:sz="6" w:space="0"/>
              <w:bottom w:val="nil"/>
              <w:right w:val="nil"/>
            </w:tcBorders>
            <w:noWrap w:val="0"/>
            <w:vAlign w:val="center"/>
          </w:tcPr>
          <w:p w14:paraId="31069815">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检测重复性：CV≤1.5%</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0C478AB3">
            <w:pPr>
              <w:widowControl/>
              <w:spacing w:before="100" w:beforeAutospacing="1" w:after="100" w:afterAutospacing="1"/>
              <w:jc w:val="center"/>
              <w:rPr>
                <w:rFonts w:hint="eastAsia" w:ascii="宋体" w:hAnsi="宋体" w:cs="宋体"/>
                <w:kern w:val="0"/>
                <w:sz w:val="24"/>
                <w:szCs w:val="24"/>
              </w:rPr>
            </w:pPr>
            <w:r>
              <w:rPr>
                <w:rFonts w:hint="default" w:ascii="Times New Roman" w:hAnsi="Times New Roman" w:cs="Times New Roman"/>
                <w:color w:val="auto"/>
                <w:lang w:val="en-US" w:eastAsia="zh-CN"/>
              </w:rPr>
              <w:t>6</w:t>
            </w:r>
          </w:p>
        </w:tc>
        <w:tc>
          <w:tcPr>
            <w:tcW w:w="6648" w:type="dxa"/>
            <w:gridSpan w:val="3"/>
            <w:tcBorders>
              <w:top w:val="single" w:color="auto" w:sz="6" w:space="0"/>
              <w:left w:val="single" w:color="auto" w:sz="6" w:space="0"/>
              <w:bottom w:val="nil"/>
              <w:right w:val="nil"/>
            </w:tcBorders>
            <w:noWrap w:val="0"/>
            <w:vAlign w:val="center"/>
          </w:tcPr>
          <w:p w14:paraId="14D66A74">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线性相关性：| r |≥0.990</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45C65907">
            <w:pPr>
              <w:widowControl/>
              <w:spacing w:before="100" w:beforeAutospacing="1" w:after="100" w:afterAutospacing="1"/>
              <w:jc w:val="center"/>
              <w:rPr>
                <w:rFonts w:hint="eastAsia" w:ascii="宋体" w:hAnsi="宋体" w:cs="宋体"/>
                <w:kern w:val="0"/>
                <w:sz w:val="24"/>
                <w:szCs w:val="24"/>
              </w:rPr>
            </w:pPr>
            <w:r>
              <w:rPr>
                <w:rFonts w:hint="default" w:ascii="Times New Roman" w:hAnsi="Times New Roman" w:cs="Times New Roman"/>
                <w:color w:val="auto"/>
                <w:lang w:val="en-US" w:eastAsia="zh-CN"/>
              </w:rPr>
              <w:t>7</w:t>
            </w:r>
          </w:p>
        </w:tc>
        <w:tc>
          <w:tcPr>
            <w:tcW w:w="6648" w:type="dxa"/>
            <w:gridSpan w:val="3"/>
            <w:tcBorders>
              <w:top w:val="single" w:color="auto" w:sz="6" w:space="0"/>
              <w:left w:val="single" w:color="auto" w:sz="6" w:space="0"/>
              <w:bottom w:val="nil"/>
              <w:right w:val="nil"/>
            </w:tcBorders>
            <w:noWrap w:val="0"/>
            <w:vAlign w:val="center"/>
          </w:tcPr>
          <w:p w14:paraId="254EE882">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数据存储：可存储≥1000个实验设置文件/实验数据文件</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0D285BA5">
            <w:pPr>
              <w:widowControl/>
              <w:spacing w:before="100" w:beforeAutospacing="1" w:after="100" w:afterAutospacing="1"/>
              <w:ind w:firstLine="480" w:firstLineChars="200"/>
              <w:jc w:val="both"/>
              <w:rPr>
                <w:rFonts w:hint="eastAsia" w:ascii="宋体" w:hAnsi="宋体" w:cs="宋体"/>
                <w:color w:val="000000"/>
                <w:kern w:val="0"/>
                <w:sz w:val="24"/>
                <w:szCs w:val="24"/>
              </w:rPr>
            </w:pPr>
            <w:r>
              <w:rPr>
                <w:rFonts w:hint="default" w:ascii="Times New Roman" w:hAnsi="Times New Roman" w:eastAsia="宋体" w:cs="Times New Roman"/>
                <w:color w:val="auto"/>
                <w:kern w:val="0"/>
                <w:sz w:val="24"/>
                <w:szCs w:val="24"/>
                <w:lang w:val="en-US" w:eastAsia="zh-CN"/>
              </w:rPr>
              <w:t>8</w:t>
            </w:r>
          </w:p>
        </w:tc>
        <w:tc>
          <w:tcPr>
            <w:tcW w:w="6648" w:type="dxa"/>
            <w:gridSpan w:val="3"/>
            <w:tcBorders>
              <w:top w:val="single" w:color="auto" w:sz="6" w:space="0"/>
              <w:left w:val="single" w:color="auto" w:sz="6" w:space="0"/>
              <w:bottom w:val="nil"/>
              <w:right w:val="nil"/>
            </w:tcBorders>
            <w:noWrap w:val="0"/>
            <w:vAlign w:val="center"/>
          </w:tcPr>
          <w:p w14:paraId="7B923E82">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具有断电保护功能，通电后自动继续运行实验，运行噪音≤65dB</w:t>
            </w: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56A46477">
            <w:pPr>
              <w:widowControl/>
              <w:spacing w:before="100" w:beforeAutospacing="1" w:after="100" w:afterAutospacing="1"/>
              <w:jc w:val="center"/>
              <w:rPr>
                <w:rFonts w:hint="eastAsia" w:ascii="宋体" w:hAnsi="宋体" w:cs="宋体"/>
                <w:color w:val="000000"/>
                <w:kern w:val="0"/>
                <w:sz w:val="24"/>
                <w:szCs w:val="24"/>
              </w:rPr>
            </w:pPr>
            <w:r>
              <w:rPr>
                <w:rFonts w:hint="default" w:ascii="Times New Roman" w:hAnsi="Times New Roman" w:eastAsia="宋体" w:cs="Times New Roman"/>
                <w:color w:val="auto"/>
                <w:kern w:val="0"/>
                <w:sz w:val="24"/>
                <w:szCs w:val="24"/>
                <w:lang w:val="en-US" w:eastAsia="zh-CN"/>
              </w:rPr>
              <w:t>9</w:t>
            </w:r>
          </w:p>
        </w:tc>
        <w:tc>
          <w:tcPr>
            <w:tcW w:w="6648" w:type="dxa"/>
            <w:gridSpan w:val="3"/>
            <w:tcBorders>
              <w:top w:val="single" w:color="auto" w:sz="6" w:space="0"/>
              <w:left w:val="single" w:color="auto" w:sz="6" w:space="0"/>
              <w:bottom w:val="nil"/>
              <w:right w:val="nil"/>
            </w:tcBorders>
            <w:noWrap w:val="0"/>
            <w:vAlign w:val="center"/>
          </w:tcPr>
          <w:p w14:paraId="737382B7">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实验程序模块化，一键运行实验，配套软件可自动判读结果</w:t>
            </w: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125EEA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DB631BD">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15C9D3CA">
            <w:pPr>
              <w:widowControl/>
              <w:spacing w:before="100" w:beforeAutospacing="1" w:after="100" w:afterAutospacing="1"/>
              <w:jc w:val="center"/>
              <w:rPr>
                <w:rFonts w:hint="eastAsia" w:ascii="宋体" w:hAnsi="宋体" w:cs="宋体"/>
                <w:color w:val="000000"/>
                <w:kern w:val="0"/>
                <w:sz w:val="24"/>
                <w:szCs w:val="24"/>
              </w:rPr>
            </w:pPr>
            <w:r>
              <w:rPr>
                <w:rFonts w:hint="eastAsia"/>
                <w:color w:val="FF0000"/>
                <w:lang w:val="en-US" w:eastAsia="zh-CN"/>
              </w:rPr>
              <w:t>▲</w:t>
            </w:r>
            <w:r>
              <w:rPr>
                <w:rFonts w:hint="default" w:ascii="Times New Roman" w:hAnsi="Times New Roman" w:cs="Times New Roman"/>
                <w:color w:val="auto"/>
                <w:kern w:val="0"/>
                <w:sz w:val="24"/>
                <w:szCs w:val="24"/>
                <w:lang w:val="en-US" w:eastAsia="zh-CN"/>
              </w:rPr>
              <w:t>10</w:t>
            </w:r>
          </w:p>
        </w:tc>
        <w:tc>
          <w:tcPr>
            <w:tcW w:w="6648" w:type="dxa"/>
            <w:gridSpan w:val="3"/>
            <w:tcBorders>
              <w:top w:val="single" w:color="auto" w:sz="6" w:space="0"/>
              <w:left w:val="single" w:color="auto" w:sz="6" w:space="0"/>
              <w:bottom w:val="nil"/>
              <w:right w:val="nil"/>
            </w:tcBorders>
            <w:noWrap w:val="0"/>
            <w:vAlign w:val="center"/>
          </w:tcPr>
          <w:p w14:paraId="278E06E0">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不同药物基因检测项目可同时上机检测</w:t>
            </w:r>
          </w:p>
        </w:tc>
        <w:tc>
          <w:tcPr>
            <w:tcW w:w="1109" w:type="dxa"/>
            <w:tcBorders>
              <w:top w:val="single" w:color="auto" w:sz="6" w:space="0"/>
              <w:left w:val="single" w:color="auto" w:sz="6" w:space="0"/>
              <w:bottom w:val="nil"/>
              <w:right w:val="nil"/>
            </w:tcBorders>
            <w:noWrap w:val="0"/>
            <w:vAlign w:val="center"/>
          </w:tcPr>
          <w:p w14:paraId="13A645B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6F98B3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A2221BF">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6C8111A8">
            <w:pPr>
              <w:widowControl/>
              <w:spacing w:before="100" w:beforeAutospacing="1" w:after="100" w:afterAutospacing="1"/>
              <w:jc w:val="center"/>
              <w:rPr>
                <w:rFonts w:hint="eastAsia" w:ascii="宋体" w:hAnsi="宋体" w:cs="宋体"/>
                <w:color w:val="000000"/>
                <w:kern w:val="0"/>
                <w:sz w:val="24"/>
                <w:szCs w:val="24"/>
              </w:rPr>
            </w:pPr>
            <w:r>
              <w:rPr>
                <w:rFonts w:hint="eastAsia"/>
                <w:color w:val="FF0000"/>
                <w:lang w:val="en-US" w:eastAsia="zh-CN"/>
              </w:rPr>
              <w:t>▲</w:t>
            </w:r>
            <w:r>
              <w:rPr>
                <w:rFonts w:hint="default" w:ascii="Times New Roman" w:hAnsi="Times New Roman" w:eastAsia="宋体" w:cs="Times New Roman"/>
                <w:color w:val="auto"/>
                <w:kern w:val="0"/>
                <w:sz w:val="24"/>
                <w:szCs w:val="24"/>
                <w:lang w:val="en-US" w:eastAsia="zh-CN"/>
              </w:rPr>
              <w:t>11</w:t>
            </w:r>
          </w:p>
        </w:tc>
        <w:tc>
          <w:tcPr>
            <w:tcW w:w="6648" w:type="dxa"/>
            <w:gridSpan w:val="3"/>
            <w:tcBorders>
              <w:top w:val="single" w:color="auto" w:sz="6" w:space="0"/>
              <w:left w:val="single" w:color="auto" w:sz="6" w:space="0"/>
              <w:bottom w:val="nil"/>
              <w:right w:val="nil"/>
            </w:tcBorders>
            <w:noWrap w:val="0"/>
            <w:vAlign w:val="center"/>
          </w:tcPr>
          <w:p w14:paraId="11FE3807">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能检测拷贝数变异，且提供二代测序的验证数据</w:t>
            </w:r>
          </w:p>
        </w:tc>
        <w:tc>
          <w:tcPr>
            <w:tcW w:w="1109" w:type="dxa"/>
            <w:tcBorders>
              <w:top w:val="single" w:color="auto" w:sz="6" w:space="0"/>
              <w:left w:val="single" w:color="auto" w:sz="6" w:space="0"/>
              <w:bottom w:val="nil"/>
              <w:right w:val="nil"/>
            </w:tcBorders>
            <w:noWrap w:val="0"/>
            <w:vAlign w:val="center"/>
          </w:tcPr>
          <w:p w14:paraId="6AE42D49">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400493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4CE7F6F">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45C7FC61">
            <w:pPr>
              <w:widowControl/>
              <w:spacing w:before="100" w:beforeAutospacing="1" w:after="100" w:afterAutospacing="1"/>
              <w:jc w:val="center"/>
              <w:rPr>
                <w:rFonts w:hint="eastAsia" w:ascii="宋体" w:hAnsi="宋体" w:cs="宋体"/>
                <w:color w:val="000000"/>
                <w:kern w:val="0"/>
                <w:sz w:val="24"/>
                <w:szCs w:val="24"/>
              </w:rPr>
            </w:pPr>
            <w:r>
              <w:rPr>
                <w:rFonts w:hint="default" w:ascii="Times New Roman" w:hAnsi="Times New Roman" w:eastAsia="宋体" w:cs="Times New Roman"/>
                <w:color w:val="auto"/>
                <w:kern w:val="0"/>
                <w:sz w:val="24"/>
                <w:szCs w:val="24"/>
                <w:lang w:val="en-US" w:eastAsia="zh-CN"/>
              </w:rPr>
              <w:t>12</w:t>
            </w:r>
          </w:p>
        </w:tc>
        <w:tc>
          <w:tcPr>
            <w:tcW w:w="6648" w:type="dxa"/>
            <w:gridSpan w:val="3"/>
            <w:tcBorders>
              <w:top w:val="single" w:color="auto" w:sz="6" w:space="0"/>
              <w:left w:val="single" w:color="auto" w:sz="6" w:space="0"/>
              <w:bottom w:val="nil"/>
              <w:right w:val="nil"/>
            </w:tcBorders>
            <w:noWrap w:val="0"/>
            <w:vAlign w:val="center"/>
          </w:tcPr>
          <w:p w14:paraId="4F549E1A">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提供自动化分析报告平台</w:t>
            </w:r>
          </w:p>
        </w:tc>
        <w:tc>
          <w:tcPr>
            <w:tcW w:w="1109" w:type="dxa"/>
            <w:tcBorders>
              <w:top w:val="single" w:color="auto" w:sz="6" w:space="0"/>
              <w:left w:val="single" w:color="auto" w:sz="6" w:space="0"/>
              <w:bottom w:val="nil"/>
              <w:right w:val="nil"/>
            </w:tcBorders>
            <w:noWrap w:val="0"/>
            <w:vAlign w:val="center"/>
          </w:tcPr>
          <w:p w14:paraId="1799EC2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23F77C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48552BB">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5D24FA25">
            <w:pPr>
              <w:widowControl/>
              <w:spacing w:before="100" w:beforeAutospacing="1" w:after="100" w:afterAutospacing="1"/>
              <w:jc w:val="center"/>
              <w:rPr>
                <w:rFonts w:hint="default" w:ascii="Times New Roman" w:hAnsi="Times New Roman" w:eastAsia="宋体" w:cs="Times New Roman"/>
                <w:color w:val="auto"/>
                <w:kern w:val="0"/>
                <w:sz w:val="24"/>
                <w:szCs w:val="24"/>
                <w:lang w:val="en-US" w:eastAsia="zh-CN"/>
              </w:rPr>
            </w:pPr>
            <w:r>
              <w:rPr>
                <w:rFonts w:hint="eastAsia"/>
                <w:color w:val="FF0000"/>
                <w:lang w:val="en-US" w:eastAsia="zh-CN"/>
              </w:rPr>
              <w:t>▲</w:t>
            </w:r>
            <w:r>
              <w:rPr>
                <w:rFonts w:hint="eastAsia" w:cs="Times New Roman"/>
                <w:color w:val="auto"/>
                <w:kern w:val="0"/>
                <w:sz w:val="24"/>
                <w:szCs w:val="24"/>
                <w:lang w:val="en-US" w:eastAsia="zh-CN"/>
              </w:rPr>
              <w:t>13</w:t>
            </w:r>
          </w:p>
        </w:tc>
        <w:tc>
          <w:tcPr>
            <w:tcW w:w="6648" w:type="dxa"/>
            <w:gridSpan w:val="3"/>
            <w:tcBorders>
              <w:top w:val="single" w:color="auto" w:sz="6" w:space="0"/>
              <w:left w:val="single" w:color="auto" w:sz="6" w:space="0"/>
              <w:bottom w:val="nil"/>
              <w:right w:val="nil"/>
            </w:tcBorders>
            <w:noWrap w:val="0"/>
            <w:vAlign w:val="center"/>
          </w:tcPr>
          <w:p w14:paraId="14DCB2DE">
            <w:pPr>
              <w:keepNext w:val="0"/>
              <w:keepLines w:val="0"/>
              <w:widowControl/>
              <w:suppressLineNumbers w:val="0"/>
              <w:jc w:val="left"/>
              <w:textAlignment w:val="center"/>
              <w:rPr>
                <w:rFonts w:hint="eastAsia" w:ascii="宋体" w:hAnsi="宋体" w:eastAsia="宋体" w:cs="宋体"/>
                <w:b w:val="0"/>
                <w:bCs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报告平台知识库需依据循证依据</w:t>
            </w:r>
          </w:p>
        </w:tc>
        <w:tc>
          <w:tcPr>
            <w:tcW w:w="1109" w:type="dxa"/>
            <w:tcBorders>
              <w:top w:val="single" w:color="auto" w:sz="6" w:space="0"/>
              <w:left w:val="single" w:color="auto" w:sz="6" w:space="0"/>
              <w:bottom w:val="nil"/>
              <w:right w:val="nil"/>
            </w:tcBorders>
            <w:noWrap w:val="0"/>
            <w:vAlign w:val="center"/>
          </w:tcPr>
          <w:p w14:paraId="544524A7">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0585E4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CC40368">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146700FC">
            <w:pPr>
              <w:widowControl/>
              <w:spacing w:before="100" w:beforeAutospacing="1" w:after="100" w:afterAutospacing="1"/>
              <w:jc w:val="center"/>
              <w:rPr>
                <w:rFonts w:hint="default" w:ascii="宋体" w:hAnsi="宋体" w:cs="宋体"/>
                <w:color w:val="000000"/>
                <w:kern w:val="0"/>
                <w:sz w:val="24"/>
                <w:szCs w:val="24"/>
                <w:lang w:val="en-US"/>
              </w:rPr>
            </w:pPr>
            <w:r>
              <w:rPr>
                <w:rFonts w:hint="default" w:ascii="Times New Roman" w:hAnsi="Times New Roman" w:eastAsia="宋体" w:cs="Times New Roman"/>
                <w:color w:val="auto"/>
                <w:kern w:val="0"/>
                <w:sz w:val="24"/>
                <w:szCs w:val="24"/>
                <w:lang w:val="en-US" w:eastAsia="zh-CN"/>
              </w:rPr>
              <w:t>1</w:t>
            </w:r>
            <w:r>
              <w:rPr>
                <w:rFonts w:hint="eastAsia" w:cs="Times New Roman"/>
                <w:color w:val="auto"/>
                <w:kern w:val="0"/>
                <w:sz w:val="24"/>
                <w:szCs w:val="24"/>
                <w:lang w:val="en-US" w:eastAsia="zh-CN"/>
              </w:rPr>
              <w:t>4</w:t>
            </w:r>
          </w:p>
        </w:tc>
        <w:tc>
          <w:tcPr>
            <w:tcW w:w="6648" w:type="dxa"/>
            <w:gridSpan w:val="3"/>
            <w:tcBorders>
              <w:top w:val="single" w:color="auto" w:sz="6" w:space="0"/>
              <w:left w:val="single" w:color="auto" w:sz="6" w:space="0"/>
              <w:bottom w:val="nil"/>
              <w:right w:val="nil"/>
            </w:tcBorders>
            <w:noWrap w:val="0"/>
            <w:vAlign w:val="center"/>
          </w:tcPr>
          <w:p w14:paraId="052BC92D">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报告系统可以根据医院情况增加用药建议</w:t>
            </w:r>
          </w:p>
        </w:tc>
        <w:tc>
          <w:tcPr>
            <w:tcW w:w="1109" w:type="dxa"/>
            <w:tcBorders>
              <w:top w:val="single" w:color="auto" w:sz="6" w:space="0"/>
              <w:left w:val="single" w:color="auto" w:sz="6" w:space="0"/>
              <w:bottom w:val="nil"/>
              <w:right w:val="nil"/>
            </w:tcBorders>
            <w:noWrap w:val="0"/>
            <w:vAlign w:val="center"/>
          </w:tcPr>
          <w:p w14:paraId="03E656A8">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15EEEF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575268E">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2C9B4249">
            <w:pPr>
              <w:widowControl/>
              <w:spacing w:before="100" w:beforeAutospacing="1" w:after="100" w:afterAutospacing="1"/>
              <w:jc w:val="center"/>
              <w:rPr>
                <w:rFonts w:hint="default" w:ascii="宋体" w:hAnsi="宋体" w:cs="宋体"/>
                <w:color w:val="000000"/>
                <w:kern w:val="0"/>
                <w:sz w:val="24"/>
                <w:szCs w:val="24"/>
                <w:lang w:val="en-US"/>
              </w:rPr>
            </w:pPr>
            <w:r>
              <w:rPr>
                <w:rFonts w:hint="default" w:ascii="Times New Roman" w:hAnsi="Times New Roman" w:eastAsia="宋体" w:cs="Times New Roman"/>
                <w:color w:val="auto"/>
                <w:kern w:val="0"/>
                <w:sz w:val="24"/>
                <w:szCs w:val="24"/>
                <w:lang w:val="en-US" w:eastAsia="zh-CN"/>
              </w:rPr>
              <w:t>1</w:t>
            </w:r>
            <w:r>
              <w:rPr>
                <w:rFonts w:hint="eastAsia" w:cs="Times New Roman"/>
                <w:color w:val="auto"/>
                <w:kern w:val="0"/>
                <w:sz w:val="24"/>
                <w:szCs w:val="24"/>
                <w:lang w:val="en-US" w:eastAsia="zh-CN"/>
              </w:rPr>
              <w:t>5</w:t>
            </w:r>
          </w:p>
        </w:tc>
        <w:tc>
          <w:tcPr>
            <w:tcW w:w="6648" w:type="dxa"/>
            <w:gridSpan w:val="3"/>
            <w:tcBorders>
              <w:top w:val="single" w:color="auto" w:sz="6" w:space="0"/>
              <w:left w:val="single" w:color="auto" w:sz="6" w:space="0"/>
              <w:bottom w:val="nil"/>
              <w:right w:val="nil"/>
            </w:tcBorders>
            <w:noWrap w:val="0"/>
            <w:vAlign w:val="center"/>
          </w:tcPr>
          <w:p w14:paraId="1E65D729">
            <w:pPr>
              <w:keepNext w:val="0"/>
              <w:keepLines w:val="0"/>
              <w:widowControl/>
              <w:suppressLineNumbers w:val="0"/>
              <w:jc w:val="left"/>
              <w:textAlignment w:val="center"/>
              <w:rPr>
                <w:rFonts w:hint="eastAsia" w:ascii="宋体" w:hAnsi="宋体" w:cs="宋体"/>
                <w:color w:val="auto"/>
                <w:kern w:val="0"/>
                <w:szCs w:val="21"/>
              </w:rPr>
            </w:pPr>
            <w:r>
              <w:rPr>
                <w:rFonts w:hint="eastAsia" w:ascii="宋体" w:hAnsi="宋体" w:eastAsia="宋体" w:cs="宋体"/>
                <w:i w:val="0"/>
                <w:iCs w:val="0"/>
                <w:color w:val="000000"/>
                <w:kern w:val="0"/>
                <w:sz w:val="21"/>
                <w:szCs w:val="21"/>
                <w:u w:val="none"/>
                <w:lang w:val="en-US" w:eastAsia="zh-CN" w:bidi="ar"/>
              </w:rPr>
              <w:t>报告展现的基因位点数据需注明参考依据</w:t>
            </w:r>
          </w:p>
        </w:tc>
        <w:tc>
          <w:tcPr>
            <w:tcW w:w="1109" w:type="dxa"/>
            <w:tcBorders>
              <w:top w:val="single" w:color="auto" w:sz="6" w:space="0"/>
              <w:left w:val="single" w:color="auto" w:sz="6" w:space="0"/>
              <w:bottom w:val="nil"/>
              <w:right w:val="nil"/>
            </w:tcBorders>
            <w:noWrap w:val="0"/>
            <w:vAlign w:val="center"/>
          </w:tcPr>
          <w:p w14:paraId="66D07A2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08888D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89" w:hRule="atLeast"/>
          <w:tblCellSpacing w:w="0" w:type="dxa"/>
        </w:trPr>
        <w:tc>
          <w:tcPr>
            <w:tcW w:w="1185" w:type="dxa"/>
            <w:vMerge w:val="restart"/>
            <w:tcBorders>
              <w:top w:val="single" w:color="auto" w:sz="6" w:space="0"/>
              <w:left w:val="single" w:color="auto" w:sz="6" w:space="0"/>
              <w:right w:val="nil"/>
            </w:tcBorders>
            <w:shd w:val="clear" w:color="auto" w:fill="auto"/>
            <w:noWrap w:val="0"/>
            <w:vAlign w:val="center"/>
          </w:tcPr>
          <w:p w14:paraId="0132B029">
            <w:pPr>
              <w:widowControl/>
              <w:spacing w:before="100" w:beforeAutospacing="1" w:after="100" w:afterAutospacing="1"/>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lang w:val="en-US" w:eastAsia="zh-CN"/>
              </w:rPr>
              <w:t>专机配套耗材最高限价</w:t>
            </w:r>
          </w:p>
        </w:tc>
        <w:tc>
          <w:tcPr>
            <w:tcW w:w="1015" w:type="dxa"/>
            <w:tcBorders>
              <w:top w:val="single" w:color="auto" w:sz="6" w:space="0"/>
              <w:left w:val="single" w:color="auto" w:sz="6" w:space="0"/>
              <w:bottom w:val="nil"/>
              <w:right w:val="nil"/>
            </w:tcBorders>
            <w:shd w:val="clear" w:color="auto" w:fill="auto"/>
            <w:noWrap w:val="0"/>
            <w:vAlign w:val="center"/>
          </w:tcPr>
          <w:p w14:paraId="5456FAA5">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3425" w:type="dxa"/>
            <w:gridSpan w:val="2"/>
            <w:tcBorders>
              <w:top w:val="single" w:color="auto" w:sz="6" w:space="0"/>
              <w:left w:val="single" w:color="auto" w:sz="6" w:space="0"/>
              <w:bottom w:val="nil"/>
              <w:right w:val="nil"/>
            </w:tcBorders>
            <w:shd w:val="clear" w:color="auto" w:fill="auto"/>
            <w:noWrap w:val="0"/>
            <w:vAlign w:val="center"/>
          </w:tcPr>
          <w:p w14:paraId="744C83AE">
            <w:pPr>
              <w:widowControl/>
              <w:spacing w:before="100" w:beforeAutospacing="1" w:after="100" w:afterAutospacing="1"/>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耗材/试剂名称</w:t>
            </w:r>
          </w:p>
        </w:tc>
        <w:tc>
          <w:tcPr>
            <w:tcW w:w="1480" w:type="dxa"/>
            <w:tcBorders>
              <w:top w:val="single" w:color="auto" w:sz="6" w:space="0"/>
              <w:left w:val="single" w:color="auto" w:sz="6" w:space="0"/>
              <w:bottom w:val="nil"/>
              <w:right w:val="nil"/>
            </w:tcBorders>
            <w:shd w:val="clear" w:color="auto" w:fill="auto"/>
            <w:noWrap w:val="0"/>
            <w:vAlign w:val="center"/>
          </w:tcPr>
          <w:p w14:paraId="117DF949">
            <w:pPr>
              <w:widowControl/>
              <w:spacing w:before="100" w:beforeAutospacing="1" w:after="100" w:afterAutospacing="1"/>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单位</w:t>
            </w:r>
          </w:p>
        </w:tc>
        <w:tc>
          <w:tcPr>
            <w:tcW w:w="2960" w:type="dxa"/>
            <w:gridSpan w:val="2"/>
            <w:tcBorders>
              <w:top w:val="single" w:color="auto" w:sz="6" w:space="0"/>
              <w:left w:val="single" w:color="auto" w:sz="6" w:space="0"/>
              <w:bottom w:val="nil"/>
              <w:right w:val="nil"/>
            </w:tcBorders>
            <w:shd w:val="clear" w:color="auto" w:fill="auto"/>
            <w:noWrap w:val="0"/>
            <w:vAlign w:val="center"/>
          </w:tcPr>
          <w:p w14:paraId="231F00BE">
            <w:pPr>
              <w:widowControl/>
              <w:spacing w:before="100" w:beforeAutospacing="1" w:after="100" w:afterAutospacing="1"/>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最高限价</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eastAsia="zh-CN"/>
              </w:rPr>
              <w:t>元</w:t>
            </w:r>
            <w:r>
              <w:rPr>
                <w:rFonts w:hint="eastAsia" w:ascii="宋体" w:hAnsi="宋体" w:eastAsia="宋体" w:cs="宋体"/>
                <w:b/>
                <w:bCs/>
                <w:color w:val="auto"/>
                <w:kern w:val="0"/>
                <w:sz w:val="24"/>
                <w:szCs w:val="24"/>
              </w:rPr>
              <w:t>)</w:t>
            </w:r>
          </w:p>
        </w:tc>
      </w:tr>
      <w:tr w14:paraId="67674A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89" w:hRule="atLeast"/>
          <w:tblCellSpacing w:w="0" w:type="dxa"/>
        </w:trPr>
        <w:tc>
          <w:tcPr>
            <w:tcW w:w="1185" w:type="dxa"/>
            <w:vMerge w:val="continue"/>
            <w:tcBorders>
              <w:left w:val="single" w:color="auto" w:sz="6" w:space="0"/>
              <w:bottom w:val="nil"/>
              <w:right w:val="nil"/>
            </w:tcBorders>
            <w:shd w:val="clear" w:color="auto" w:fill="auto"/>
            <w:noWrap w:val="0"/>
            <w:vAlign w:val="center"/>
          </w:tcPr>
          <w:p w14:paraId="17F6A013">
            <w:pPr>
              <w:keepNext w:val="0"/>
              <w:keepLines w:val="0"/>
              <w:widowControl/>
              <w:suppressLineNumbers w:val="0"/>
              <w:jc w:val="center"/>
            </w:pPr>
          </w:p>
        </w:tc>
        <w:tc>
          <w:tcPr>
            <w:tcW w:w="1015" w:type="dxa"/>
            <w:tcBorders>
              <w:top w:val="single" w:color="auto" w:sz="6" w:space="0"/>
              <w:left w:val="single" w:color="auto" w:sz="6" w:space="0"/>
              <w:bottom w:val="nil"/>
              <w:right w:val="nil"/>
            </w:tcBorders>
            <w:shd w:val="clear" w:color="auto" w:fill="auto"/>
            <w:noWrap w:val="0"/>
            <w:vAlign w:val="center"/>
          </w:tcPr>
          <w:p w14:paraId="24780885">
            <w:pPr>
              <w:keepNext w:val="0"/>
              <w:keepLines w:val="0"/>
              <w:widowControl/>
              <w:suppressLineNumbers w:val="0"/>
              <w:jc w:val="center"/>
              <w:rPr>
                <w:rFonts w:hint="eastAsia" w:eastAsia="宋体"/>
                <w:lang w:val="en-US" w:eastAsia="zh-CN"/>
              </w:rPr>
            </w:pPr>
            <w:r>
              <w:rPr>
                <w:rFonts w:hint="eastAsia"/>
                <w:lang w:val="en-US" w:eastAsia="zh-CN"/>
              </w:rPr>
              <w:t>1</w:t>
            </w:r>
          </w:p>
        </w:tc>
        <w:tc>
          <w:tcPr>
            <w:tcW w:w="3425" w:type="dxa"/>
            <w:gridSpan w:val="2"/>
            <w:tcBorders>
              <w:top w:val="single" w:color="auto" w:sz="6" w:space="0"/>
              <w:left w:val="single" w:color="auto" w:sz="6" w:space="0"/>
              <w:bottom w:val="nil"/>
              <w:right w:val="nil"/>
            </w:tcBorders>
            <w:shd w:val="clear" w:color="auto" w:fill="auto"/>
            <w:noWrap w:val="0"/>
            <w:vAlign w:val="center"/>
          </w:tcPr>
          <w:p w14:paraId="2F87C0F8">
            <w:pPr>
              <w:keepNext w:val="0"/>
              <w:keepLines w:val="0"/>
              <w:widowControl/>
              <w:suppressLineNumbers w:val="0"/>
              <w:jc w:val="center"/>
              <w:rPr>
                <w:rFonts w:hint="eastAsia" w:eastAsia="宋体"/>
                <w:lang w:val="en-US" w:eastAsia="zh-CN"/>
              </w:rPr>
            </w:pPr>
            <w:r>
              <w:rPr>
                <w:rFonts w:hint="eastAsia" w:ascii="宋体" w:hAnsi="宋体" w:eastAsia="宋体" w:cs="宋体"/>
                <w:b w:val="0"/>
                <w:bCs w:val="0"/>
                <w:color w:val="3F3F3F"/>
                <w:kern w:val="0"/>
                <w:sz w:val="21"/>
                <w:szCs w:val="21"/>
                <w:highlight w:val="none"/>
                <w:lang w:val="en-US" w:eastAsia="zh-CN"/>
              </w:rPr>
              <w:t>测序反应通用试剂盒</w:t>
            </w:r>
          </w:p>
        </w:tc>
        <w:tc>
          <w:tcPr>
            <w:tcW w:w="1480" w:type="dxa"/>
            <w:tcBorders>
              <w:top w:val="single" w:color="auto" w:sz="6" w:space="0"/>
              <w:left w:val="single" w:color="auto" w:sz="6" w:space="0"/>
              <w:bottom w:val="nil"/>
              <w:right w:val="nil"/>
            </w:tcBorders>
            <w:shd w:val="clear" w:color="auto" w:fill="auto"/>
            <w:noWrap w:val="0"/>
            <w:vAlign w:val="center"/>
          </w:tcPr>
          <w:p w14:paraId="2351E0AB">
            <w:pPr>
              <w:keepNext w:val="0"/>
              <w:keepLines w:val="0"/>
              <w:widowControl/>
              <w:suppressLineNumbers w:val="0"/>
              <w:jc w:val="center"/>
              <w:rPr>
                <w:rFonts w:hint="default" w:eastAsia="宋体"/>
                <w:lang w:val="en-US" w:eastAsia="zh-CN"/>
              </w:rPr>
            </w:pPr>
            <w:r>
              <w:rPr>
                <w:rFonts w:hint="eastAsia"/>
                <w:lang w:val="en-US" w:eastAsia="zh-CN"/>
              </w:rPr>
              <w:t>人份</w:t>
            </w:r>
          </w:p>
        </w:tc>
        <w:tc>
          <w:tcPr>
            <w:tcW w:w="2960" w:type="dxa"/>
            <w:gridSpan w:val="2"/>
            <w:tcBorders>
              <w:top w:val="single" w:color="auto" w:sz="6" w:space="0"/>
              <w:left w:val="single" w:color="auto" w:sz="6" w:space="0"/>
              <w:bottom w:val="nil"/>
              <w:right w:val="nil"/>
            </w:tcBorders>
            <w:shd w:val="clear" w:color="auto" w:fill="auto"/>
            <w:noWrap w:val="0"/>
            <w:vAlign w:val="center"/>
          </w:tcPr>
          <w:p w14:paraId="7827D84E">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150</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6"/>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在投标文件中详细说明保障措施（包括技术团队、技术方案、技术人员、场地、车辆等），评审委员会根据响应情况进行横向比较，优3分，良2分，中1分，差0分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6"/>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5.1</w:t>
                  </w:r>
                  <w:r>
                    <w:rPr>
                      <w:rFonts w:hint="eastAsia" w:ascii="宋体" w:hAnsi="宋体" w:cs="宋体"/>
                      <w:color w:val="auto"/>
                      <w:kern w:val="0"/>
                      <w:szCs w:val="21"/>
                    </w:rPr>
                    <w:t>、付款条件：货到安装验收合格并提供全额发票后30天内中标方向采购方付货款5%质保金，采购方收到质保金后再由财政部门支付100%货款给中标方。质保金在设备验收合格后正常运转一年并无故障的情况下由采购方退还给中标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6C31A628">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998022"/>
      <w:bookmarkStart w:id="13" w:name="_Toc313109540"/>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7C5D4F27">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2827</Words>
  <Characters>2859</Characters>
  <Lines>48</Lines>
  <Paragraphs>13</Paragraphs>
  <TotalTime>1</TotalTime>
  <ScaleCrop>false</ScaleCrop>
  <LinksUpToDate>false</LinksUpToDate>
  <CharactersWithSpaces>3329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2025-09-22T02:37:43Z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FBEB7F014998499BA5D103377F5BB056_13</vt:lpwstr>
  </property>
  <property fmtid="{D5CDD505-2E9C-101B-9397-08002B2CF9AE}" pid="4" name="KSOTemplateDocerSaveRecord">
    <vt:lpwstr>eyJoZGlkIjoiMmYwOTdmZGI1ODcxNzY3NTA5ZGUxOGE4NmVjYWUxMDUiLCJ1c2VySWQiOiIzMTc3OTE5NzcifQ==</vt:lpwstr>
  </property>
</Properties>
</file>