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750"/>
      </w:tblGrid>
      <w:tr w14:paraId="2919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3F60">
            <w:pPr>
              <w:spacing w:after="7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7D98">
            <w:pPr>
              <w:numPr>
                <w:ilvl w:val="-1"/>
                <w:numId w:val="0"/>
              </w:numPr>
              <w:spacing w:after="78" w:line="240" w:lineRule="auto"/>
              <w:ind w:left="360" w:leftChars="0" w:firstLine="0" w:firstLineChars="0"/>
              <w:contextualSpacing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深圳市儿童医院标识牌制作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服务</w:t>
            </w:r>
          </w:p>
        </w:tc>
      </w:tr>
      <w:tr w14:paraId="0B37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7EB7">
            <w:pPr>
              <w:spacing w:after="78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项目预算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7DAF">
            <w:pPr>
              <w:numPr>
                <w:ilvl w:val="-1"/>
                <w:numId w:val="0"/>
              </w:numPr>
              <w:spacing w:after="78" w:line="240" w:lineRule="auto"/>
              <w:ind w:left="360" w:firstLine="0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270万元</w:t>
            </w:r>
          </w:p>
        </w:tc>
      </w:tr>
      <w:tr w14:paraId="33C1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5336">
            <w:pPr>
              <w:spacing w:after="78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34DF">
            <w:pPr>
              <w:numPr>
                <w:ilvl w:val="-1"/>
                <w:numId w:val="0"/>
              </w:numPr>
              <w:spacing w:after="78" w:line="240" w:lineRule="auto"/>
              <w:ind w:left="36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医院福田院区及龙华院区的标识牌制作</w:t>
            </w:r>
          </w:p>
        </w:tc>
      </w:tr>
      <w:tr w14:paraId="6901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30B8">
            <w:pPr>
              <w:spacing w:after="78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服务内容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C252">
            <w:pPr>
              <w:numPr>
                <w:ilvl w:val="0"/>
                <w:numId w:val="0"/>
              </w:numPr>
              <w:spacing w:after="78"/>
              <w:ind w:left="360"/>
              <w:contextualSpacing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医院标识牌的制作，包括设计、制作、安装、维护等。</w:t>
            </w:r>
          </w:p>
        </w:tc>
      </w:tr>
      <w:tr w14:paraId="42CE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FF9E0">
            <w:pPr>
              <w:numPr>
                <w:ilvl w:val="0"/>
                <w:numId w:val="0"/>
              </w:numPr>
              <w:spacing w:after="78"/>
              <w:contextualSpacing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技术参数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6011">
            <w:pPr>
              <w:numPr>
                <w:ilvl w:val="0"/>
                <w:numId w:val="0"/>
              </w:numPr>
              <w:spacing w:after="78"/>
              <w:ind w:left="360"/>
              <w:contextualSpacing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详见《深圳市儿童医院常用标识项目清单》</w:t>
            </w:r>
          </w:p>
        </w:tc>
      </w:tr>
      <w:tr w14:paraId="7170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02116">
            <w:pPr>
              <w:numPr>
                <w:ilvl w:val="0"/>
                <w:numId w:val="0"/>
              </w:numPr>
              <w:spacing w:after="78"/>
              <w:contextualSpacing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商务参数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AA9BAB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（一）计费及付款方式</w:t>
            </w:r>
          </w:p>
          <w:p w14:paraId="3A4FAD3D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按季度据实结算，根据季度内已完成的制作安装项目，中标人提供完整结算清单，经采购人审核后，即为结算金额，采购人凭据中标人开具的发票后15 日内进行相应款项支付。</w:t>
            </w:r>
          </w:p>
          <w:p w14:paraId="4FBEC163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（二）验收方式：按照采购人内部流程，中标人提供验收报告单据，经使用科室及归口管理部门共同确认后，视为验收合格。</w:t>
            </w:r>
          </w:p>
          <w:p w14:paraId="3455931E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（三）项目履行地点：采购人指定地点。</w:t>
            </w:r>
          </w:p>
          <w:p w14:paraId="25D1682D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（四）服务期限：自合同签订之日起一年有效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。</w:t>
            </w:r>
            <w:r>
              <w:rPr>
                <w:rFonts w:hint="eastAsia"/>
                <w:color w:val="000000"/>
                <w:sz w:val="22"/>
                <w:szCs w:val="22"/>
              </w:rPr>
              <w:t>如乙方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对甲方进行履约评价</w:t>
            </w:r>
            <w:r>
              <w:rPr>
                <w:rFonts w:hint="eastAsia"/>
                <w:color w:val="000000"/>
                <w:sz w:val="22"/>
                <w:szCs w:val="22"/>
              </w:rPr>
              <w:t>，在合同到期前1个月由乙方向甲方提出书面续签申请，甲方依据综合评定结果决定是否续签，但是续签最多不超过2次，总续期为24个月。</w:t>
            </w:r>
          </w:p>
          <w:p w14:paraId="66D43947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（五）具体商务要求：</w:t>
            </w:r>
          </w:p>
          <w:p w14:paraId="28796D23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1、中标人要为采购人提供所需物料设计稿的打稿服务，样稿经采购人同意后方可制作安装（不额外收费）。</w:t>
            </w:r>
          </w:p>
          <w:p w14:paraId="4FFC028A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2、中标人需保证服务的连续性，不得在项目设计、制作、安装、维护中途终止服务。否则，采购人有权要求中标人赔偿因此给采购人带来的损失，并有权选择终止合同。</w:t>
            </w:r>
          </w:p>
          <w:p w14:paraId="4BCBFBE7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、中标人需严格按照报价单上所列的规格、材料、工艺要求进行制作，货物质量符合中华人民共和国的设计和制造生产标准或行业标准。中标人不得以数量的多少为由增加报价或拒绝接单，且接到采购人设计需求通知后需委派相关人员到场进行沟通，并在约定时间内完成制作及供货，否则采购人有权取消中标人制作资格，并终止合同，相应损失由中标人承担。招标文件没有涉及的新项目，由双方协商书面确认，中标人报价后由采购人根据内部流程完成审批，确定后再行设计、制作、安装。若质量或内容未按采购人要求制作的，第一次发现，中标人必须重新制作及安装，并自行承担费用；第二次发现，则采购人有权单方终止合同，相应损失由中标人承担。</w:t>
            </w:r>
          </w:p>
          <w:p w14:paraId="551E2269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、在提供服务过程中,中标人不得出现任何有违操作规程、阻碍公共秩序的行为。中标人应遵守安全生产有关规定，严格按安全规范施工，确保在工作过程中有完善的安保措施，防止出现安全生产事故。若在服务过程中出现任何人身伤害、财物损坏，由中标人自行承担全部责任，如因此导致采购人被追究相关责任的，须由中标人赔偿采购人的全部经济损失。</w:t>
            </w:r>
          </w:p>
          <w:p w14:paraId="46FD1656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5、中标人需保证在约定时间内完成该项目。除不可抗力原因外，未按时完成该项目，每延期一天，中标人应支付该项目款项千分之一作为违约金，同时，采购人有权向中标人索赔，并有权选择终止合作。</w:t>
            </w:r>
          </w:p>
          <w:p w14:paraId="48AB7644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、采购人对标识牌验收合格后进行费用结算。对于不能满足采购人设计、制作及要求的货品采购人有权拒收，中标人并应配合采购人及时整改。中标人在安装过程中必须将所有安装完毕的物料拍照留底，以便采购人进行核对、验收、报销。</w:t>
            </w:r>
          </w:p>
          <w:p w14:paraId="71014A99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（六）售后服务要求：中标人交货后需为采购人提供售后服务，包括但不限于标识牌损坏、退还、维修及紧急情况下人员维修安排等。</w:t>
            </w:r>
          </w:p>
          <w:p w14:paraId="53B249FD">
            <w:pPr>
              <w:spacing w:line="360" w:lineRule="auto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（七）团队人员要求：中标人需为本项目配置项目团队不少于三人，其中至少两人具备广告学或艺术设计类专业大专或以上学历或学位，至少一人具备广告学或艺术设计类专业本科学历或学位或以上。</w:t>
            </w:r>
          </w:p>
          <w:p w14:paraId="0E706111">
            <w:pPr>
              <w:numPr>
                <w:ilvl w:val="0"/>
                <w:numId w:val="0"/>
              </w:numPr>
              <w:spacing w:after="78"/>
              <w:ind w:left="360"/>
              <w:contextualSpacing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6B055302">
      <w:pPr>
        <w:numPr>
          <w:ilvl w:val="0"/>
          <w:numId w:val="0"/>
        </w:numPr>
        <w:spacing w:after="78"/>
        <w:ind w:left="360"/>
        <w:contextualSpacing/>
        <w:rPr>
          <w:rFonts w:hint="eastAsia"/>
          <w:color w:val="000000"/>
          <w:sz w:val="22"/>
          <w:szCs w:val="22"/>
        </w:rPr>
      </w:pPr>
    </w:p>
    <w:p w14:paraId="7F5348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617BA"/>
    <w:rsid w:val="044617BA"/>
    <w:rsid w:val="4A9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left="720" w:hanging="720" w:hangingChars="300"/>
    </w:pPr>
    <w:rPr>
      <w:sz w:val="24"/>
    </w:rPr>
  </w:style>
  <w:style w:type="paragraph" w:styleId="3">
    <w:name w:val="envelope return"/>
    <w:basedOn w:val="1"/>
    <w:qFormat/>
    <w:uiPriority w:val="99"/>
    <w:rPr>
      <w:rFonts w:ascii="Arial" w:hAnsi="Arial"/>
    </w:r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1235</Words>
  <Characters>1238</Characters>
  <Lines>0</Lines>
  <Paragraphs>0</Paragraphs>
  <TotalTime>2</TotalTime>
  <ScaleCrop>false</ScaleCrop>
  <LinksUpToDate>false</LinksUpToDate>
  <CharactersWithSpaces>1239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2025-09-17T07:29:00Z</dcterms:created>
  <dc:creator>茜茜 ✨</dc:creator>
  <cp:lastModifiedBy>茜茜 ✨</cp:lastModifiedBy>
  <dcterms:modified xsi:type="dcterms:W3CDTF">2025-09-17T07:50:16Z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5A06C776641C47DB95370CE714410613_11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