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68" w:rsidRDefault="00C94D68">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301"/>
        <w:gridCol w:w="6825"/>
        <w:gridCol w:w="772"/>
        <w:gridCol w:w="760"/>
      </w:tblGrid>
      <w:tr w:rsidR="00C94D68">
        <w:trPr>
          <w:trHeight w:val="762"/>
        </w:trPr>
        <w:tc>
          <w:tcPr>
            <w:tcW w:w="795" w:type="dxa"/>
            <w:shd w:val="clear" w:color="auto" w:fill="auto"/>
            <w:vAlign w:val="center"/>
          </w:tcPr>
          <w:p w:rsidR="00C94D68" w:rsidRDefault="00F735D4">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C94D68" w:rsidRDefault="00F735D4">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C94D68" w:rsidRDefault="00F735D4">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后勤物资评分细则</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C94D68">
        <w:trPr>
          <w:trHeight w:val="546"/>
        </w:trPr>
        <w:tc>
          <w:tcPr>
            <w:tcW w:w="795" w:type="dxa"/>
            <w:shd w:val="clear" w:color="auto" w:fill="auto"/>
            <w:vAlign w:val="center"/>
          </w:tcPr>
          <w:p w:rsidR="00C94D68" w:rsidRDefault="00F735D4">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C94D68" w:rsidRDefault="00F735D4">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C94D68">
        <w:trPr>
          <w:trHeight w:val="1038"/>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C94D68" w:rsidRDefault="00F735D4">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产品品牌</w:t>
            </w:r>
          </w:p>
          <w:p w:rsidR="00C94D68" w:rsidRDefault="00F735D4">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要求情况</w:t>
            </w:r>
          </w:p>
        </w:tc>
        <w:tc>
          <w:tcPr>
            <w:tcW w:w="6825" w:type="dxa"/>
            <w:shd w:val="clear" w:color="auto" w:fill="auto"/>
            <w:vAlign w:val="center"/>
          </w:tcPr>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评审委员会根据产品设计的品牌档次合理性情况进行打分。</w:t>
            </w:r>
          </w:p>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依据：评审专家以以采购清单中的品牌为标准来评价。</w:t>
            </w:r>
          </w:p>
          <w:p w:rsidR="00C94D68" w:rsidRDefault="00F735D4">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、完全符合</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C94D68" w:rsidRDefault="00F735D4">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、部分符合；得</w:t>
            </w:r>
            <w:r>
              <w:rPr>
                <w:rFonts w:ascii="等线" w:eastAsia="等线" w:hAnsi="等线" w:cs="等线"/>
                <w:szCs w:val="21"/>
              </w:rPr>
              <w:t>5</w:t>
            </w:r>
            <w:r>
              <w:rPr>
                <w:rFonts w:ascii="等线" w:eastAsia="等线" w:hAnsi="等线" w:cs="等线" w:hint="eastAsia"/>
                <w:szCs w:val="21"/>
              </w:rPr>
              <w:t>分；</w:t>
            </w:r>
          </w:p>
          <w:p w:rsidR="00C94D68" w:rsidRDefault="00F735D4">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、不符合；得</w:t>
            </w:r>
            <w:r>
              <w:rPr>
                <w:rFonts w:ascii="等线" w:eastAsia="等线" w:hAnsi="等线" w:cs="等线"/>
                <w:szCs w:val="21"/>
              </w:rPr>
              <w:t>0</w:t>
            </w:r>
            <w:r>
              <w:rPr>
                <w:rFonts w:ascii="等线" w:eastAsia="等线" w:hAnsi="等线" w:cs="等线" w:hint="eastAsia"/>
                <w:szCs w:val="21"/>
              </w:rPr>
              <w:t>分；</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C94D68">
        <w:trPr>
          <w:trHeight w:val="1467"/>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产品对比</w:t>
            </w:r>
          </w:p>
          <w:p w:rsidR="00C94D68" w:rsidRDefault="00F735D4">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C94D68" w:rsidRDefault="00F735D4">
            <w:pPr>
              <w:spacing w:line="300" w:lineRule="exact"/>
              <w:rPr>
                <w:rFonts w:ascii="宋体" w:eastAsia="等线" w:hAnsi="宋体"/>
                <w:szCs w:val="21"/>
              </w:rPr>
            </w:pPr>
            <w:r>
              <w:rPr>
                <w:rFonts w:ascii="宋体" w:eastAsia="等线" w:hAnsi="宋体" w:hint="eastAsia"/>
                <w:szCs w:val="21"/>
              </w:rPr>
              <w:t>产品性能、材质及质量、参数需求及比对结果情况。</w:t>
            </w:r>
          </w:p>
          <w:p w:rsidR="00C94D68" w:rsidRDefault="00F735D4">
            <w:pPr>
              <w:spacing w:line="300" w:lineRule="exact"/>
              <w:rPr>
                <w:rFonts w:ascii="宋体" w:eastAsia="等线" w:hAnsi="宋体"/>
                <w:szCs w:val="21"/>
              </w:rPr>
            </w:pPr>
            <w:r>
              <w:rPr>
                <w:rFonts w:ascii="宋体" w:eastAsia="等线" w:hAnsi="宋体" w:hint="eastAsia"/>
                <w:szCs w:val="21"/>
              </w:rPr>
              <w:t>依据：评审专家根据</w:t>
            </w:r>
            <w:r>
              <w:rPr>
                <w:rFonts w:ascii="等线" w:eastAsia="等线" w:hAnsi="等线" w:cs="等线" w:hint="eastAsia"/>
                <w:szCs w:val="21"/>
              </w:rPr>
              <w:t>样品</w:t>
            </w:r>
            <w:r>
              <w:rPr>
                <w:rFonts w:ascii="宋体" w:eastAsia="等线" w:hAnsi="宋体" w:hint="eastAsia"/>
                <w:szCs w:val="21"/>
              </w:rPr>
              <w:t>对比结果来评价。</w:t>
            </w:r>
          </w:p>
          <w:p w:rsidR="00C94D68" w:rsidRDefault="00F735D4">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w:t>
            </w:r>
            <w:r>
              <w:rPr>
                <w:rFonts w:ascii="等线" w:eastAsia="等线" w:hAnsi="等线" w:hint="eastAsia"/>
                <w:szCs w:val="21"/>
              </w:rPr>
              <w:t>完全符合</w:t>
            </w:r>
            <w:r>
              <w:rPr>
                <w:rFonts w:ascii="等线" w:eastAsia="等线" w:hAnsi="等线"/>
                <w:szCs w:val="21"/>
              </w:rPr>
              <w:t xml:space="preserve">  </w:t>
            </w:r>
            <w:r>
              <w:rPr>
                <w:rFonts w:ascii="等线" w:eastAsia="等线" w:hAnsi="等线"/>
                <w:szCs w:val="21"/>
              </w:rPr>
              <w:t>；得</w:t>
            </w:r>
            <w:r>
              <w:rPr>
                <w:rFonts w:ascii="等线" w:eastAsia="等线" w:hAnsi="等线"/>
                <w:szCs w:val="21"/>
              </w:rPr>
              <w:t>13</w:t>
            </w:r>
            <w:r>
              <w:rPr>
                <w:rFonts w:ascii="等线" w:eastAsia="等线" w:hAnsi="等线"/>
                <w:szCs w:val="21"/>
              </w:rPr>
              <w:t>分；</w:t>
            </w:r>
          </w:p>
          <w:p w:rsidR="00C94D68" w:rsidRDefault="00F735D4">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w:t>
            </w:r>
            <w:r>
              <w:rPr>
                <w:rFonts w:ascii="等线" w:eastAsia="等线" w:hAnsi="等线" w:hint="eastAsia"/>
                <w:szCs w:val="21"/>
              </w:rPr>
              <w:t>部分符合</w:t>
            </w:r>
            <w:r>
              <w:rPr>
                <w:rFonts w:ascii="等线" w:eastAsia="等线" w:hAnsi="等线"/>
                <w:szCs w:val="21"/>
              </w:rPr>
              <w:t>；得</w:t>
            </w:r>
            <w:r>
              <w:rPr>
                <w:rFonts w:ascii="等线" w:eastAsia="等线" w:hAnsi="等线"/>
                <w:szCs w:val="21"/>
              </w:rPr>
              <w:t>7</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C94D68" w:rsidRDefault="00F735D4">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w:t>
            </w:r>
            <w:r>
              <w:rPr>
                <w:rFonts w:ascii="等线" w:eastAsia="等线" w:hAnsi="等线" w:hint="eastAsia"/>
                <w:szCs w:val="21"/>
              </w:rPr>
              <w:t>不符合</w:t>
            </w:r>
            <w:r>
              <w:rPr>
                <w:rFonts w:ascii="等线" w:eastAsia="等线" w:hAnsi="等线"/>
                <w:szCs w:val="21"/>
              </w:rPr>
              <w:t>；得</w:t>
            </w:r>
            <w:r>
              <w:rPr>
                <w:rFonts w:ascii="等线" w:eastAsia="等线" w:hAnsi="等线"/>
                <w:szCs w:val="21"/>
              </w:rPr>
              <w:t>0</w:t>
            </w:r>
            <w:r>
              <w:rPr>
                <w:rFonts w:ascii="等线" w:eastAsia="等线" w:hAnsi="等线"/>
                <w:szCs w:val="21"/>
              </w:rPr>
              <w:t>分；</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13</w:t>
            </w:r>
            <w:r>
              <w:rPr>
                <w:rFonts w:ascii="宋体" w:eastAsia="等线" w:hAnsi="宋体" w:cs="宋体" w:hint="eastAsia"/>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13</w:t>
            </w:r>
            <w:r>
              <w:rPr>
                <w:rFonts w:ascii="宋体" w:eastAsia="等线" w:hAnsi="宋体" w:cs="宋体" w:hint="eastAsia"/>
                <w:szCs w:val="21"/>
              </w:rPr>
              <w:t>分</w:t>
            </w:r>
          </w:p>
        </w:tc>
      </w:tr>
      <w:tr w:rsidR="00C94D68">
        <w:trPr>
          <w:trHeight w:val="1269"/>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C94D68" w:rsidRDefault="00F735D4">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C94D68" w:rsidRDefault="00F735D4">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申报产品的规格符合情况。</w:t>
            </w:r>
          </w:p>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依据：以采购人提供的使用规格和评审专家以采购清单中的规格为标准赖来评价。</w:t>
            </w:r>
          </w:p>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完全符合</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15</w:t>
            </w:r>
            <w:r>
              <w:rPr>
                <w:rFonts w:ascii="等线" w:eastAsia="等线" w:hAnsi="等线" w:cs="等线"/>
                <w:szCs w:val="21"/>
              </w:rPr>
              <w:t>分；</w:t>
            </w:r>
          </w:p>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部分符合</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不符合</w:t>
            </w:r>
            <w:r>
              <w:rPr>
                <w:rFonts w:ascii="等线" w:eastAsia="等线" w:hAnsi="等线" w:cs="等线"/>
                <w:szCs w:val="21"/>
              </w:rPr>
              <w:t>；得</w:t>
            </w:r>
            <w:r>
              <w:rPr>
                <w:rFonts w:ascii="等线" w:eastAsia="等线" w:hAnsi="等线" w:cs="等线"/>
                <w:szCs w:val="21"/>
              </w:rPr>
              <w:t>0</w:t>
            </w:r>
            <w:r>
              <w:rPr>
                <w:rFonts w:ascii="等线" w:eastAsia="等线" w:hAnsi="等线" w:cs="等线"/>
                <w:szCs w:val="21"/>
              </w:rPr>
              <w:t>分；</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15</w:t>
            </w:r>
            <w:r>
              <w:rPr>
                <w:rFonts w:ascii="宋体" w:eastAsia="等线" w:hAnsi="宋体" w:cs="宋体" w:hint="eastAsia"/>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15</w:t>
            </w:r>
            <w:r>
              <w:rPr>
                <w:rFonts w:ascii="宋体" w:eastAsia="等线" w:hAnsi="宋体" w:cs="宋体" w:hint="eastAsia"/>
                <w:szCs w:val="21"/>
              </w:rPr>
              <w:t>分</w:t>
            </w:r>
          </w:p>
        </w:tc>
      </w:tr>
      <w:tr w:rsidR="00C94D68">
        <w:trPr>
          <w:trHeight w:val="1230"/>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cs="宋体" w:hint="eastAsia"/>
                <w:kern w:val="0"/>
                <w:szCs w:val="21"/>
              </w:rPr>
              <w:t>产品可靠性保障</w:t>
            </w:r>
          </w:p>
        </w:tc>
        <w:tc>
          <w:tcPr>
            <w:tcW w:w="6825" w:type="dxa"/>
            <w:shd w:val="clear" w:color="auto" w:fill="auto"/>
            <w:vAlign w:val="center"/>
          </w:tcPr>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产品的来源、包装、保存、运输各环节的可靠性评估。</w:t>
            </w:r>
          </w:p>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依据：根据投标人对四个环节的质量保证措施及方案完善程度进行评价。</w:t>
            </w:r>
          </w:p>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满足各环节</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C94D68" w:rsidRDefault="00F735D4">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满足三个环节</w:t>
            </w:r>
            <w:r>
              <w:rPr>
                <w:rFonts w:ascii="等线" w:eastAsia="等线" w:hAnsi="等线" w:cs="等线"/>
                <w:szCs w:val="21"/>
              </w:rPr>
              <w:t>；得</w:t>
            </w:r>
            <w:r>
              <w:rPr>
                <w:rFonts w:ascii="等线" w:eastAsia="等线" w:hAnsi="等线" w:cs="等线" w:hint="eastAsia"/>
                <w:szCs w:val="21"/>
              </w:rPr>
              <w:t>6</w:t>
            </w:r>
            <w:r>
              <w:rPr>
                <w:rFonts w:ascii="等线" w:eastAsia="等线" w:hAnsi="等线" w:cs="等线"/>
                <w:szCs w:val="21"/>
              </w:rPr>
              <w:t>分；</w:t>
            </w:r>
          </w:p>
          <w:p w:rsidR="00C94D68" w:rsidRDefault="00F735D4">
            <w:pPr>
              <w:spacing w:line="300" w:lineRule="exact"/>
              <w:ind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满足两个环节</w:t>
            </w:r>
            <w:r>
              <w:rPr>
                <w:rFonts w:ascii="等线" w:eastAsia="等线" w:hAnsi="等线" w:cs="等线"/>
                <w:szCs w:val="21"/>
              </w:rPr>
              <w:t>；得</w:t>
            </w:r>
            <w:r>
              <w:rPr>
                <w:rFonts w:ascii="等线" w:eastAsia="等线" w:hAnsi="等线" w:cs="等线" w:hint="eastAsia"/>
                <w:szCs w:val="21"/>
              </w:rPr>
              <w:t>4</w:t>
            </w:r>
            <w:r>
              <w:rPr>
                <w:rFonts w:ascii="等线" w:eastAsia="等线" w:hAnsi="等线" w:cs="等线"/>
                <w:szCs w:val="21"/>
              </w:rPr>
              <w:t>分；</w:t>
            </w:r>
          </w:p>
          <w:p w:rsidR="00C94D68" w:rsidRDefault="00F735D4">
            <w:pPr>
              <w:spacing w:line="300" w:lineRule="exact"/>
              <w:ind w:rightChars="-35" w:right="-73"/>
              <w:jc w:val="left"/>
            </w:pPr>
            <w:r>
              <w:rPr>
                <w:rFonts w:ascii="等线" w:eastAsia="等线" w:hAnsi="等线" w:cs="等线" w:hint="eastAsia"/>
                <w:szCs w:val="21"/>
              </w:rPr>
              <w:t>D</w:t>
            </w:r>
            <w:r>
              <w:rPr>
                <w:rFonts w:ascii="等线" w:eastAsia="等线" w:hAnsi="等线" w:cs="等线"/>
                <w:szCs w:val="21"/>
              </w:rPr>
              <w:t>、</w:t>
            </w:r>
            <w:r>
              <w:rPr>
                <w:rFonts w:ascii="等线" w:eastAsia="等线" w:hAnsi="等线" w:cs="等线" w:hint="eastAsia"/>
                <w:szCs w:val="21"/>
              </w:rPr>
              <w:t>满足一个环节</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C94D68">
        <w:trPr>
          <w:trHeight w:val="746"/>
        </w:trPr>
        <w:tc>
          <w:tcPr>
            <w:tcW w:w="795" w:type="dxa"/>
            <w:shd w:val="clear" w:color="auto" w:fill="auto"/>
            <w:vAlign w:val="center"/>
          </w:tcPr>
          <w:p w:rsidR="00C94D68" w:rsidRDefault="00F735D4">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C94D68" w:rsidRDefault="00F735D4">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C94D68">
        <w:trPr>
          <w:trHeight w:val="703"/>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C94D68" w:rsidRDefault="00F735D4">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以医院供应商评价结果、近效期产品退换、配送服务保障措施与应急措施等伴随服务项目的情况为依据进行评价（没有配送过的以承诺书为准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C94D68" w:rsidRDefault="00F735D4">
            <w:pPr>
              <w:spacing w:line="320" w:lineRule="exact"/>
              <w:rPr>
                <w:rFonts w:ascii="宋体" w:hAnsi="宋体" w:cs="宋体"/>
                <w:bCs/>
                <w:sz w:val="24"/>
              </w:rPr>
            </w:pPr>
            <w:r>
              <w:rPr>
                <w:rFonts w:ascii="宋体" w:hAnsi="宋体" w:cs="宋体" w:hint="eastAsia"/>
                <w:bCs/>
                <w:sz w:val="24"/>
              </w:rPr>
              <w:t>1.</w:t>
            </w:r>
            <w:r>
              <w:rPr>
                <w:rFonts w:ascii="宋体" w:hAnsi="宋体" w:cs="宋体" w:hint="eastAsia"/>
                <w:bCs/>
                <w:sz w:val="24"/>
              </w:rPr>
              <w:t>自有快递或合作的快递公司为顺丰的，得</w:t>
            </w:r>
            <w:r>
              <w:rPr>
                <w:rFonts w:ascii="宋体" w:hAnsi="宋体" w:cs="宋体"/>
                <w:bCs/>
                <w:sz w:val="24"/>
              </w:rPr>
              <w:t>6</w:t>
            </w:r>
            <w:r>
              <w:rPr>
                <w:rFonts w:ascii="宋体" w:hAnsi="宋体" w:cs="宋体" w:hint="eastAsia"/>
                <w:bCs/>
                <w:sz w:val="24"/>
              </w:rPr>
              <w:t>分；</w:t>
            </w:r>
          </w:p>
          <w:p w:rsidR="00C94D68" w:rsidRDefault="00F735D4">
            <w:pPr>
              <w:spacing w:line="320" w:lineRule="exact"/>
              <w:rPr>
                <w:rFonts w:ascii="宋体" w:hAnsi="宋体" w:cs="宋体"/>
                <w:bCs/>
                <w:sz w:val="24"/>
              </w:rPr>
            </w:pPr>
            <w:r>
              <w:rPr>
                <w:rFonts w:ascii="宋体" w:hAnsi="宋体" w:cs="宋体" w:hint="eastAsia"/>
                <w:bCs/>
                <w:sz w:val="24"/>
              </w:rPr>
              <w:t>2.</w:t>
            </w:r>
            <w:r>
              <w:rPr>
                <w:rFonts w:ascii="宋体" w:hAnsi="宋体" w:cs="宋体" w:hint="eastAsia"/>
                <w:bCs/>
                <w:sz w:val="24"/>
              </w:rPr>
              <w:t>合作的快递公司为京东的，得</w:t>
            </w:r>
            <w:r>
              <w:rPr>
                <w:rFonts w:ascii="宋体" w:hAnsi="宋体" w:cs="宋体"/>
                <w:bCs/>
                <w:sz w:val="24"/>
              </w:rPr>
              <w:t>4</w:t>
            </w:r>
            <w:r>
              <w:rPr>
                <w:rFonts w:ascii="宋体" w:hAnsi="宋体" w:cs="宋体" w:hint="eastAsia"/>
                <w:bCs/>
                <w:sz w:val="24"/>
              </w:rPr>
              <w:t>分；</w:t>
            </w:r>
          </w:p>
          <w:p w:rsidR="00C94D68" w:rsidRDefault="00F735D4">
            <w:pPr>
              <w:spacing w:line="320" w:lineRule="exact"/>
              <w:rPr>
                <w:rFonts w:ascii="宋体" w:hAnsi="宋体" w:cs="宋体"/>
                <w:bCs/>
                <w:sz w:val="24"/>
              </w:rPr>
            </w:pPr>
            <w:r>
              <w:rPr>
                <w:rFonts w:ascii="宋体" w:hAnsi="宋体" w:cs="宋体" w:hint="eastAsia"/>
                <w:bCs/>
                <w:sz w:val="24"/>
              </w:rPr>
              <w:t>3.</w:t>
            </w:r>
            <w:r>
              <w:rPr>
                <w:rFonts w:ascii="宋体" w:hAnsi="宋体" w:cs="宋体" w:hint="eastAsia"/>
                <w:bCs/>
                <w:sz w:val="24"/>
              </w:rPr>
              <w:t>合作的快递公司为其他快递公司的，得</w:t>
            </w:r>
            <w:r>
              <w:rPr>
                <w:rFonts w:ascii="宋体" w:hAnsi="宋体" w:cs="宋体"/>
                <w:bCs/>
                <w:sz w:val="24"/>
              </w:rPr>
              <w:t>2</w:t>
            </w:r>
            <w:r>
              <w:rPr>
                <w:rFonts w:ascii="宋体" w:hAnsi="宋体" w:cs="宋体" w:hint="eastAsia"/>
                <w:bCs/>
                <w:sz w:val="24"/>
              </w:rPr>
              <w:t>分；</w:t>
            </w:r>
          </w:p>
          <w:p w:rsidR="00C94D68" w:rsidRDefault="00F735D4">
            <w:pPr>
              <w:spacing w:line="300" w:lineRule="exact"/>
              <w:ind w:leftChars="-30" w:left="-63" w:rightChars="-42" w:right="-88"/>
              <w:jc w:val="left"/>
              <w:rPr>
                <w:rFonts w:ascii="宋体" w:eastAsia="等线" w:hAnsi="宋体"/>
                <w:szCs w:val="21"/>
              </w:rPr>
            </w:pPr>
            <w:r>
              <w:rPr>
                <w:rFonts w:ascii="宋体" w:hAnsi="宋体" w:cs="宋体" w:hint="eastAsia"/>
                <w:bCs/>
                <w:sz w:val="24"/>
              </w:rPr>
              <w:t>以上资料均要求提供扫描件加盖投标人公章，原件备查；评分中出现无证明资料或专家无法凭所提供资料判断是否得分的情况，一律作不得分处理</w:t>
            </w:r>
          </w:p>
        </w:tc>
        <w:tc>
          <w:tcPr>
            <w:tcW w:w="772" w:type="dxa"/>
            <w:shd w:val="clear" w:color="auto" w:fill="auto"/>
            <w:vAlign w:val="center"/>
          </w:tcPr>
          <w:p w:rsidR="00C94D68" w:rsidRDefault="00F735D4">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C94D68">
        <w:trPr>
          <w:trHeight w:val="846"/>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C94D68" w:rsidRDefault="00F735D4">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C94D68" w:rsidRDefault="00F735D4">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C94D68" w:rsidRDefault="00F735D4">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C94D68" w:rsidRDefault="00F735D4">
            <w:pPr>
              <w:spacing w:line="320" w:lineRule="exact"/>
              <w:rPr>
                <w:rFonts w:ascii="宋体" w:hAnsi="宋体" w:cs="宋体"/>
                <w:bCs/>
                <w:sz w:val="24"/>
              </w:rPr>
            </w:pPr>
            <w:r>
              <w:rPr>
                <w:rFonts w:ascii="宋体" w:hAnsi="宋体" w:cs="宋体" w:hint="eastAsia"/>
                <w:bCs/>
                <w:sz w:val="24"/>
              </w:rPr>
              <w:t>1.</w:t>
            </w:r>
            <w:r>
              <w:rPr>
                <w:rFonts w:ascii="宋体" w:hAnsi="宋体" w:cs="宋体" w:hint="eastAsia"/>
                <w:bCs/>
                <w:sz w:val="24"/>
              </w:rPr>
              <w:t>方案内容全面详细，针对性强，整体实操性高，加</w:t>
            </w:r>
            <w:r>
              <w:rPr>
                <w:rFonts w:ascii="宋体" w:hAnsi="宋体" w:cs="宋体"/>
                <w:bCs/>
                <w:sz w:val="24"/>
              </w:rPr>
              <w:t>6</w:t>
            </w:r>
            <w:r>
              <w:rPr>
                <w:rFonts w:ascii="宋体" w:hAnsi="宋体" w:cs="宋体" w:hint="eastAsia"/>
                <w:bCs/>
                <w:sz w:val="24"/>
              </w:rPr>
              <w:t>分；</w:t>
            </w:r>
          </w:p>
          <w:p w:rsidR="00C94D68" w:rsidRDefault="00F735D4">
            <w:pPr>
              <w:spacing w:line="320" w:lineRule="exact"/>
              <w:rPr>
                <w:rFonts w:ascii="宋体" w:hAnsi="宋体" w:cs="宋体"/>
                <w:bCs/>
                <w:sz w:val="24"/>
              </w:rPr>
            </w:pPr>
            <w:r>
              <w:rPr>
                <w:rFonts w:ascii="宋体" w:hAnsi="宋体" w:cs="宋体" w:hint="eastAsia"/>
                <w:bCs/>
                <w:sz w:val="24"/>
              </w:rPr>
              <w:t>2.</w:t>
            </w:r>
            <w:r>
              <w:rPr>
                <w:rFonts w:ascii="宋体" w:hAnsi="宋体" w:cs="宋体" w:hint="eastAsia"/>
                <w:bCs/>
                <w:sz w:val="24"/>
              </w:rPr>
              <w:t>方案内容较全面详细，</w:t>
            </w:r>
            <w:r>
              <w:rPr>
                <w:rFonts w:ascii="宋体" w:hAnsi="宋体" w:cs="宋体" w:hint="eastAsia"/>
                <w:kern w:val="0"/>
                <w:sz w:val="24"/>
              </w:rPr>
              <w:t>针对性较强，</w:t>
            </w:r>
            <w:r>
              <w:rPr>
                <w:rFonts w:ascii="宋体" w:hAnsi="宋体" w:cs="宋体" w:hint="eastAsia"/>
                <w:bCs/>
                <w:sz w:val="24"/>
              </w:rPr>
              <w:t>整体实操性较高，加</w:t>
            </w:r>
            <w:r>
              <w:rPr>
                <w:rFonts w:ascii="宋体" w:hAnsi="宋体" w:cs="宋体" w:hint="eastAsia"/>
                <w:bCs/>
                <w:sz w:val="24"/>
              </w:rPr>
              <w:t>4</w:t>
            </w:r>
            <w:r>
              <w:rPr>
                <w:rFonts w:ascii="宋体" w:hAnsi="宋体" w:cs="宋体" w:hint="eastAsia"/>
                <w:bCs/>
                <w:sz w:val="24"/>
              </w:rPr>
              <w:t>分；</w:t>
            </w:r>
          </w:p>
          <w:p w:rsidR="00C94D68" w:rsidRDefault="00F735D4">
            <w:pPr>
              <w:spacing w:line="320" w:lineRule="exact"/>
              <w:rPr>
                <w:rFonts w:ascii="宋体" w:hAnsi="宋体" w:cs="宋体"/>
                <w:bCs/>
                <w:sz w:val="24"/>
              </w:rPr>
            </w:pPr>
            <w:r>
              <w:rPr>
                <w:rFonts w:ascii="宋体" w:hAnsi="宋体" w:cs="宋体" w:hint="eastAsia"/>
                <w:bCs/>
                <w:sz w:val="24"/>
              </w:rPr>
              <w:t>3.</w:t>
            </w:r>
            <w:r>
              <w:rPr>
                <w:rFonts w:ascii="宋体" w:hAnsi="宋体" w:cs="宋体" w:hint="eastAsia"/>
                <w:bCs/>
                <w:sz w:val="24"/>
              </w:rPr>
              <w:t>方案内容、</w:t>
            </w:r>
            <w:r>
              <w:rPr>
                <w:rFonts w:ascii="宋体" w:hAnsi="宋体" w:cs="宋体" w:hint="eastAsia"/>
                <w:kern w:val="0"/>
                <w:sz w:val="24"/>
              </w:rPr>
              <w:t>针对性、可操作性均一般</w:t>
            </w:r>
            <w:r>
              <w:rPr>
                <w:rFonts w:ascii="宋体" w:hAnsi="宋体" w:cs="宋体" w:hint="eastAsia"/>
                <w:bCs/>
                <w:sz w:val="24"/>
              </w:rPr>
              <w:t>，加</w:t>
            </w:r>
            <w:r>
              <w:rPr>
                <w:rFonts w:ascii="宋体" w:hAnsi="宋体" w:cs="宋体" w:hint="eastAsia"/>
                <w:bCs/>
                <w:sz w:val="24"/>
              </w:rPr>
              <w:t>2</w:t>
            </w:r>
            <w:r>
              <w:rPr>
                <w:rFonts w:ascii="宋体" w:hAnsi="宋体" w:cs="宋体" w:hint="eastAsia"/>
                <w:bCs/>
                <w:sz w:val="24"/>
              </w:rPr>
              <w:t>分；</w:t>
            </w:r>
          </w:p>
          <w:p w:rsidR="00C94D68" w:rsidRDefault="00C94D68">
            <w:pPr>
              <w:spacing w:line="300" w:lineRule="exact"/>
              <w:ind w:leftChars="-30" w:left="-63" w:rightChars="-42" w:right="-88"/>
              <w:jc w:val="left"/>
              <w:rPr>
                <w:rFonts w:ascii="宋体" w:eastAsia="等线" w:hAnsi="宋体"/>
                <w:szCs w:val="21"/>
              </w:rPr>
            </w:pPr>
          </w:p>
        </w:tc>
        <w:tc>
          <w:tcPr>
            <w:tcW w:w="772" w:type="dxa"/>
            <w:shd w:val="clear" w:color="auto" w:fill="auto"/>
            <w:vAlign w:val="center"/>
          </w:tcPr>
          <w:p w:rsidR="00C94D68" w:rsidRDefault="00F735D4">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C94D68">
        <w:trPr>
          <w:trHeight w:val="2267"/>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C94D68" w:rsidRDefault="00F735D4">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针对本项目的需求制定服务方案（包括配送服务与售后服务等）。</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u w:val="single"/>
              </w:rPr>
              <w:t>分</w:t>
            </w:r>
          </w:p>
        </w:tc>
      </w:tr>
      <w:tr w:rsidR="00C94D68">
        <w:trPr>
          <w:trHeight w:val="411"/>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b/>
                <w:sz w:val="28"/>
                <w:szCs w:val="21"/>
              </w:rPr>
              <w:t>2</w:t>
            </w:r>
            <w:r>
              <w:rPr>
                <w:rFonts w:ascii="宋体" w:eastAsia="等线" w:hAnsi="宋体" w:hint="eastAsia"/>
                <w:b/>
                <w:sz w:val="28"/>
                <w:szCs w:val="21"/>
              </w:rPr>
              <w:t>0</w:t>
            </w:r>
            <w:r>
              <w:rPr>
                <w:rFonts w:ascii="宋体" w:eastAsia="等线" w:hAnsi="宋体" w:hint="eastAsia"/>
                <w:b/>
                <w:sz w:val="28"/>
                <w:szCs w:val="21"/>
              </w:rPr>
              <w:t>分）</w:t>
            </w:r>
          </w:p>
        </w:tc>
      </w:tr>
      <w:tr w:rsidR="00C94D68">
        <w:trPr>
          <w:trHeight w:val="972"/>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C94D68" w:rsidRDefault="00F735D4">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hint="eastAsia"/>
                <w:szCs w:val="21"/>
              </w:rPr>
              <w:t xml:space="preserve"> </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查询后向评审委员会提供相关信息。</w:t>
            </w:r>
            <w:r>
              <w:rPr>
                <w:rFonts w:ascii="宋体" w:eastAsia="等线" w:hAnsi="宋体" w:hint="eastAsia"/>
                <w:szCs w:val="21"/>
              </w:rPr>
              <w:t>)</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szCs w:val="21"/>
              </w:rPr>
            </w:pPr>
            <w:r>
              <w:rPr>
                <w:rFonts w:ascii="宋体" w:eastAsia="等线" w:hAnsi="宋体"/>
                <w:szCs w:val="21"/>
              </w:rPr>
              <w:t>5</w:t>
            </w:r>
            <w:r>
              <w:rPr>
                <w:rFonts w:ascii="宋体" w:eastAsia="等线" w:hAnsi="宋体" w:hint="eastAsia"/>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5</w:t>
            </w:r>
            <w:r>
              <w:rPr>
                <w:rFonts w:ascii="宋体" w:eastAsia="等线" w:hAnsi="宋体" w:cs="宋体" w:hint="eastAsia"/>
                <w:szCs w:val="21"/>
              </w:rPr>
              <w:t>分</w:t>
            </w:r>
          </w:p>
        </w:tc>
      </w:tr>
      <w:tr w:rsidR="00C94D68">
        <w:trPr>
          <w:trHeight w:val="1709"/>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C94D68" w:rsidRDefault="00F735D4">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）评审标准：</w:t>
            </w:r>
            <w:r>
              <w:rPr>
                <w:rFonts w:ascii="宋体" w:eastAsia="等线" w:hAnsi="宋体" w:hint="eastAsia"/>
                <w:szCs w:val="21"/>
              </w:rPr>
              <w:t xml:space="preserve"> </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提供</w:t>
            </w:r>
            <w:r>
              <w:rPr>
                <w:rFonts w:ascii="宋体" w:eastAsia="等线" w:hAnsi="宋体" w:hint="eastAsia"/>
                <w:szCs w:val="21"/>
              </w:rPr>
              <w:t>2020</w:t>
            </w:r>
            <w:r>
              <w:rPr>
                <w:rFonts w:ascii="宋体" w:eastAsia="等线" w:hAnsi="宋体" w:hint="eastAsia"/>
                <w:szCs w:val="21"/>
              </w:rPr>
              <w:t>年</w:t>
            </w:r>
            <w:r>
              <w:rPr>
                <w:rFonts w:ascii="宋体" w:eastAsia="等线" w:hAnsi="宋体" w:hint="eastAsia"/>
                <w:szCs w:val="21"/>
              </w:rPr>
              <w:t>1</w:t>
            </w:r>
            <w:r>
              <w:rPr>
                <w:rFonts w:ascii="宋体" w:eastAsia="等线" w:hAnsi="宋体" w:hint="eastAsia"/>
                <w:szCs w:val="21"/>
              </w:rPr>
              <w:t>月</w:t>
            </w:r>
            <w:r>
              <w:rPr>
                <w:rFonts w:ascii="宋体" w:eastAsia="等线" w:hAnsi="宋体" w:hint="eastAsia"/>
                <w:szCs w:val="21"/>
              </w:rPr>
              <w:t>1</w:t>
            </w:r>
            <w:r>
              <w:rPr>
                <w:rFonts w:ascii="宋体" w:eastAsia="等线" w:hAnsi="宋体" w:hint="eastAsia"/>
                <w:szCs w:val="21"/>
              </w:rPr>
              <w:t>日至本项目投标截止之日由服务单位出具的经考核评价为优或其他最高级别评价的证明，每提供一份证明得</w:t>
            </w:r>
            <w:r>
              <w:rPr>
                <w:rFonts w:ascii="宋体" w:eastAsia="等线" w:hAnsi="宋体" w:hint="eastAsia"/>
                <w:szCs w:val="21"/>
              </w:rPr>
              <w:t>1</w:t>
            </w:r>
            <w:r>
              <w:rPr>
                <w:rFonts w:ascii="宋体" w:eastAsia="等线" w:hAnsi="宋体" w:hint="eastAsia"/>
                <w:szCs w:val="21"/>
              </w:rPr>
              <w:t>分，最高得</w:t>
            </w:r>
            <w:r>
              <w:rPr>
                <w:rFonts w:ascii="宋体" w:eastAsia="等线" w:hAnsi="宋体" w:hint="eastAsia"/>
                <w:szCs w:val="21"/>
              </w:rPr>
              <w:t>4</w:t>
            </w:r>
            <w:r>
              <w:rPr>
                <w:rFonts w:ascii="宋体" w:eastAsia="等线" w:hAnsi="宋体" w:hint="eastAsia"/>
                <w:szCs w:val="21"/>
              </w:rPr>
              <w:t>分。同一单位出具多份评价证明的不可重复得分。</w:t>
            </w:r>
            <w:r>
              <w:rPr>
                <w:rFonts w:ascii="宋体" w:eastAsia="等线" w:hAnsi="宋体" w:hint="eastAsia"/>
                <w:szCs w:val="21"/>
              </w:rPr>
              <w:t xml:space="preserve"> </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）证明文件：</w:t>
            </w:r>
            <w:r>
              <w:rPr>
                <w:rFonts w:ascii="宋体" w:eastAsia="等线" w:hAnsi="宋体" w:hint="eastAsia"/>
                <w:szCs w:val="21"/>
              </w:rPr>
              <w:t xml:space="preserve"> </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szCs w:val="21"/>
              </w:rPr>
            </w:pPr>
            <w:r>
              <w:rPr>
                <w:rFonts w:ascii="宋体" w:eastAsia="等线" w:hAnsi="宋体"/>
                <w:szCs w:val="21"/>
              </w:rPr>
              <w:t>5</w:t>
            </w:r>
            <w:r>
              <w:rPr>
                <w:rFonts w:ascii="宋体" w:eastAsia="等线" w:hAnsi="宋体" w:hint="eastAsia"/>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5</w:t>
            </w:r>
            <w:r>
              <w:rPr>
                <w:rFonts w:ascii="宋体" w:eastAsia="等线" w:hAnsi="宋体" w:cs="宋体" w:hint="eastAsia"/>
                <w:szCs w:val="21"/>
              </w:rPr>
              <w:t>分</w:t>
            </w:r>
          </w:p>
        </w:tc>
      </w:tr>
      <w:tr w:rsidR="00C94D68">
        <w:trPr>
          <w:trHeight w:val="1723"/>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C94D68" w:rsidRDefault="00F735D4">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同类项目业绩情况</w:t>
            </w:r>
          </w:p>
        </w:tc>
        <w:tc>
          <w:tcPr>
            <w:tcW w:w="6825" w:type="dxa"/>
            <w:shd w:val="clear" w:color="auto" w:fill="auto"/>
            <w:vAlign w:val="center"/>
          </w:tcPr>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）评审标准：</w:t>
            </w:r>
          </w:p>
          <w:p w:rsidR="00C94D68" w:rsidRDefault="00F735D4">
            <w:pPr>
              <w:snapToGrid w:val="0"/>
              <w:spacing w:line="320" w:lineRule="exact"/>
              <w:rPr>
                <w:rFonts w:ascii="宋体" w:hAnsi="宋体" w:cs="宋体"/>
                <w:bCs/>
                <w:sz w:val="24"/>
              </w:rPr>
            </w:pPr>
            <w:r>
              <w:rPr>
                <w:rFonts w:ascii="宋体" w:eastAsia="等线" w:hAnsi="宋体" w:hint="eastAsia"/>
                <w:szCs w:val="21"/>
              </w:rPr>
              <w:t>投标人自</w:t>
            </w:r>
            <w:r>
              <w:rPr>
                <w:rFonts w:ascii="宋体" w:eastAsia="等线" w:hAnsi="宋体" w:hint="eastAsia"/>
                <w:szCs w:val="21"/>
              </w:rPr>
              <w:t>2020</w:t>
            </w:r>
            <w:r>
              <w:rPr>
                <w:rFonts w:ascii="宋体" w:eastAsia="等线" w:hAnsi="宋体" w:hint="eastAsia"/>
                <w:szCs w:val="21"/>
              </w:rPr>
              <w:t>年</w:t>
            </w:r>
            <w:r>
              <w:rPr>
                <w:rFonts w:ascii="宋体" w:eastAsia="等线" w:hAnsi="宋体" w:hint="eastAsia"/>
                <w:szCs w:val="21"/>
              </w:rPr>
              <w:t>1</w:t>
            </w:r>
            <w:r>
              <w:rPr>
                <w:rFonts w:ascii="宋体" w:eastAsia="等线" w:hAnsi="宋体" w:hint="eastAsia"/>
                <w:szCs w:val="21"/>
              </w:rPr>
              <w:t>月</w:t>
            </w:r>
            <w:r>
              <w:rPr>
                <w:rFonts w:ascii="宋体" w:eastAsia="等线" w:hAnsi="宋体" w:hint="eastAsia"/>
                <w:szCs w:val="21"/>
              </w:rPr>
              <w:t>1</w:t>
            </w:r>
            <w:r>
              <w:rPr>
                <w:rFonts w:ascii="宋体" w:eastAsia="等线" w:hAnsi="宋体" w:hint="eastAsia"/>
                <w:szCs w:val="21"/>
              </w:rPr>
              <w:t>日至本项目投标截止时间（以合同签订日期为准）</w:t>
            </w:r>
            <w:r>
              <w:rPr>
                <w:rFonts w:ascii="宋体" w:hAnsi="宋体" w:cs="宋体" w:hint="eastAsia"/>
                <w:sz w:val="24"/>
              </w:rPr>
              <w:t>，</w:t>
            </w:r>
            <w:r>
              <w:rPr>
                <w:rFonts w:ascii="宋体" w:hAnsi="宋体" w:cs="宋体" w:hint="eastAsia"/>
                <w:bCs/>
                <w:sz w:val="24"/>
              </w:rPr>
              <w:t>每提供</w:t>
            </w:r>
            <w:r>
              <w:rPr>
                <w:rFonts w:ascii="宋体" w:hAnsi="宋体" w:cs="宋体" w:hint="eastAsia"/>
                <w:bCs/>
                <w:sz w:val="24"/>
              </w:rPr>
              <w:t>1</w:t>
            </w:r>
            <w:r>
              <w:rPr>
                <w:rFonts w:ascii="宋体" w:hAnsi="宋体" w:cs="宋体" w:hint="eastAsia"/>
                <w:bCs/>
                <w:sz w:val="24"/>
              </w:rPr>
              <w:t>项同类项目业绩的得</w:t>
            </w:r>
            <w:r>
              <w:rPr>
                <w:rFonts w:ascii="宋体" w:hAnsi="宋体" w:cs="宋体"/>
                <w:bCs/>
                <w:sz w:val="24"/>
              </w:rPr>
              <w:t>2</w:t>
            </w:r>
            <w:r>
              <w:rPr>
                <w:rFonts w:ascii="宋体" w:hAnsi="宋体" w:cs="宋体" w:hint="eastAsia"/>
                <w:bCs/>
                <w:sz w:val="24"/>
              </w:rPr>
              <w:t>分，满分</w:t>
            </w:r>
            <w:r>
              <w:rPr>
                <w:rFonts w:ascii="宋体" w:hAnsi="宋体" w:cs="宋体" w:hint="eastAsia"/>
                <w:bCs/>
                <w:sz w:val="24"/>
              </w:rPr>
              <w:t>1</w:t>
            </w:r>
            <w:r>
              <w:rPr>
                <w:rFonts w:ascii="宋体" w:hAnsi="宋体" w:cs="宋体"/>
                <w:bCs/>
                <w:sz w:val="24"/>
              </w:rPr>
              <w:t>0</w:t>
            </w:r>
            <w:r>
              <w:rPr>
                <w:rFonts w:ascii="宋体" w:hAnsi="宋体" w:cs="宋体" w:hint="eastAsia"/>
                <w:bCs/>
                <w:sz w:val="24"/>
              </w:rPr>
              <w:t>分。</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）证明文件：</w:t>
            </w:r>
          </w:p>
          <w:p w:rsidR="00C94D68" w:rsidRDefault="00F735D4">
            <w:pPr>
              <w:spacing w:line="300" w:lineRule="exact"/>
              <w:ind w:leftChars="-30" w:left="-63" w:rightChars="-42" w:right="-88"/>
              <w:jc w:val="left"/>
              <w:rPr>
                <w:rFonts w:ascii="宋体" w:eastAsia="等线" w:hAnsi="宋体"/>
                <w:szCs w:val="21"/>
              </w:rPr>
            </w:pPr>
            <w:r>
              <w:rPr>
                <w:rFonts w:ascii="宋体" w:eastAsia="等线" w:hAnsi="宋体" w:hint="eastAsia"/>
                <w:szCs w:val="21"/>
              </w:rPr>
              <w:t>1.</w:t>
            </w:r>
            <w:r>
              <w:rPr>
                <w:rFonts w:ascii="宋体" w:eastAsia="等线" w:hAnsi="宋体" w:hint="eastAsia"/>
                <w:szCs w:val="21"/>
              </w:rPr>
              <w:t>要求提供合同关键页（含签订合同双方的单位名称、合同项目名称、签订合同双方的落款盖章、签订日期的关键页）作为得分依据。</w:t>
            </w:r>
          </w:p>
          <w:p w:rsidR="00C94D68" w:rsidRDefault="00C94D68">
            <w:pPr>
              <w:spacing w:line="300" w:lineRule="exact"/>
              <w:ind w:leftChars="-30" w:left="-63" w:rightChars="-42" w:right="-88"/>
              <w:jc w:val="left"/>
              <w:rPr>
                <w:rFonts w:ascii="等线" w:eastAsia="等线" w:hAnsi="等线" w:cs="等线"/>
                <w:szCs w:val="21"/>
              </w:rPr>
            </w:pP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szCs w:val="21"/>
              </w:rPr>
            </w:pPr>
            <w:r>
              <w:rPr>
                <w:rFonts w:ascii="宋体" w:eastAsia="等线" w:hAnsi="宋体"/>
                <w:szCs w:val="21"/>
              </w:rPr>
              <w:t>10</w:t>
            </w:r>
            <w:r>
              <w:rPr>
                <w:rFonts w:ascii="宋体" w:eastAsia="等线" w:hAnsi="宋体" w:hint="eastAsia"/>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10</w:t>
            </w:r>
            <w:r>
              <w:rPr>
                <w:rFonts w:ascii="宋体" w:eastAsia="等线" w:hAnsi="宋体" w:cs="宋体" w:hint="eastAsia"/>
                <w:szCs w:val="21"/>
              </w:rPr>
              <w:t>分</w:t>
            </w:r>
          </w:p>
        </w:tc>
      </w:tr>
      <w:tr w:rsidR="00C94D68">
        <w:trPr>
          <w:trHeight w:val="331"/>
        </w:trPr>
        <w:tc>
          <w:tcPr>
            <w:tcW w:w="795" w:type="dxa"/>
            <w:shd w:val="clear" w:color="auto" w:fill="auto"/>
            <w:vAlign w:val="center"/>
          </w:tcPr>
          <w:p w:rsidR="00C94D68" w:rsidRDefault="00F735D4">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C94D68" w:rsidRDefault="00F735D4">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b/>
                <w:sz w:val="28"/>
                <w:szCs w:val="21"/>
              </w:rPr>
              <w:t>20</w:t>
            </w:r>
            <w:r>
              <w:rPr>
                <w:rFonts w:ascii="宋体" w:eastAsia="等线" w:hAnsi="宋体" w:hint="eastAsia"/>
                <w:b/>
                <w:sz w:val="28"/>
                <w:szCs w:val="21"/>
              </w:rPr>
              <w:t>分）</w:t>
            </w:r>
          </w:p>
        </w:tc>
      </w:tr>
      <w:tr w:rsidR="00C94D68">
        <w:trPr>
          <w:trHeight w:val="703"/>
        </w:trPr>
        <w:tc>
          <w:tcPr>
            <w:tcW w:w="795"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C94D68" w:rsidRDefault="00F735D4">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C94D68" w:rsidRDefault="00F735D4">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C94D68" w:rsidRDefault="00F735D4">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C94D68" w:rsidRDefault="00F735D4">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C94D68" w:rsidRDefault="00F735D4">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szCs w:val="21"/>
              </w:rPr>
              <w:t>2</w:t>
            </w:r>
            <w:r>
              <w:rPr>
                <w:rFonts w:ascii="宋体" w:eastAsia="等线" w:hAnsi="宋体" w:hint="eastAsia"/>
                <w:szCs w:val="21"/>
              </w:rPr>
              <w:t>0</w:t>
            </w:r>
            <w:r>
              <w:rPr>
                <w:rFonts w:ascii="宋体" w:eastAsia="等线" w:hAnsi="宋体" w:hint="eastAsia"/>
                <w:szCs w:val="21"/>
              </w:rPr>
              <w:t>分</w:t>
            </w:r>
          </w:p>
        </w:tc>
      </w:tr>
      <w:tr w:rsidR="00C94D68">
        <w:trPr>
          <w:trHeight w:val="180"/>
        </w:trPr>
        <w:tc>
          <w:tcPr>
            <w:tcW w:w="8921" w:type="dxa"/>
            <w:gridSpan w:val="3"/>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60" w:type="dxa"/>
            <w:shd w:val="clear" w:color="auto" w:fill="auto"/>
            <w:vAlign w:val="center"/>
          </w:tcPr>
          <w:p w:rsidR="00C94D68" w:rsidRDefault="00F735D4">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C94D68" w:rsidRDefault="00F735D4">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C94D68" w:rsidRDefault="00F735D4">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bookmarkStart w:id="0" w:name="_GoBack"/>
      <w:bookmarkEnd w:id="0"/>
    </w:p>
    <w:p w:rsidR="00C94D68" w:rsidRDefault="00C94D68">
      <w:pPr>
        <w:widowControl/>
        <w:spacing w:before="100" w:beforeAutospacing="1" w:after="100" w:afterAutospacing="1"/>
        <w:rPr>
          <w:rFonts w:ascii="宋体" w:hAnsi="宋体"/>
          <w:b/>
          <w:bCs/>
          <w:sz w:val="28"/>
        </w:rPr>
      </w:pPr>
    </w:p>
    <w:p w:rsidR="00C94D68" w:rsidRDefault="00F735D4">
      <w:pPr>
        <w:widowControl/>
        <w:spacing w:before="100" w:beforeAutospacing="1" w:after="100" w:afterAutospacing="1"/>
        <w:jc w:val="center"/>
        <w:rPr>
          <w:rFonts w:ascii="宋体" w:hAnsi="宋体"/>
          <w:b/>
          <w:bCs/>
          <w:sz w:val="28"/>
        </w:rPr>
      </w:pPr>
      <w:r>
        <w:rPr>
          <w:rFonts w:ascii="宋体" w:hAnsi="宋体" w:hint="eastAsia"/>
          <w:b/>
          <w:bCs/>
          <w:sz w:val="28"/>
        </w:rPr>
        <w:lastRenderedPageBreak/>
        <w:t>二、后勤</w:t>
      </w:r>
      <w:r>
        <w:rPr>
          <w:rFonts w:ascii="宋体" w:hAnsi="宋体"/>
          <w:b/>
          <w:bCs/>
          <w:sz w:val="28"/>
        </w:rPr>
        <w:t>物资</w:t>
      </w:r>
      <w:r>
        <w:rPr>
          <w:rFonts w:ascii="宋体" w:hAnsi="宋体" w:hint="eastAsia"/>
          <w:b/>
          <w:bCs/>
          <w:sz w:val="28"/>
        </w:rPr>
        <w:t>采购需求：</w:t>
      </w:r>
    </w:p>
    <w:tbl>
      <w:tblPr>
        <w:tblStyle w:val="ab"/>
        <w:tblW w:w="10525" w:type="dxa"/>
        <w:jc w:val="center"/>
        <w:tblLayout w:type="fixed"/>
        <w:tblLook w:val="04A0" w:firstRow="1" w:lastRow="0" w:firstColumn="1" w:lastColumn="0" w:noHBand="0" w:noVBand="1"/>
      </w:tblPr>
      <w:tblGrid>
        <w:gridCol w:w="426"/>
        <w:gridCol w:w="1555"/>
        <w:gridCol w:w="882"/>
        <w:gridCol w:w="1703"/>
        <w:gridCol w:w="2778"/>
        <w:gridCol w:w="2526"/>
        <w:gridCol w:w="655"/>
      </w:tblGrid>
      <w:tr w:rsidR="00C94D68">
        <w:trPr>
          <w:trHeight w:val="960"/>
          <w:jc w:val="center"/>
        </w:trPr>
        <w:tc>
          <w:tcPr>
            <w:tcW w:w="426" w:type="dxa"/>
          </w:tcPr>
          <w:p w:rsidR="00C94D68" w:rsidRDefault="00F735D4">
            <w:pPr>
              <w:widowControl/>
              <w:spacing w:before="100" w:beforeAutospacing="1" w:after="100" w:afterAutospacing="1"/>
              <w:jc w:val="center"/>
            </w:pPr>
            <w:r>
              <w:rPr>
                <w:rFonts w:hint="eastAsia"/>
              </w:rPr>
              <w:t>序号</w:t>
            </w:r>
          </w:p>
        </w:tc>
        <w:tc>
          <w:tcPr>
            <w:tcW w:w="1555" w:type="dxa"/>
          </w:tcPr>
          <w:p w:rsidR="00C94D68" w:rsidRDefault="00F735D4">
            <w:pPr>
              <w:widowControl/>
              <w:spacing w:before="100" w:beforeAutospacing="1" w:after="100" w:afterAutospacing="1"/>
              <w:jc w:val="center"/>
            </w:pPr>
            <w:r>
              <w:rPr>
                <w:rFonts w:hint="eastAsia"/>
              </w:rPr>
              <w:t>名称</w:t>
            </w:r>
          </w:p>
        </w:tc>
        <w:tc>
          <w:tcPr>
            <w:tcW w:w="882" w:type="dxa"/>
          </w:tcPr>
          <w:p w:rsidR="00C94D68" w:rsidRDefault="00F735D4">
            <w:pPr>
              <w:widowControl/>
              <w:spacing w:before="100" w:beforeAutospacing="1" w:after="100" w:afterAutospacing="1"/>
              <w:jc w:val="center"/>
            </w:pPr>
            <w:r>
              <w:rPr>
                <w:rFonts w:hint="eastAsia"/>
              </w:rPr>
              <w:t>品牌</w:t>
            </w:r>
          </w:p>
        </w:tc>
        <w:tc>
          <w:tcPr>
            <w:tcW w:w="1703" w:type="dxa"/>
          </w:tcPr>
          <w:p w:rsidR="00C94D68" w:rsidRDefault="00F735D4">
            <w:pPr>
              <w:widowControl/>
              <w:spacing w:before="100" w:beforeAutospacing="1" w:after="100" w:afterAutospacing="1"/>
              <w:jc w:val="center"/>
            </w:pPr>
            <w:r>
              <w:rPr>
                <w:rFonts w:hint="eastAsia"/>
              </w:rPr>
              <w:t>规格型号</w:t>
            </w:r>
          </w:p>
        </w:tc>
        <w:tc>
          <w:tcPr>
            <w:tcW w:w="2778" w:type="dxa"/>
          </w:tcPr>
          <w:p w:rsidR="00C94D68" w:rsidRDefault="00F735D4">
            <w:pPr>
              <w:widowControl/>
              <w:spacing w:before="100" w:beforeAutospacing="1" w:after="100" w:afterAutospacing="1"/>
              <w:jc w:val="center"/>
            </w:pPr>
            <w:r>
              <w:rPr>
                <w:rFonts w:hint="eastAsia"/>
              </w:rPr>
              <w:t>材质要求</w:t>
            </w:r>
          </w:p>
        </w:tc>
        <w:tc>
          <w:tcPr>
            <w:tcW w:w="2526" w:type="dxa"/>
          </w:tcPr>
          <w:p w:rsidR="00C94D68" w:rsidRDefault="00F735D4">
            <w:pPr>
              <w:widowControl/>
              <w:spacing w:before="100" w:beforeAutospacing="1" w:after="100" w:afterAutospacing="1"/>
              <w:jc w:val="center"/>
            </w:pPr>
            <w:r>
              <w:rPr>
                <w:rFonts w:hint="eastAsia"/>
              </w:rPr>
              <w:t>具体参数需求</w:t>
            </w:r>
          </w:p>
        </w:tc>
        <w:tc>
          <w:tcPr>
            <w:tcW w:w="655" w:type="dxa"/>
          </w:tcPr>
          <w:p w:rsidR="00C94D68" w:rsidRDefault="00F735D4">
            <w:pPr>
              <w:widowControl/>
              <w:spacing w:before="100" w:beforeAutospacing="1" w:after="100" w:afterAutospacing="1"/>
              <w:jc w:val="center"/>
            </w:pPr>
            <w:r>
              <w:rPr>
                <w:rFonts w:hint="eastAsia"/>
              </w:rPr>
              <w:t>最高单价限价</w:t>
            </w:r>
          </w:p>
        </w:tc>
      </w:tr>
      <w:tr w:rsidR="00C94D68">
        <w:trPr>
          <w:trHeight w:val="272"/>
          <w:jc w:val="center"/>
        </w:trPr>
        <w:tc>
          <w:tcPr>
            <w:tcW w:w="426"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555"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力士樱花小苍兰洗手</w:t>
            </w:r>
          </w:p>
        </w:tc>
        <w:tc>
          <w:tcPr>
            <w:tcW w:w="882"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力士</w:t>
            </w:r>
          </w:p>
        </w:tc>
        <w:tc>
          <w:tcPr>
            <w:tcW w:w="1703"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净含量≥</w:t>
            </w:r>
            <w:r>
              <w:rPr>
                <w:rFonts w:asciiTheme="minorEastAsia" w:eastAsiaTheme="minorEastAsia" w:hAnsiTheme="minorEastAsia" w:cstheme="minorEastAsia" w:hint="eastAsia"/>
              </w:rPr>
              <w:t>400g*2</w:t>
            </w:r>
          </w:p>
        </w:tc>
        <w:tc>
          <w:tcPr>
            <w:tcW w:w="2778"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、适合肤质：各种肤质、净含量：</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400g*2</w:t>
            </w:r>
          </w:p>
        </w:tc>
        <w:tc>
          <w:tcPr>
            <w:tcW w:w="2526"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、抑菌率：根据</w:t>
            </w:r>
            <w:r>
              <w:rPr>
                <w:rFonts w:asciiTheme="minorEastAsia" w:eastAsiaTheme="minorEastAsia" w:hAnsiTheme="minorEastAsia" w:cstheme="minorEastAsia" w:hint="eastAsia"/>
              </w:rPr>
              <w:t> VWVS/T650-2019 </w:t>
            </w:r>
            <w:r>
              <w:rPr>
                <w:rFonts w:asciiTheme="minorEastAsia" w:eastAsiaTheme="minorEastAsia" w:hAnsiTheme="minorEastAsia" w:cstheme="minorEastAsia" w:hint="eastAsia"/>
              </w:rPr>
              <w:t>标准验证抑菌率达</w:t>
            </w:r>
            <w:r>
              <w:rPr>
                <w:rFonts w:asciiTheme="minorEastAsia" w:eastAsiaTheme="minorEastAsia" w:hAnsiTheme="minorEastAsia" w:cstheme="minorEastAsia" w:hint="eastAsia"/>
              </w:rPr>
              <w:t> 99.99%</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pH</w:t>
            </w:r>
            <w:r>
              <w:rPr>
                <w:rFonts w:asciiTheme="minorEastAsia" w:eastAsiaTheme="minorEastAsia" w:hAnsiTheme="minorEastAsia" w:cstheme="minorEastAsia" w:hint="eastAsia"/>
              </w:rPr>
              <w:t>值在</w:t>
            </w:r>
            <w:r>
              <w:rPr>
                <w:rFonts w:asciiTheme="minorEastAsia" w:eastAsiaTheme="minorEastAsia" w:hAnsiTheme="minorEastAsia" w:cstheme="minorEastAsia" w:hint="eastAsia"/>
              </w:rPr>
              <w:t>5.5 - 7.5</w:t>
            </w:r>
            <w:r>
              <w:rPr>
                <w:rFonts w:asciiTheme="minorEastAsia" w:eastAsiaTheme="minorEastAsia" w:hAnsiTheme="minorEastAsia" w:cstheme="minorEastAsia" w:hint="eastAsia"/>
              </w:rPr>
              <w:t>之间，接近人体皮肤</w:t>
            </w:r>
            <w:r>
              <w:rPr>
                <w:rFonts w:asciiTheme="minorEastAsia" w:eastAsiaTheme="minorEastAsia" w:hAnsiTheme="minorEastAsia" w:cstheme="minorEastAsia" w:hint="eastAsia"/>
              </w:rPr>
              <w:t>pH</w:t>
            </w:r>
            <w:r>
              <w:rPr>
                <w:rFonts w:asciiTheme="minorEastAsia" w:eastAsiaTheme="minorEastAsia" w:hAnsiTheme="minorEastAsia" w:cstheme="minorEastAsia" w:hint="eastAsia"/>
              </w:rPr>
              <w:t>值</w:t>
            </w:r>
          </w:p>
        </w:tc>
        <w:tc>
          <w:tcPr>
            <w:tcW w:w="655" w:type="dxa"/>
            <w:vMerge w:val="restart"/>
          </w:tcPr>
          <w:p w:rsidR="00C94D68" w:rsidRDefault="00F735D4">
            <w:pPr>
              <w:widowControl/>
              <w:spacing w:before="100" w:beforeAutospacing="1" w:after="100" w:afterAutospacing="1"/>
              <w:jc w:val="center"/>
            </w:pPr>
            <w:r>
              <w:rPr>
                <w:rFonts w:hint="eastAsia"/>
              </w:rPr>
              <w:t>该套装总价最高限价为：</w:t>
            </w:r>
            <w:r>
              <w:rPr>
                <w:rFonts w:hint="eastAsia"/>
              </w:rPr>
              <w:t>1000</w:t>
            </w:r>
            <w:r>
              <w:rPr>
                <w:rFonts w:hint="eastAsia"/>
              </w:rPr>
              <w:t>元</w:t>
            </w:r>
          </w:p>
        </w:tc>
      </w:tr>
      <w:tr w:rsidR="00C94D68">
        <w:trPr>
          <w:trHeight w:val="300"/>
          <w:jc w:val="center"/>
        </w:trPr>
        <w:tc>
          <w:tcPr>
            <w:tcW w:w="426"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1555"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882"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1703"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2778"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2526"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655" w:type="dxa"/>
            <w:vMerge/>
          </w:tcPr>
          <w:p w:rsidR="00C94D68" w:rsidRDefault="00C94D68">
            <w:pPr>
              <w:widowControl/>
              <w:spacing w:before="100" w:beforeAutospacing="1" w:after="100" w:afterAutospacing="1"/>
              <w:jc w:val="center"/>
            </w:pPr>
          </w:p>
        </w:tc>
      </w:tr>
      <w:tr w:rsidR="00C94D68">
        <w:trPr>
          <w:trHeight w:val="300"/>
          <w:jc w:val="center"/>
        </w:trPr>
        <w:tc>
          <w:tcPr>
            <w:tcW w:w="426"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1555"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882"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1703"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2778"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2526" w:type="dxa"/>
            <w:vMerge/>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655" w:type="dxa"/>
            <w:vMerge/>
          </w:tcPr>
          <w:p w:rsidR="00C94D68" w:rsidRDefault="00C94D68">
            <w:pPr>
              <w:widowControl/>
              <w:spacing w:before="100" w:beforeAutospacing="1" w:after="100" w:afterAutospacing="1"/>
              <w:jc w:val="center"/>
            </w:pPr>
          </w:p>
        </w:tc>
      </w:tr>
      <w:tr w:rsidR="00C94D68">
        <w:trPr>
          <w:trHeight w:val="1511"/>
          <w:jc w:val="center"/>
        </w:trPr>
        <w:tc>
          <w:tcPr>
            <w:tcW w:w="4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555"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得宝抽取式面巾纸</w:t>
            </w:r>
          </w:p>
        </w:tc>
        <w:tc>
          <w:tcPr>
            <w:tcW w:w="882"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得宝</w:t>
            </w:r>
          </w:p>
        </w:tc>
        <w:tc>
          <w:tcPr>
            <w:tcW w:w="1703"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每包≥</w:t>
            </w:r>
            <w:r>
              <w:rPr>
                <w:rFonts w:asciiTheme="minorEastAsia" w:eastAsiaTheme="minorEastAsia" w:hAnsiTheme="minorEastAsia" w:cstheme="minorEastAsia" w:hint="eastAsia"/>
              </w:rPr>
              <w:t>90</w:t>
            </w:r>
            <w:r>
              <w:rPr>
                <w:rFonts w:asciiTheme="minorEastAsia" w:eastAsiaTheme="minorEastAsia" w:hAnsiTheme="minorEastAsia" w:cstheme="minorEastAsia" w:hint="eastAsia"/>
              </w:rPr>
              <w:t>抽</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包</w:t>
            </w:r>
          </w:p>
        </w:tc>
        <w:tc>
          <w:tcPr>
            <w:tcW w:w="2778"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原料成分：</w:t>
            </w:r>
            <w:r>
              <w:rPr>
                <w:rFonts w:asciiTheme="minorEastAsia" w:eastAsiaTheme="minorEastAsia" w:hAnsiTheme="minorEastAsia" w:cstheme="minorEastAsia" w:hint="eastAsia"/>
              </w:rPr>
              <w:t>100%</w:t>
            </w:r>
            <w:r>
              <w:rPr>
                <w:rFonts w:asciiTheme="minorEastAsia" w:eastAsiaTheme="minorEastAsia" w:hAnsiTheme="minorEastAsia" w:cstheme="minorEastAsia" w:hint="eastAsia"/>
              </w:rPr>
              <w:t>原生木浆，不得添加回收纸浆、荧光增白剂等有害物质，符合</w:t>
            </w:r>
            <w:r>
              <w:rPr>
                <w:rFonts w:asciiTheme="minorEastAsia" w:eastAsiaTheme="minorEastAsia" w:hAnsiTheme="minorEastAsia" w:cstheme="minorEastAsia" w:hint="eastAsia"/>
              </w:rPr>
              <w:t>GB/T 20808</w:t>
            </w:r>
            <w:r>
              <w:rPr>
                <w:rFonts w:asciiTheme="minorEastAsia" w:eastAsiaTheme="minorEastAsia" w:hAnsiTheme="minorEastAsia" w:cstheme="minorEastAsia" w:hint="eastAsia"/>
              </w:rPr>
              <w:t>《纸巾纸》中优等品的原料要求</w:t>
            </w:r>
          </w:p>
        </w:tc>
        <w:tc>
          <w:tcPr>
            <w:tcW w:w="2526" w:type="dxa"/>
          </w:tcPr>
          <w:p w:rsidR="00C94D68" w:rsidRDefault="00F735D4">
            <w:pPr>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、技术要求：符合</w:t>
            </w:r>
            <w:r>
              <w:rPr>
                <w:rFonts w:asciiTheme="minorEastAsia" w:eastAsiaTheme="minorEastAsia" w:hAnsiTheme="minorEastAsia" w:cstheme="minorEastAsia" w:hint="eastAsia"/>
              </w:rPr>
              <w:t>GB/T 20808</w:t>
            </w:r>
            <w:r>
              <w:rPr>
                <w:rFonts w:asciiTheme="minorEastAsia" w:eastAsiaTheme="minorEastAsia" w:hAnsiTheme="minorEastAsia" w:cstheme="minorEastAsia" w:hint="eastAsia"/>
              </w:rPr>
              <w:t>及相关包装标准</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w:t>
            </w:r>
          </w:p>
        </w:tc>
        <w:tc>
          <w:tcPr>
            <w:tcW w:w="655" w:type="dxa"/>
            <w:vMerge/>
          </w:tcPr>
          <w:p w:rsidR="00C94D68" w:rsidRDefault="00C94D68">
            <w:pPr>
              <w:widowControl/>
              <w:spacing w:before="100" w:beforeAutospacing="1" w:after="100" w:afterAutospacing="1"/>
              <w:jc w:val="center"/>
            </w:pPr>
          </w:p>
        </w:tc>
      </w:tr>
      <w:tr w:rsidR="00C94D68">
        <w:trPr>
          <w:trHeight w:val="1935"/>
          <w:jc w:val="center"/>
        </w:trPr>
        <w:tc>
          <w:tcPr>
            <w:tcW w:w="4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555"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奥妙金纺洗衣液</w:t>
            </w:r>
          </w:p>
        </w:tc>
        <w:tc>
          <w:tcPr>
            <w:tcW w:w="882"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奥妙</w:t>
            </w:r>
          </w:p>
        </w:tc>
        <w:tc>
          <w:tcPr>
            <w:tcW w:w="1703"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净含量≥</w:t>
            </w:r>
            <w:r>
              <w:rPr>
                <w:rFonts w:asciiTheme="minorEastAsia" w:eastAsiaTheme="minorEastAsia" w:hAnsiTheme="minorEastAsia" w:cstheme="minorEastAsia" w:hint="eastAsia"/>
              </w:rPr>
              <w:t>3.6kg</w:t>
            </w:r>
          </w:p>
        </w:tc>
        <w:tc>
          <w:tcPr>
            <w:tcW w:w="2778"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材质特性：天然酵素材质，能够助力污渍分解，提升清洁效果</w:t>
            </w:r>
          </w:p>
        </w:tc>
        <w:tc>
          <w:tcPr>
            <w:tcW w:w="25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、质量标准：产品需符合国家及地方关于洗衣液的相关质量、安全、环保等标准</w:t>
            </w:r>
            <w:r>
              <w:rPr>
                <w:rFonts w:asciiTheme="minorEastAsia" w:eastAsiaTheme="minorEastAsia" w:hAnsiTheme="minorEastAsia" w:cstheme="minorEastAsia" w:hint="eastAsia"/>
              </w:rPr>
              <w:t xml:space="preserve">   2. </w:t>
            </w:r>
            <w:r>
              <w:rPr>
                <w:rFonts w:asciiTheme="minorEastAsia" w:eastAsiaTheme="minorEastAsia" w:hAnsiTheme="minorEastAsia" w:cstheme="minorEastAsia" w:hint="eastAsia"/>
              </w:rPr>
              <w:t>感官指标：外观均匀不分层，无明显机械杂质；气味为产品宣称的香型，无刺激性异味；</w:t>
            </w:r>
            <w:r>
              <w:rPr>
                <w:rFonts w:asciiTheme="minorEastAsia" w:eastAsiaTheme="minorEastAsia" w:hAnsiTheme="minorEastAsia" w:cstheme="minorEastAsia" w:hint="eastAsia"/>
              </w:rPr>
              <w:t>pH</w:t>
            </w:r>
            <w:r>
              <w:rPr>
                <w:rFonts w:asciiTheme="minorEastAsia" w:eastAsiaTheme="minorEastAsia" w:hAnsiTheme="minorEastAsia" w:cstheme="minorEastAsia" w:hint="eastAsia"/>
              </w:rPr>
              <w:t>值在</w:t>
            </w:r>
            <w:r>
              <w:rPr>
                <w:rFonts w:asciiTheme="minorEastAsia" w:eastAsiaTheme="minorEastAsia" w:hAnsiTheme="minorEastAsia" w:cstheme="minorEastAsia" w:hint="eastAsia"/>
              </w:rPr>
              <w:t>6.0 - 9.0</w:t>
            </w:r>
            <w:r>
              <w:rPr>
                <w:rFonts w:asciiTheme="minorEastAsia" w:eastAsiaTheme="minorEastAsia" w:hAnsiTheme="minorEastAsia" w:cstheme="minorEastAsia" w:hint="eastAsia"/>
              </w:rPr>
              <w:t>之间</w:t>
            </w:r>
            <w:r>
              <w:rPr>
                <w:rFonts w:asciiTheme="minorEastAsia" w:eastAsiaTheme="minorEastAsia" w:hAnsiTheme="minorEastAsia" w:cstheme="minorEastAsia" w:hint="eastAsia"/>
              </w:rPr>
              <w:t xml:space="preserve"> </w:t>
            </w:r>
          </w:p>
        </w:tc>
        <w:tc>
          <w:tcPr>
            <w:tcW w:w="655" w:type="dxa"/>
            <w:vMerge/>
          </w:tcPr>
          <w:p w:rsidR="00C94D68" w:rsidRDefault="00C94D68">
            <w:pPr>
              <w:widowControl/>
              <w:spacing w:before="100" w:beforeAutospacing="1" w:after="100" w:afterAutospacing="1"/>
              <w:jc w:val="center"/>
            </w:pPr>
          </w:p>
        </w:tc>
      </w:tr>
      <w:tr w:rsidR="00C94D68">
        <w:trPr>
          <w:trHeight w:val="2024"/>
          <w:jc w:val="center"/>
        </w:trPr>
        <w:tc>
          <w:tcPr>
            <w:tcW w:w="4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555"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力士植萃小苍兰浴露</w:t>
            </w:r>
          </w:p>
        </w:tc>
        <w:tc>
          <w:tcPr>
            <w:tcW w:w="882"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力士</w:t>
            </w:r>
          </w:p>
        </w:tc>
        <w:tc>
          <w:tcPr>
            <w:tcW w:w="1703"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净含量≥</w:t>
            </w:r>
            <w:r>
              <w:rPr>
                <w:rFonts w:asciiTheme="minorEastAsia" w:eastAsiaTheme="minorEastAsia" w:hAnsiTheme="minorEastAsia" w:cstheme="minorEastAsia" w:hint="eastAsia"/>
              </w:rPr>
              <w:t>750g</w:t>
            </w:r>
          </w:p>
        </w:tc>
        <w:tc>
          <w:tcPr>
            <w:tcW w:w="2778"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包装：采用塑料瓶包装，瓶身应标注产品名称、净含量、成分表、使用方法、保质期、生产企业信息等，符合</w:t>
            </w:r>
            <w:r>
              <w:rPr>
                <w:rFonts w:asciiTheme="minorEastAsia" w:eastAsiaTheme="minorEastAsia" w:hAnsiTheme="minorEastAsia" w:cstheme="minorEastAsia" w:hint="eastAsia"/>
              </w:rPr>
              <w:t>GB</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5296.3</w:t>
            </w:r>
            <w:r>
              <w:rPr>
                <w:rFonts w:asciiTheme="minorEastAsia" w:eastAsiaTheme="minorEastAsia" w:hAnsiTheme="minorEastAsia" w:cstheme="minorEastAsia" w:hint="eastAsia"/>
              </w:rPr>
              <w:t>化妆品标签标准</w:t>
            </w:r>
          </w:p>
        </w:tc>
        <w:tc>
          <w:tcPr>
            <w:tcW w:w="25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感官指标：外观为均匀液体，无沉淀、无分层、无异物；具有小苍兰淡雅香气，无不良气味；</w:t>
            </w:r>
            <w:r>
              <w:rPr>
                <w:rFonts w:asciiTheme="minorEastAsia" w:eastAsiaTheme="minorEastAsia" w:hAnsiTheme="minorEastAsia" w:cstheme="minorEastAsia" w:hint="eastAsia"/>
              </w:rPr>
              <w:t>pH</w:t>
            </w:r>
            <w:r>
              <w:rPr>
                <w:rFonts w:asciiTheme="minorEastAsia" w:eastAsiaTheme="minorEastAsia" w:hAnsiTheme="minorEastAsia" w:cstheme="minorEastAsia" w:hint="eastAsia"/>
              </w:rPr>
              <w:t>值在</w:t>
            </w:r>
            <w:r>
              <w:rPr>
                <w:rFonts w:asciiTheme="minorEastAsia" w:eastAsiaTheme="minorEastAsia" w:hAnsiTheme="minorEastAsia" w:cstheme="minorEastAsia" w:hint="eastAsia"/>
              </w:rPr>
              <w:t>5.5 - 7.5</w:t>
            </w:r>
            <w:r>
              <w:rPr>
                <w:rFonts w:asciiTheme="minorEastAsia" w:eastAsiaTheme="minorEastAsia" w:hAnsiTheme="minorEastAsia" w:cstheme="minorEastAsia" w:hint="eastAsia"/>
              </w:rPr>
              <w:t>之间</w:t>
            </w:r>
          </w:p>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655" w:type="dxa"/>
            <w:vMerge/>
          </w:tcPr>
          <w:p w:rsidR="00C94D68" w:rsidRDefault="00C94D68">
            <w:pPr>
              <w:widowControl/>
              <w:spacing w:before="100" w:beforeAutospacing="1" w:after="100" w:afterAutospacing="1"/>
              <w:jc w:val="center"/>
            </w:pPr>
          </w:p>
        </w:tc>
      </w:tr>
      <w:tr w:rsidR="00C94D68">
        <w:trPr>
          <w:trHeight w:val="1898"/>
          <w:jc w:val="center"/>
        </w:trPr>
        <w:tc>
          <w:tcPr>
            <w:tcW w:w="4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555"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维达卫生湿巾家庭装</w:t>
            </w:r>
          </w:p>
        </w:tc>
        <w:tc>
          <w:tcPr>
            <w:tcW w:w="882"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维达</w:t>
            </w:r>
          </w:p>
        </w:tc>
        <w:tc>
          <w:tcPr>
            <w:tcW w:w="1703"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抽数≥</w:t>
            </w:r>
            <w:r>
              <w:rPr>
                <w:rFonts w:asciiTheme="minorEastAsia" w:eastAsiaTheme="minorEastAsia" w:hAnsiTheme="minorEastAsia" w:cstheme="minorEastAsia" w:hint="eastAsia"/>
              </w:rPr>
              <w:t>80</w:t>
            </w:r>
            <w:r>
              <w:rPr>
                <w:rFonts w:asciiTheme="minorEastAsia" w:eastAsiaTheme="minorEastAsia" w:hAnsiTheme="minorEastAsia" w:cstheme="minorEastAsia" w:hint="eastAsia"/>
              </w:rPr>
              <w:t>片</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包</w:t>
            </w:r>
          </w:p>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规格：</w:t>
            </w:r>
            <w:r>
              <w:rPr>
                <w:rFonts w:asciiTheme="minorEastAsia" w:eastAsiaTheme="minorEastAsia" w:hAnsiTheme="minorEastAsia" w:cstheme="minorEastAsia" w:hint="eastAsia"/>
              </w:rPr>
              <w:t xml:space="preserve"> </w:t>
            </w:r>
          </w:p>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长</w:t>
            </w:r>
            <w:r>
              <w:rPr>
                <w:rFonts w:asciiTheme="minorEastAsia" w:eastAsiaTheme="minorEastAsia" w:hAnsiTheme="minorEastAsia" w:cstheme="minorEastAsia" w:hint="eastAsia"/>
              </w:rPr>
              <w:t>190-210</w:t>
            </w:r>
            <w:r>
              <w:rPr>
                <w:rFonts w:asciiTheme="minorEastAsia" w:eastAsiaTheme="minorEastAsia" w:hAnsiTheme="minorEastAsia" w:cstheme="minorEastAsia" w:hint="eastAsia"/>
              </w:rPr>
              <w:t>mm</w:t>
            </w:r>
          </w:p>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宽</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70-190</w:t>
            </w:r>
            <w:r>
              <w:rPr>
                <w:rFonts w:asciiTheme="minorEastAsia" w:eastAsiaTheme="minorEastAsia" w:hAnsiTheme="minorEastAsia" w:cstheme="minorEastAsia" w:hint="eastAsia"/>
              </w:rPr>
              <w:t>mm</w:t>
            </w:r>
          </w:p>
        </w:tc>
        <w:tc>
          <w:tcPr>
            <w:tcW w:w="2778" w:type="dxa"/>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2526" w:type="dxa"/>
          </w:tcPr>
          <w:p w:rsidR="00C94D68" w:rsidRDefault="00F735D4">
            <w:pPr>
              <w:widowControl/>
              <w:numPr>
                <w:ilvl w:val="0"/>
                <w:numId w:val="1"/>
              </w:numPr>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酒精、</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荧光剂、</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甲醛</w:t>
            </w:r>
            <w:r>
              <w:rPr>
                <w:rFonts w:asciiTheme="minorEastAsia" w:eastAsiaTheme="minorEastAsia" w:hAnsiTheme="minorEastAsia" w:cstheme="minorEastAsia" w:hint="eastAsia"/>
              </w:rPr>
              <w:t> </w:t>
            </w:r>
          </w:p>
          <w:p w:rsidR="00C94D68" w:rsidRDefault="00F735D4">
            <w:pPr>
              <w:numPr>
                <w:ilvl w:val="0"/>
                <w:numId w:val="1"/>
              </w:numPr>
              <w:spacing w:before="100" w:beforeAutospacing="1" w:after="100" w:afterAutospacing="1"/>
              <w:rPr>
                <w:rFonts w:asciiTheme="minorEastAsia" w:eastAsiaTheme="minorEastAsia" w:hAnsiTheme="minorEastAsia" w:cstheme="minorEastAsia"/>
              </w:rPr>
            </w:pPr>
            <w:r>
              <w:rPr>
                <w:rFonts w:asciiTheme="minorEastAsia" w:eastAsiaTheme="minorEastAsia" w:hAnsiTheme="minorEastAsia" w:cstheme="minorEastAsia" w:hint="eastAsia"/>
              </w:rPr>
              <w:t>卫生执行标准：</w:t>
            </w:r>
            <w:r>
              <w:rPr>
                <w:rFonts w:asciiTheme="minorEastAsia" w:eastAsiaTheme="minorEastAsia" w:hAnsiTheme="minorEastAsia" w:cstheme="minorEastAsia" w:hint="eastAsia"/>
              </w:rPr>
              <w:t xml:space="preserve">GB  </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15979</w:t>
            </w:r>
            <w:r>
              <w:rPr>
                <w:rFonts w:asciiTheme="minorEastAsia" w:eastAsiaTheme="minorEastAsia" w:hAnsiTheme="minorEastAsia" w:cstheme="minorEastAsia" w:hint="eastAsia"/>
              </w:rPr>
              <w:t>、产品执行标准：</w:t>
            </w:r>
            <w:r>
              <w:rPr>
                <w:rFonts w:asciiTheme="minorEastAsia" w:eastAsiaTheme="minorEastAsia" w:hAnsiTheme="minorEastAsia" w:cstheme="minorEastAsia" w:hint="eastAsia"/>
              </w:rPr>
              <w:t>ws</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575</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GB/T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27728</w:t>
            </w:r>
          </w:p>
        </w:tc>
        <w:tc>
          <w:tcPr>
            <w:tcW w:w="655" w:type="dxa"/>
            <w:vMerge/>
          </w:tcPr>
          <w:p w:rsidR="00C94D68" w:rsidRDefault="00C94D68">
            <w:pPr>
              <w:widowControl/>
              <w:spacing w:before="100" w:beforeAutospacing="1" w:after="100" w:afterAutospacing="1"/>
              <w:jc w:val="center"/>
            </w:pPr>
          </w:p>
        </w:tc>
      </w:tr>
      <w:tr w:rsidR="00C94D68">
        <w:trPr>
          <w:trHeight w:val="1979"/>
          <w:jc w:val="center"/>
        </w:trPr>
        <w:tc>
          <w:tcPr>
            <w:tcW w:w="4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555"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伊利金典有机纯牛奶</w:t>
            </w:r>
          </w:p>
        </w:tc>
        <w:tc>
          <w:tcPr>
            <w:tcW w:w="882"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伊利</w:t>
            </w:r>
          </w:p>
        </w:tc>
        <w:tc>
          <w:tcPr>
            <w:tcW w:w="1703"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净含量≥</w:t>
            </w:r>
            <w:r>
              <w:rPr>
                <w:rFonts w:asciiTheme="minorEastAsia" w:eastAsiaTheme="minorEastAsia" w:hAnsiTheme="minorEastAsia" w:cstheme="minorEastAsia" w:hint="eastAsia"/>
              </w:rPr>
              <w:t>200ml*12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箱</w:t>
            </w:r>
          </w:p>
        </w:tc>
        <w:tc>
          <w:tcPr>
            <w:tcW w:w="2778"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配料：有机生牛乳</w:t>
            </w:r>
          </w:p>
        </w:tc>
        <w:tc>
          <w:tcPr>
            <w:tcW w:w="25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原料：</w:t>
            </w:r>
            <w:r>
              <w:rPr>
                <w:rFonts w:asciiTheme="minorEastAsia" w:eastAsiaTheme="minorEastAsia" w:hAnsiTheme="minorEastAsia" w:cstheme="minorEastAsia" w:hint="eastAsia"/>
              </w:rPr>
              <w:t>100%</w:t>
            </w:r>
            <w:r>
              <w:rPr>
                <w:rFonts w:asciiTheme="minorEastAsia" w:eastAsiaTheme="minorEastAsia" w:hAnsiTheme="minorEastAsia" w:cstheme="minorEastAsia" w:hint="eastAsia"/>
              </w:rPr>
              <w:t>有机生牛乳，奶牛饲养过程符合有机农业标准，如饲料为有机饲料，不使用抗生素、激素等，牧场环境无污染等，且通过有机认证机构认证；</w:t>
            </w:r>
          </w:p>
        </w:tc>
        <w:tc>
          <w:tcPr>
            <w:tcW w:w="655" w:type="dxa"/>
            <w:vMerge/>
          </w:tcPr>
          <w:p w:rsidR="00C94D68" w:rsidRDefault="00C94D68">
            <w:pPr>
              <w:widowControl/>
              <w:spacing w:before="100" w:beforeAutospacing="1" w:after="100" w:afterAutospacing="1"/>
              <w:jc w:val="center"/>
            </w:pPr>
          </w:p>
        </w:tc>
      </w:tr>
      <w:tr w:rsidR="00C94D68">
        <w:trPr>
          <w:trHeight w:val="2610"/>
          <w:jc w:val="center"/>
        </w:trPr>
        <w:tc>
          <w:tcPr>
            <w:tcW w:w="4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7</w:t>
            </w:r>
          </w:p>
        </w:tc>
        <w:tc>
          <w:tcPr>
            <w:tcW w:w="1555"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美的电蒸锅</w:t>
            </w:r>
          </w:p>
        </w:tc>
        <w:tc>
          <w:tcPr>
            <w:tcW w:w="882"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美的</w:t>
            </w:r>
          </w:p>
        </w:tc>
        <w:tc>
          <w:tcPr>
            <w:tcW w:w="1703"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型号</w:t>
            </w:r>
            <w:r>
              <w:rPr>
                <w:rFonts w:asciiTheme="minorEastAsia" w:eastAsiaTheme="minorEastAsia" w:hAnsiTheme="minorEastAsia" w:cstheme="minorEastAsia" w:hint="eastAsia"/>
              </w:rPr>
              <w:t>MZ-ZGC322301</w:t>
            </w:r>
          </w:p>
        </w:tc>
        <w:tc>
          <w:tcPr>
            <w:tcW w:w="2778"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蒸笼：采用</w:t>
            </w:r>
            <w:r>
              <w:rPr>
                <w:rFonts w:asciiTheme="minorEastAsia" w:eastAsiaTheme="minorEastAsia" w:hAnsiTheme="minorEastAsia" w:cstheme="minorEastAsia" w:hint="eastAsia"/>
              </w:rPr>
              <w:t>304</w:t>
            </w:r>
            <w:r>
              <w:rPr>
                <w:rFonts w:asciiTheme="minorEastAsia" w:eastAsiaTheme="minorEastAsia" w:hAnsiTheme="minorEastAsia" w:cstheme="minorEastAsia" w:hint="eastAsia"/>
              </w:rPr>
              <w:t>不锈钢材质，符合</w:t>
            </w:r>
            <w:r>
              <w:rPr>
                <w:rFonts w:asciiTheme="minorEastAsia" w:eastAsiaTheme="minorEastAsia" w:hAnsiTheme="minorEastAsia" w:cstheme="minorEastAsia" w:hint="eastAsia"/>
              </w:rPr>
              <w:t>GB 4806.9-2016</w:t>
            </w:r>
            <w:r>
              <w:rPr>
                <w:rFonts w:asciiTheme="minorEastAsia" w:eastAsiaTheme="minorEastAsia" w:hAnsiTheme="minorEastAsia" w:cstheme="minorEastAsia" w:hint="eastAsia"/>
              </w:rPr>
              <w:t>《食品安全国家标准</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食品接触用金属材料及制品》的要求，确保在高温蒸煮过程中不会析出有害物质，保障食品安全。</w:t>
            </w:r>
            <w:r>
              <w:rPr>
                <w:rFonts w:asciiTheme="minorEastAsia" w:eastAsiaTheme="minorEastAsia" w:hAnsiTheme="minorEastAsia" w:cstheme="minorEastAsia" w:hint="eastAsia"/>
              </w:rPr>
              <w:br/>
            </w:r>
            <w:r>
              <w:rPr>
                <w:rFonts w:asciiTheme="minorEastAsia" w:eastAsiaTheme="minorEastAsia" w:hAnsiTheme="minorEastAsia" w:cstheme="minorEastAsia" w:hint="eastAsia"/>
              </w:rPr>
              <w:t>蒸格：使用食品级</w:t>
            </w:r>
            <w:r>
              <w:rPr>
                <w:rFonts w:asciiTheme="minorEastAsia" w:eastAsiaTheme="minorEastAsia" w:hAnsiTheme="minorEastAsia" w:cstheme="minorEastAsia" w:hint="eastAsia"/>
              </w:rPr>
              <w:t>PP</w:t>
            </w:r>
            <w:r>
              <w:rPr>
                <w:rFonts w:asciiTheme="minorEastAsia" w:eastAsiaTheme="minorEastAsia" w:hAnsiTheme="minorEastAsia" w:cstheme="minorEastAsia" w:hint="eastAsia"/>
              </w:rPr>
              <w:t>塑料，符合</w:t>
            </w:r>
            <w:r>
              <w:rPr>
                <w:rFonts w:asciiTheme="minorEastAsia" w:eastAsiaTheme="minorEastAsia" w:hAnsiTheme="minorEastAsia" w:cstheme="minorEastAsia" w:hint="eastAsia"/>
              </w:rPr>
              <w:t>GB 4806.7-2016</w:t>
            </w:r>
            <w:r>
              <w:rPr>
                <w:rFonts w:asciiTheme="minorEastAsia" w:eastAsiaTheme="minorEastAsia" w:hAnsiTheme="minorEastAsia" w:cstheme="minorEastAsia" w:hint="eastAsia"/>
              </w:rPr>
              <w:t>《食品安全国家标准</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食品接触用塑料材料及制品》，具有良好的耐热性和化学稳定性，无毒无味。</w:t>
            </w:r>
          </w:p>
        </w:tc>
        <w:tc>
          <w:tcPr>
            <w:tcW w:w="2526" w:type="dxa"/>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、性能指标要求：防干烧保护、过热保护、</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、可预约，</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、产品标准和</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技术要求</w:t>
            </w:r>
            <w:r>
              <w:rPr>
                <w:rFonts w:asciiTheme="minorEastAsia" w:eastAsiaTheme="minorEastAsia" w:hAnsiTheme="minorEastAsia" w:cstheme="minorEastAsia" w:hint="eastAsia"/>
              </w:rPr>
              <w:t xml:space="preserve"> GB 4706.1-2005 ;GB 4706.19-2008</w:t>
            </w:r>
          </w:p>
        </w:tc>
        <w:tc>
          <w:tcPr>
            <w:tcW w:w="655" w:type="dxa"/>
            <w:vMerge w:val="restart"/>
          </w:tcPr>
          <w:p w:rsidR="00C94D68" w:rsidRDefault="00C94D68">
            <w:pPr>
              <w:widowControl/>
              <w:spacing w:before="100" w:beforeAutospacing="1" w:after="100" w:afterAutospacing="1"/>
            </w:pPr>
          </w:p>
        </w:tc>
      </w:tr>
      <w:tr w:rsidR="00C94D68">
        <w:trPr>
          <w:trHeight w:val="840"/>
          <w:jc w:val="center"/>
        </w:trPr>
        <w:tc>
          <w:tcPr>
            <w:tcW w:w="426"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555"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九阳电炖锅</w:t>
            </w:r>
          </w:p>
        </w:tc>
        <w:tc>
          <w:tcPr>
            <w:tcW w:w="882"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九阳</w:t>
            </w:r>
          </w:p>
        </w:tc>
        <w:tc>
          <w:tcPr>
            <w:tcW w:w="1703" w:type="dxa"/>
            <w:vMerge w:val="restart"/>
          </w:tcPr>
          <w:p w:rsidR="00C94D68" w:rsidRDefault="00F735D4">
            <w:pPr>
              <w:widowControl/>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型号</w:t>
            </w:r>
            <w:r>
              <w:rPr>
                <w:rFonts w:asciiTheme="minorEastAsia" w:eastAsiaTheme="minorEastAsia" w:hAnsiTheme="minorEastAsia" w:cstheme="minorEastAsia" w:hint="eastAsia"/>
              </w:rPr>
              <w:t>DG50Z-GD992</w:t>
            </w:r>
          </w:p>
        </w:tc>
        <w:tc>
          <w:tcPr>
            <w:tcW w:w="2778" w:type="dxa"/>
            <w:vMerge w:val="restart"/>
          </w:tcPr>
          <w:p w:rsidR="00C94D68" w:rsidRDefault="00C94D68">
            <w:pPr>
              <w:widowControl/>
              <w:spacing w:before="100" w:beforeAutospacing="1" w:after="100" w:afterAutospacing="1"/>
              <w:jc w:val="center"/>
              <w:rPr>
                <w:rFonts w:asciiTheme="minorEastAsia" w:eastAsiaTheme="minorEastAsia" w:hAnsiTheme="minorEastAsia" w:cstheme="minorEastAsia"/>
              </w:rPr>
            </w:pPr>
          </w:p>
        </w:tc>
        <w:tc>
          <w:tcPr>
            <w:tcW w:w="2526" w:type="dxa"/>
            <w:vMerge w:val="restart"/>
          </w:tcPr>
          <w:p w:rsidR="00C94D68" w:rsidRDefault="00F735D4">
            <w:pPr>
              <w:widowControl/>
              <w:numPr>
                <w:ilvl w:val="0"/>
                <w:numId w:val="2"/>
              </w:numPr>
              <w:spacing w:before="100" w:beforeAutospacing="1" w:after="100" w:afterAutospacing="1"/>
              <w:jc w:val="center"/>
              <w:rPr>
                <w:rFonts w:asciiTheme="minorEastAsia" w:eastAsiaTheme="minorEastAsia" w:hAnsiTheme="minorEastAsia" w:cstheme="minorEastAsia"/>
              </w:rPr>
            </w:pPr>
            <w:r>
              <w:rPr>
                <w:rFonts w:asciiTheme="minorEastAsia" w:eastAsiaTheme="minorEastAsia" w:hAnsiTheme="minorEastAsia" w:cstheme="minorEastAsia" w:hint="eastAsia"/>
              </w:rPr>
              <w:t>智能触控、内胆材质：陶瓷、自动断电</w:t>
            </w:r>
          </w:p>
          <w:p w:rsidR="00C94D68" w:rsidRDefault="00F735D4">
            <w:pPr>
              <w:widowControl/>
              <w:spacing w:before="100" w:beforeAutospacing="1" w:after="100" w:afterAutospacing="1"/>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、安全性能：具备防干烧保护、过热保护等功能；产品的电气安全指标（如绝缘电阻、电气强度、接地措施等）符合</w:t>
            </w:r>
            <w:r>
              <w:rPr>
                <w:rFonts w:asciiTheme="minorEastAsia" w:eastAsiaTheme="minorEastAsia" w:hAnsiTheme="minorEastAsia" w:cstheme="minorEastAsia" w:hint="eastAsia"/>
              </w:rPr>
              <w:t>GB 4706.1</w:t>
            </w:r>
            <w:r>
              <w:rPr>
                <w:rFonts w:asciiTheme="minorEastAsia" w:eastAsiaTheme="minorEastAsia" w:hAnsiTheme="minorEastAsia" w:cstheme="minorEastAsia" w:hint="eastAsia"/>
              </w:rPr>
              <w:t>及</w:t>
            </w:r>
            <w:r>
              <w:rPr>
                <w:rFonts w:asciiTheme="minorEastAsia" w:eastAsiaTheme="minorEastAsia" w:hAnsiTheme="minorEastAsia" w:cstheme="minorEastAsia" w:hint="eastAsia"/>
              </w:rPr>
              <w:t>GB 4706.19</w:t>
            </w:r>
            <w:r>
              <w:rPr>
                <w:rFonts w:asciiTheme="minorEastAsia" w:eastAsiaTheme="minorEastAsia" w:hAnsiTheme="minorEastAsia" w:cstheme="minorEastAsia" w:hint="eastAsia"/>
              </w:rPr>
              <w:t>《家用和类似用途电器的安全</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液体加热器的特殊要求》等相关国家标准</w:t>
            </w:r>
          </w:p>
        </w:tc>
        <w:tc>
          <w:tcPr>
            <w:tcW w:w="655" w:type="dxa"/>
            <w:vMerge/>
          </w:tcPr>
          <w:p w:rsidR="00C94D68" w:rsidRDefault="00C94D68">
            <w:pPr>
              <w:widowControl/>
              <w:spacing w:before="100" w:beforeAutospacing="1" w:after="100" w:afterAutospacing="1"/>
              <w:jc w:val="center"/>
            </w:pPr>
          </w:p>
        </w:tc>
      </w:tr>
      <w:tr w:rsidR="00C94D68">
        <w:trPr>
          <w:trHeight w:val="2280"/>
          <w:jc w:val="center"/>
        </w:trPr>
        <w:tc>
          <w:tcPr>
            <w:tcW w:w="426" w:type="dxa"/>
            <w:vMerge/>
          </w:tcPr>
          <w:p w:rsidR="00C94D68" w:rsidRDefault="00C94D68">
            <w:pPr>
              <w:widowControl/>
              <w:spacing w:before="100" w:beforeAutospacing="1" w:after="100" w:afterAutospacing="1"/>
              <w:jc w:val="center"/>
            </w:pPr>
          </w:p>
        </w:tc>
        <w:tc>
          <w:tcPr>
            <w:tcW w:w="1555" w:type="dxa"/>
            <w:vMerge/>
          </w:tcPr>
          <w:p w:rsidR="00C94D68" w:rsidRDefault="00C94D68">
            <w:pPr>
              <w:widowControl/>
              <w:spacing w:before="100" w:beforeAutospacing="1" w:after="100" w:afterAutospacing="1"/>
              <w:jc w:val="center"/>
            </w:pPr>
          </w:p>
        </w:tc>
        <w:tc>
          <w:tcPr>
            <w:tcW w:w="882" w:type="dxa"/>
            <w:vMerge/>
          </w:tcPr>
          <w:p w:rsidR="00C94D68" w:rsidRDefault="00C94D68">
            <w:pPr>
              <w:widowControl/>
              <w:spacing w:before="100" w:beforeAutospacing="1" w:after="100" w:afterAutospacing="1"/>
              <w:jc w:val="center"/>
            </w:pPr>
          </w:p>
        </w:tc>
        <w:tc>
          <w:tcPr>
            <w:tcW w:w="1703" w:type="dxa"/>
            <w:vMerge/>
          </w:tcPr>
          <w:p w:rsidR="00C94D68" w:rsidRDefault="00C94D68">
            <w:pPr>
              <w:widowControl/>
              <w:spacing w:before="100" w:beforeAutospacing="1" w:after="100" w:afterAutospacing="1"/>
              <w:jc w:val="center"/>
            </w:pPr>
          </w:p>
        </w:tc>
        <w:tc>
          <w:tcPr>
            <w:tcW w:w="2778" w:type="dxa"/>
            <w:vMerge/>
          </w:tcPr>
          <w:p w:rsidR="00C94D68" w:rsidRDefault="00C94D68">
            <w:pPr>
              <w:widowControl/>
              <w:spacing w:before="100" w:beforeAutospacing="1" w:after="100" w:afterAutospacing="1"/>
              <w:jc w:val="center"/>
            </w:pPr>
          </w:p>
        </w:tc>
        <w:tc>
          <w:tcPr>
            <w:tcW w:w="2526" w:type="dxa"/>
            <w:vMerge/>
          </w:tcPr>
          <w:p w:rsidR="00C94D68" w:rsidRDefault="00C94D68">
            <w:pPr>
              <w:spacing w:before="100" w:beforeAutospacing="1" w:after="100" w:afterAutospacing="1"/>
              <w:jc w:val="center"/>
            </w:pPr>
          </w:p>
        </w:tc>
        <w:tc>
          <w:tcPr>
            <w:tcW w:w="655" w:type="dxa"/>
            <w:vMerge/>
          </w:tcPr>
          <w:p w:rsidR="00C94D68" w:rsidRDefault="00C94D68">
            <w:pPr>
              <w:widowControl/>
              <w:spacing w:before="100" w:beforeAutospacing="1" w:after="100" w:afterAutospacing="1"/>
              <w:jc w:val="center"/>
            </w:pPr>
          </w:p>
        </w:tc>
      </w:tr>
      <w:tr w:rsidR="00C94D68">
        <w:trPr>
          <w:trHeight w:val="312"/>
          <w:jc w:val="center"/>
        </w:trPr>
        <w:tc>
          <w:tcPr>
            <w:tcW w:w="426" w:type="dxa"/>
            <w:vMerge/>
          </w:tcPr>
          <w:p w:rsidR="00C94D68" w:rsidRDefault="00C94D68">
            <w:pPr>
              <w:widowControl/>
              <w:spacing w:before="100" w:beforeAutospacing="1" w:after="100" w:afterAutospacing="1"/>
              <w:jc w:val="center"/>
            </w:pPr>
          </w:p>
        </w:tc>
        <w:tc>
          <w:tcPr>
            <w:tcW w:w="1555" w:type="dxa"/>
            <w:vMerge/>
          </w:tcPr>
          <w:p w:rsidR="00C94D68" w:rsidRDefault="00C94D68">
            <w:pPr>
              <w:widowControl/>
              <w:spacing w:before="100" w:beforeAutospacing="1" w:after="100" w:afterAutospacing="1"/>
              <w:jc w:val="center"/>
            </w:pPr>
          </w:p>
        </w:tc>
        <w:tc>
          <w:tcPr>
            <w:tcW w:w="882" w:type="dxa"/>
            <w:vMerge/>
          </w:tcPr>
          <w:p w:rsidR="00C94D68" w:rsidRDefault="00C94D68">
            <w:pPr>
              <w:widowControl/>
              <w:spacing w:before="100" w:beforeAutospacing="1" w:after="100" w:afterAutospacing="1"/>
              <w:jc w:val="center"/>
            </w:pPr>
          </w:p>
        </w:tc>
        <w:tc>
          <w:tcPr>
            <w:tcW w:w="1703" w:type="dxa"/>
            <w:vMerge/>
          </w:tcPr>
          <w:p w:rsidR="00C94D68" w:rsidRDefault="00C94D68">
            <w:pPr>
              <w:widowControl/>
              <w:spacing w:before="100" w:beforeAutospacing="1" w:after="100" w:afterAutospacing="1"/>
              <w:jc w:val="center"/>
            </w:pPr>
          </w:p>
        </w:tc>
        <w:tc>
          <w:tcPr>
            <w:tcW w:w="2778" w:type="dxa"/>
            <w:vMerge/>
          </w:tcPr>
          <w:p w:rsidR="00C94D68" w:rsidRDefault="00C94D68">
            <w:pPr>
              <w:widowControl/>
              <w:spacing w:before="100" w:beforeAutospacing="1" w:after="100" w:afterAutospacing="1"/>
              <w:jc w:val="center"/>
            </w:pPr>
          </w:p>
        </w:tc>
        <w:tc>
          <w:tcPr>
            <w:tcW w:w="2526" w:type="dxa"/>
            <w:vMerge/>
          </w:tcPr>
          <w:p w:rsidR="00C94D68" w:rsidRDefault="00C94D68">
            <w:pPr>
              <w:widowControl/>
              <w:spacing w:before="100" w:beforeAutospacing="1" w:after="100" w:afterAutospacing="1"/>
              <w:jc w:val="center"/>
            </w:pPr>
          </w:p>
        </w:tc>
        <w:tc>
          <w:tcPr>
            <w:tcW w:w="655" w:type="dxa"/>
            <w:vMerge/>
          </w:tcPr>
          <w:p w:rsidR="00C94D68" w:rsidRDefault="00C94D68">
            <w:pPr>
              <w:widowControl/>
              <w:spacing w:before="100" w:beforeAutospacing="1" w:after="100" w:afterAutospacing="1"/>
              <w:jc w:val="center"/>
            </w:pPr>
          </w:p>
        </w:tc>
      </w:tr>
    </w:tbl>
    <w:p w:rsidR="00C94D68" w:rsidRDefault="00C94D68">
      <w:pPr>
        <w:spacing w:line="540" w:lineRule="exact"/>
        <w:rPr>
          <w:rFonts w:ascii="宋体" w:hAnsi="宋体"/>
          <w:bCs/>
          <w:sz w:val="24"/>
        </w:rPr>
      </w:pPr>
    </w:p>
    <w:sectPr w:rsidR="00C94D68">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D4" w:rsidRDefault="00F735D4">
      <w:r>
        <w:separator/>
      </w:r>
    </w:p>
  </w:endnote>
  <w:endnote w:type="continuationSeparator" w:id="0">
    <w:p w:rsidR="00F735D4" w:rsidRDefault="00F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Arial Unicode MS"/>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C94D68" w:rsidRDefault="00F735D4">
        <w:pPr>
          <w:pStyle w:val="a6"/>
          <w:jc w:val="center"/>
        </w:pPr>
        <w:r>
          <w:fldChar w:fldCharType="begin"/>
        </w:r>
        <w:r>
          <w:instrText>PAGE   \* MERGEFORMAT</w:instrText>
        </w:r>
        <w:r>
          <w:fldChar w:fldCharType="separate"/>
        </w:r>
        <w:r w:rsidR="00565973" w:rsidRPr="00565973">
          <w:rPr>
            <w:noProof/>
            <w:lang w:val="zh-CN"/>
          </w:rPr>
          <w:t>-</w:t>
        </w:r>
        <w:r w:rsidR="00565973">
          <w:rPr>
            <w:noProof/>
          </w:rPr>
          <w:t xml:space="preserve"> 4 -</w:t>
        </w:r>
        <w:r>
          <w:fldChar w:fldCharType="end"/>
        </w:r>
      </w:p>
    </w:sdtContent>
  </w:sdt>
  <w:p w:rsidR="00C94D68" w:rsidRDefault="00C94D6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D4" w:rsidRDefault="00F735D4">
      <w:r>
        <w:separator/>
      </w:r>
    </w:p>
  </w:footnote>
  <w:footnote w:type="continuationSeparator" w:id="0">
    <w:p w:rsidR="00F735D4" w:rsidRDefault="00F73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EC8292"/>
    <w:multiLevelType w:val="singleLevel"/>
    <w:tmpl w:val="A3EC8292"/>
    <w:lvl w:ilvl="0">
      <w:start w:val="1"/>
      <w:numFmt w:val="decimal"/>
      <w:suff w:val="space"/>
      <w:lvlText w:val="%1."/>
      <w:lvlJc w:val="left"/>
    </w:lvl>
  </w:abstractNum>
  <w:abstractNum w:abstractNumId="1" w15:restartNumberingAfterBreak="0">
    <w:nsid w:val="33601AC5"/>
    <w:multiLevelType w:val="singleLevel"/>
    <w:tmpl w:val="33601AC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BB7FD7F9"/>
    <w:rsid w:val="00013690"/>
    <w:rsid w:val="0001717B"/>
    <w:rsid w:val="000346EE"/>
    <w:rsid w:val="000865FB"/>
    <w:rsid w:val="000A2D9F"/>
    <w:rsid w:val="000B2248"/>
    <w:rsid w:val="000B5090"/>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65973"/>
    <w:rsid w:val="005708F0"/>
    <w:rsid w:val="00584E0A"/>
    <w:rsid w:val="005B3A63"/>
    <w:rsid w:val="005B7D63"/>
    <w:rsid w:val="005D0EE1"/>
    <w:rsid w:val="005D33F2"/>
    <w:rsid w:val="005E1470"/>
    <w:rsid w:val="005E3E42"/>
    <w:rsid w:val="005F6C47"/>
    <w:rsid w:val="0063213A"/>
    <w:rsid w:val="006764B5"/>
    <w:rsid w:val="00683257"/>
    <w:rsid w:val="006B1A9D"/>
    <w:rsid w:val="006B695C"/>
    <w:rsid w:val="006E109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A42B6"/>
    <w:rsid w:val="008B02C3"/>
    <w:rsid w:val="008C7BB8"/>
    <w:rsid w:val="008E7D14"/>
    <w:rsid w:val="008F6EB2"/>
    <w:rsid w:val="009074E0"/>
    <w:rsid w:val="00912FAE"/>
    <w:rsid w:val="00917972"/>
    <w:rsid w:val="00945B6D"/>
    <w:rsid w:val="00977F0E"/>
    <w:rsid w:val="009A1255"/>
    <w:rsid w:val="009A1546"/>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34C8"/>
    <w:rsid w:val="00B159E6"/>
    <w:rsid w:val="00B16D72"/>
    <w:rsid w:val="00B202D7"/>
    <w:rsid w:val="00B34EC8"/>
    <w:rsid w:val="00B3529C"/>
    <w:rsid w:val="00B55854"/>
    <w:rsid w:val="00B703C8"/>
    <w:rsid w:val="00B96861"/>
    <w:rsid w:val="00BA20BA"/>
    <w:rsid w:val="00BB15C7"/>
    <w:rsid w:val="00BB1A91"/>
    <w:rsid w:val="00BD4E35"/>
    <w:rsid w:val="00BE07A0"/>
    <w:rsid w:val="00C66ED6"/>
    <w:rsid w:val="00C67A4F"/>
    <w:rsid w:val="00C82ECF"/>
    <w:rsid w:val="00C94D68"/>
    <w:rsid w:val="00CB5561"/>
    <w:rsid w:val="00CD39E1"/>
    <w:rsid w:val="00CE5B0C"/>
    <w:rsid w:val="00D3203C"/>
    <w:rsid w:val="00D3503E"/>
    <w:rsid w:val="00D64BE1"/>
    <w:rsid w:val="00D95E0D"/>
    <w:rsid w:val="00DB386B"/>
    <w:rsid w:val="00DD0DE3"/>
    <w:rsid w:val="00E332AF"/>
    <w:rsid w:val="00E37A6B"/>
    <w:rsid w:val="00E47A7B"/>
    <w:rsid w:val="00E56AC5"/>
    <w:rsid w:val="00E9378D"/>
    <w:rsid w:val="00E93F01"/>
    <w:rsid w:val="00EA258F"/>
    <w:rsid w:val="00EA6C71"/>
    <w:rsid w:val="00ED31C4"/>
    <w:rsid w:val="00EF67F2"/>
    <w:rsid w:val="00F14601"/>
    <w:rsid w:val="00F5618D"/>
    <w:rsid w:val="00F735D4"/>
    <w:rsid w:val="00F82BDB"/>
    <w:rsid w:val="00F92D50"/>
    <w:rsid w:val="00F950A6"/>
    <w:rsid w:val="00FA07B8"/>
    <w:rsid w:val="00FD58F1"/>
    <w:rsid w:val="00FF2F20"/>
    <w:rsid w:val="063C618E"/>
    <w:rsid w:val="09317280"/>
    <w:rsid w:val="0AC171C3"/>
    <w:rsid w:val="0BA13F3D"/>
    <w:rsid w:val="0C8A2C23"/>
    <w:rsid w:val="0D557212"/>
    <w:rsid w:val="0DB702FA"/>
    <w:rsid w:val="0DDB2077"/>
    <w:rsid w:val="0F1A5C3E"/>
    <w:rsid w:val="135E0534"/>
    <w:rsid w:val="1A2C7DEE"/>
    <w:rsid w:val="1A7FF1B7"/>
    <w:rsid w:val="1BAB3F72"/>
    <w:rsid w:val="247D0FF1"/>
    <w:rsid w:val="26435EC5"/>
    <w:rsid w:val="269C2E17"/>
    <w:rsid w:val="26EE059E"/>
    <w:rsid w:val="280D1415"/>
    <w:rsid w:val="288B5A00"/>
    <w:rsid w:val="2FFA7287"/>
    <w:rsid w:val="317B5197"/>
    <w:rsid w:val="327F0311"/>
    <w:rsid w:val="367D7B18"/>
    <w:rsid w:val="36DA1150"/>
    <w:rsid w:val="402804DE"/>
    <w:rsid w:val="461B080F"/>
    <w:rsid w:val="47164442"/>
    <w:rsid w:val="48AE321A"/>
    <w:rsid w:val="48F8086D"/>
    <w:rsid w:val="4E400EC9"/>
    <w:rsid w:val="501A1195"/>
    <w:rsid w:val="540C73F1"/>
    <w:rsid w:val="54D57D13"/>
    <w:rsid w:val="571416C3"/>
    <w:rsid w:val="57371DC1"/>
    <w:rsid w:val="5A761F7B"/>
    <w:rsid w:val="5FF2755C"/>
    <w:rsid w:val="60B540C1"/>
    <w:rsid w:val="67CF76EF"/>
    <w:rsid w:val="690507DD"/>
    <w:rsid w:val="6E742BBC"/>
    <w:rsid w:val="704B11CB"/>
    <w:rsid w:val="70EA7163"/>
    <w:rsid w:val="799D7E4B"/>
    <w:rsid w:val="7E53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3930BBD-8149-43B3-A001-24D9B732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autoRedefine/>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rPr>
      <w:rFonts w:asciiTheme="minorHAnsi" w:eastAsiaTheme="minorEastAsia" w:hAnsiTheme="minorHAnsi" w:cstheme="minorBidi"/>
    </w:rPr>
  </w:style>
  <w:style w:type="paragraph" w:styleId="a4">
    <w:name w:val="Balloon Text"/>
    <w:basedOn w:val="a"/>
    <w:link w:val="a5"/>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spacing w:beforeAutospacing="1"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9">
    <w:name w:val="页眉 字符"/>
    <w:basedOn w:val="a0"/>
    <w:link w:val="a8"/>
    <w:autoRedefine/>
    <w:uiPriority w:val="99"/>
    <w:qFormat/>
    <w:rPr>
      <w:rFonts w:ascii="Calibri" w:eastAsia="宋体" w:hAnsi="Calibri" w:cs="Times New Roman"/>
      <w:sz w:val="18"/>
      <w:szCs w:val="18"/>
    </w:rPr>
  </w:style>
  <w:style w:type="character" w:customStyle="1" w:styleId="a7">
    <w:name w:val="页脚 字符"/>
    <w:basedOn w:val="a0"/>
    <w:link w:val="a6"/>
    <w:uiPriority w:val="99"/>
    <w:qFormat/>
    <w:rPr>
      <w:rFonts w:ascii="Calibri" w:eastAsia="宋体" w:hAnsi="Calibri" w:cs="Times New Roman"/>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568</Words>
  <Characters>3240</Characters>
  <Application>Microsoft Office Word</Application>
  <DocSecurity>0</DocSecurity>
  <Lines>27</Lines>
  <Paragraphs>7</Paragraphs>
  <ScaleCrop>false</ScaleCrop>
  <Company>Walmart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XXK-L</cp:lastModifiedBy>
  <cp:revision>2</cp:revision>
  <cp:lastPrinted>2025-04-02T07:14:00Z</cp:lastPrinted>
  <dcterms:created xsi:type="dcterms:W3CDTF">2025-09-16T02:19:00Z</dcterms:created>
  <dcterms:modified xsi:type="dcterms:W3CDTF">2025-09-16T02:19:00Z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F9057C7727634819A4165EC14B5CDC28_13</vt:lpwstr>
  </property>
  <property fmtid="{D5CDD505-2E9C-101B-9397-08002B2CF9AE}" pid="4" name="KSOTemplateDocerSaveRecord">
    <vt:lpwstr>eyJoZGlkIjoiZDQ5M2VlMDgwZjNiZDkyMDUxZGUzZDA5ZDAzNDI3ODUiLCJ1c2VySWQiOiIyMDc2NzMxODcifQ==</vt:lpwstr>
  </property>
</Properties>
</file>