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DA37E">
      <w:pPr>
        <w:rPr>
          <w:rFonts w:ascii="宋体" w:hAnsi="宋体"/>
          <w:sz w:val="24"/>
        </w:rPr>
      </w:pPr>
    </w:p>
    <w:tbl>
      <w:tblPr>
        <w:tblStyle w:val="6"/>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01"/>
        <w:gridCol w:w="6825"/>
        <w:gridCol w:w="772"/>
        <w:gridCol w:w="760"/>
      </w:tblGrid>
      <w:tr w14:paraId="21A0F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14:paraId="4A8C3D93">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14:paraId="59FE1E31">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14:paraId="04BCBA3A">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72" w:type="dxa"/>
            <w:shd w:val="clear" w:color="auto" w:fill="auto"/>
            <w:vAlign w:val="center"/>
          </w:tcPr>
          <w:p w14:paraId="47BDDACB">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58" w:type="dxa"/>
            <w:shd w:val="clear" w:color="auto" w:fill="auto"/>
            <w:vAlign w:val="center"/>
          </w:tcPr>
          <w:p w14:paraId="4090AB56">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67FAD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14:paraId="778AF20D">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14:paraId="109298FA">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67652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14:paraId="539C8643">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522AB345">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14:paraId="5464FB99">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14:paraId="7181C830">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14:paraId="6883B73E">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14:paraId="01093407">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14:paraId="2A9EB262">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14:paraId="0D6DA96F">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72" w:type="dxa"/>
            <w:shd w:val="clear" w:color="auto" w:fill="auto"/>
            <w:vAlign w:val="center"/>
          </w:tcPr>
          <w:p w14:paraId="0DBDBC89">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w:t>
            </w:r>
          </w:p>
        </w:tc>
        <w:tc>
          <w:tcPr>
            <w:tcW w:w="758" w:type="dxa"/>
            <w:shd w:val="clear" w:color="auto" w:fill="auto"/>
            <w:vAlign w:val="center"/>
          </w:tcPr>
          <w:p w14:paraId="67FCF5CC">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分</w:t>
            </w:r>
          </w:p>
        </w:tc>
      </w:tr>
      <w:tr w14:paraId="3E2BC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795" w:type="dxa"/>
            <w:shd w:val="clear" w:color="auto" w:fill="auto"/>
            <w:vAlign w:val="center"/>
          </w:tcPr>
          <w:p w14:paraId="6C2A1FF5">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64AECABE">
            <w:pPr>
              <w:spacing w:line="300" w:lineRule="exact"/>
              <w:jc w:val="center"/>
              <w:rPr>
                <w:rFonts w:ascii="宋体" w:hAnsi="宋体" w:eastAsia="等线"/>
                <w:szCs w:val="21"/>
              </w:rPr>
            </w:pPr>
            <w:r>
              <w:rPr>
                <w:rFonts w:hint="eastAsia" w:ascii="宋体" w:hAnsi="宋体" w:eastAsia="等线"/>
                <w:szCs w:val="21"/>
              </w:rPr>
              <w:t>产品对比</w:t>
            </w:r>
          </w:p>
          <w:p w14:paraId="36129B9F">
            <w:pPr>
              <w:spacing w:line="300" w:lineRule="exact"/>
              <w:jc w:val="center"/>
              <w:rPr>
                <w:rFonts w:ascii="宋体" w:hAnsi="宋体" w:eastAsia="等线" w:cs="宋体"/>
                <w:szCs w:val="21"/>
              </w:rPr>
            </w:pPr>
            <w:r>
              <w:rPr>
                <w:rFonts w:ascii="宋体" w:hAnsi="宋体" w:eastAsia="等线"/>
                <w:szCs w:val="21"/>
              </w:rPr>
              <w:t>情况</w:t>
            </w:r>
          </w:p>
        </w:tc>
        <w:tc>
          <w:tcPr>
            <w:tcW w:w="6825" w:type="dxa"/>
            <w:shd w:val="clear" w:color="auto" w:fill="auto"/>
            <w:vAlign w:val="center"/>
          </w:tcPr>
          <w:p w14:paraId="7CD890AF">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14:paraId="6605C100">
            <w:pPr>
              <w:spacing w:line="300" w:lineRule="exact"/>
              <w:rPr>
                <w:rFonts w:ascii="宋体" w:hAnsi="宋体" w:eastAsia="等线"/>
                <w:szCs w:val="21"/>
              </w:rPr>
            </w:pPr>
            <w:r>
              <w:rPr>
                <w:rFonts w:hint="eastAsia" w:ascii="宋体" w:hAnsi="宋体" w:eastAsia="等线"/>
                <w:szCs w:val="21"/>
              </w:rPr>
              <w:t>依据：评审专家根据样品比对结果来评价。</w:t>
            </w:r>
          </w:p>
          <w:p w14:paraId="73A0B6E0">
            <w:pPr>
              <w:spacing w:line="300" w:lineRule="exact"/>
              <w:rPr>
                <w:rFonts w:ascii="宋体" w:hAnsi="宋体" w:eastAsia="等线"/>
                <w:szCs w:val="21"/>
              </w:rPr>
            </w:pPr>
            <w:r>
              <w:rPr>
                <w:rFonts w:ascii="等线" w:hAnsi="等线" w:eastAsia="等线"/>
                <w:szCs w:val="21"/>
              </w:rPr>
              <w:t>A、好  ；得20分；</w:t>
            </w:r>
          </w:p>
          <w:p w14:paraId="3F5DCFBE">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14:paraId="0E83D379">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p>
        </w:tc>
        <w:tc>
          <w:tcPr>
            <w:tcW w:w="772" w:type="dxa"/>
            <w:shd w:val="clear" w:color="auto" w:fill="auto"/>
            <w:vAlign w:val="center"/>
          </w:tcPr>
          <w:p w14:paraId="6BD3F2C8">
            <w:pPr>
              <w:spacing w:line="300" w:lineRule="exact"/>
              <w:ind w:left="-78" w:leftChars="-37" w:right="-73" w:rightChars="-35"/>
              <w:jc w:val="center"/>
              <w:rPr>
                <w:rFonts w:ascii="宋体" w:hAnsi="宋体" w:eastAsia="等线" w:cs="宋体"/>
                <w:szCs w:val="21"/>
              </w:rPr>
            </w:pPr>
            <w:r>
              <w:rPr>
                <w:rFonts w:ascii="宋体" w:hAnsi="宋体" w:eastAsia="等线" w:cs="宋体"/>
                <w:szCs w:val="21"/>
              </w:rPr>
              <w:t>20</w:t>
            </w:r>
            <w:r>
              <w:rPr>
                <w:rFonts w:hint="eastAsia" w:ascii="宋体" w:hAnsi="宋体" w:eastAsia="等线" w:cs="宋体"/>
                <w:szCs w:val="21"/>
              </w:rPr>
              <w:t>%</w:t>
            </w:r>
          </w:p>
        </w:tc>
        <w:tc>
          <w:tcPr>
            <w:tcW w:w="758" w:type="dxa"/>
            <w:shd w:val="clear" w:color="auto" w:fill="auto"/>
            <w:vAlign w:val="center"/>
          </w:tcPr>
          <w:p w14:paraId="65D721D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14:paraId="1B998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14:paraId="6F2F749C">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03839364">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14:paraId="1304D2D3">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14:paraId="2208B5E6">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14:paraId="36A09853">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20918067">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14:paraId="1A21050F">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14:paraId="51550811">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72" w:type="dxa"/>
            <w:shd w:val="clear" w:color="auto" w:fill="auto"/>
            <w:vAlign w:val="center"/>
          </w:tcPr>
          <w:p w14:paraId="2F06B7B5">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58" w:type="dxa"/>
            <w:shd w:val="clear" w:color="auto" w:fill="auto"/>
            <w:vAlign w:val="center"/>
          </w:tcPr>
          <w:p w14:paraId="10F001B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0FB2B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795" w:type="dxa"/>
            <w:shd w:val="clear" w:color="auto" w:fill="auto"/>
            <w:vAlign w:val="center"/>
          </w:tcPr>
          <w:p w14:paraId="29182625">
            <w:pPr>
              <w:spacing w:line="300" w:lineRule="exact"/>
              <w:jc w:val="center"/>
              <w:rPr>
                <w:rFonts w:ascii="宋体" w:hAnsi="宋体" w:eastAsia="等线"/>
                <w:szCs w:val="21"/>
              </w:rPr>
            </w:pPr>
            <w:r>
              <w:rPr>
                <w:rFonts w:hint="eastAsia" w:ascii="宋体" w:hAnsi="宋体" w:eastAsia="等线"/>
                <w:szCs w:val="21"/>
              </w:rPr>
              <w:t>4</w:t>
            </w:r>
          </w:p>
        </w:tc>
        <w:tc>
          <w:tcPr>
            <w:tcW w:w="1301" w:type="dxa"/>
            <w:shd w:val="clear" w:color="auto" w:fill="auto"/>
            <w:vAlign w:val="center"/>
          </w:tcPr>
          <w:p w14:paraId="228FCA9D">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14:paraId="5182665E">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825" w:type="dxa"/>
            <w:shd w:val="clear" w:color="auto" w:fill="auto"/>
            <w:vAlign w:val="center"/>
          </w:tcPr>
          <w:p w14:paraId="32DA10DE">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14:paraId="5589E14A">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14:paraId="41D74D6F">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14:paraId="38E02168">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14:paraId="449BDB81">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14:paraId="1A15C6EC">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72" w:type="dxa"/>
            <w:shd w:val="clear" w:color="auto" w:fill="auto"/>
            <w:vAlign w:val="center"/>
          </w:tcPr>
          <w:p w14:paraId="7B3476F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58" w:type="dxa"/>
            <w:shd w:val="clear" w:color="auto" w:fill="auto"/>
            <w:vAlign w:val="center"/>
          </w:tcPr>
          <w:p w14:paraId="6FAB4762">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01A67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5AC2B54C">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14:paraId="73E8FABD">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1007E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69253949">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2C6C0A78">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14:paraId="365F0F54">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14:paraId="711E228F">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14:paraId="6CBB7B10">
            <w:pPr>
              <w:numPr>
                <w:ilvl w:val="0"/>
                <w:numId w:val="1"/>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14:paraId="4264CC69">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53887648">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5E80FD30">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72" w:type="dxa"/>
            <w:shd w:val="clear" w:color="auto" w:fill="auto"/>
            <w:vAlign w:val="center"/>
          </w:tcPr>
          <w:p w14:paraId="4C5A6CF9">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5BFB0E3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5FDE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14:paraId="4D1FE017">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7818C9D7">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14:paraId="08D3C7A3">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14:paraId="4D72CA79">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14:paraId="390A3436">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14:paraId="6F08937D">
            <w:pPr>
              <w:spacing w:line="300" w:lineRule="exact"/>
              <w:jc w:val="left"/>
              <w:rPr>
                <w:rFonts w:ascii="宋体" w:hAnsi="宋体" w:eastAsia="等线"/>
                <w:szCs w:val="21"/>
              </w:rPr>
            </w:pPr>
            <w:r>
              <w:rPr>
                <w:rFonts w:ascii="宋体" w:hAnsi="宋体" w:eastAsia="等线"/>
                <w:szCs w:val="21"/>
              </w:rPr>
              <w:t xml:space="preserve">B、服务较好或两项承诺：4分； </w:t>
            </w:r>
          </w:p>
          <w:p w14:paraId="2135DAD3">
            <w:pPr>
              <w:spacing w:line="300" w:lineRule="exact"/>
              <w:jc w:val="left"/>
              <w:rPr>
                <w:rFonts w:ascii="宋体" w:hAnsi="宋体" w:eastAsia="等线"/>
                <w:szCs w:val="21"/>
              </w:rPr>
            </w:pPr>
            <w:r>
              <w:rPr>
                <w:rFonts w:ascii="宋体" w:hAnsi="宋体" w:eastAsia="等线"/>
                <w:szCs w:val="21"/>
              </w:rPr>
              <w:t xml:space="preserve">C、服务一般或一项承诺：2分； </w:t>
            </w:r>
          </w:p>
          <w:p w14:paraId="73ADDAE9">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14:paraId="593B2E9C">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72" w:type="dxa"/>
            <w:shd w:val="clear" w:color="auto" w:fill="auto"/>
            <w:vAlign w:val="center"/>
          </w:tcPr>
          <w:p w14:paraId="3F2D69F3">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3D231A6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4269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14:paraId="053CD146">
            <w:pPr>
              <w:spacing w:line="300" w:lineRule="exact"/>
              <w:jc w:val="center"/>
              <w:rPr>
                <w:rFonts w:ascii="宋体" w:hAnsi="宋体" w:eastAsia="等线"/>
                <w:szCs w:val="21"/>
              </w:rPr>
            </w:pPr>
            <w:r>
              <w:rPr>
                <w:rFonts w:ascii="宋体" w:hAnsi="宋体" w:eastAsia="等线"/>
                <w:szCs w:val="21"/>
              </w:rPr>
              <w:t>3</w:t>
            </w:r>
          </w:p>
        </w:tc>
        <w:tc>
          <w:tcPr>
            <w:tcW w:w="1301" w:type="dxa"/>
            <w:shd w:val="clear" w:color="auto" w:fill="auto"/>
            <w:vAlign w:val="center"/>
          </w:tcPr>
          <w:p w14:paraId="77C6B40C">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14:paraId="4D4E4D57">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14:paraId="1BCEA2DA">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14:paraId="1D7B31C8">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14:paraId="4FBD76CC">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14:paraId="199B5F42">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14:paraId="645FEC71">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14:paraId="17295421">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14:paraId="4A587EE5">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58" w:type="dxa"/>
            <w:shd w:val="clear" w:color="auto" w:fill="auto"/>
            <w:vAlign w:val="center"/>
          </w:tcPr>
          <w:p w14:paraId="5999F620">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14:paraId="6C777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14:paraId="227E5ED8">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14:paraId="698DF8B6">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14:paraId="6B026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14:paraId="01B50240">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3605C6CB">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14:paraId="3345DEA4">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14:paraId="6B3DDBBB">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1）投标人不存在不诚信情况且按照要求提供承诺函的，得4分。</w:t>
            </w:r>
          </w:p>
          <w:p w14:paraId="1F0F991D">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72" w:type="dxa"/>
            <w:shd w:val="clear" w:color="auto" w:fill="auto"/>
            <w:vAlign w:val="center"/>
          </w:tcPr>
          <w:p w14:paraId="77F58684">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14:paraId="266B9C89">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00A62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shd w:val="clear" w:color="auto" w:fill="auto"/>
            <w:vAlign w:val="center"/>
          </w:tcPr>
          <w:p w14:paraId="1A241378">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301" w:type="dxa"/>
            <w:shd w:val="clear" w:color="auto" w:fill="auto"/>
            <w:vAlign w:val="center"/>
          </w:tcPr>
          <w:p w14:paraId="64153499">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5" w:type="dxa"/>
            <w:shd w:val="clear" w:color="auto" w:fill="auto"/>
            <w:vAlign w:val="center"/>
          </w:tcPr>
          <w:p w14:paraId="10710418">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14:paraId="7BD845C1">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14:paraId="1EC16298">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14:paraId="057AD1CF">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承诺函并在我院有配送的供货商履约评价良好以下：2分</w:t>
            </w:r>
            <w:r>
              <w:rPr>
                <w:rFonts w:ascii="宋体" w:hAnsi="宋体" w:eastAsia="等线"/>
                <w:szCs w:val="21"/>
              </w:rPr>
              <w:t>；</w:t>
            </w:r>
          </w:p>
          <w:p w14:paraId="55B54F40">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72" w:type="dxa"/>
            <w:shd w:val="clear" w:color="auto" w:fill="auto"/>
            <w:vAlign w:val="center"/>
          </w:tcPr>
          <w:p w14:paraId="02226ACC">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14:paraId="15FA4D4E">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4F153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795" w:type="dxa"/>
            <w:shd w:val="clear" w:color="auto" w:fill="auto"/>
            <w:vAlign w:val="center"/>
          </w:tcPr>
          <w:p w14:paraId="294442A7">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2E723153">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商品质量</w:t>
            </w:r>
          </w:p>
          <w:p w14:paraId="68D6585C">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保障可靠性</w:t>
            </w:r>
          </w:p>
        </w:tc>
        <w:tc>
          <w:tcPr>
            <w:tcW w:w="6825" w:type="dxa"/>
            <w:shd w:val="clear" w:color="auto" w:fill="auto"/>
            <w:vAlign w:val="center"/>
          </w:tcPr>
          <w:p w14:paraId="3EE6C485">
            <w:pPr>
              <w:spacing w:line="300" w:lineRule="exact"/>
              <w:ind w:left="-63" w:leftChars="-30" w:right="-88" w:rightChars="-42"/>
              <w:jc w:val="left"/>
              <w:rPr>
                <w:rFonts w:ascii="宋体" w:hAnsi="宋体" w:eastAsia="等线"/>
                <w:szCs w:val="21"/>
              </w:rPr>
            </w:pPr>
            <w:r>
              <w:rPr>
                <w:rFonts w:hint="eastAsia" w:ascii="宋体" w:hAnsi="宋体" w:eastAsia="等线"/>
                <w:szCs w:val="21"/>
              </w:rPr>
              <w:t>商品质量保障可靠性。</w:t>
            </w:r>
          </w:p>
          <w:p w14:paraId="747B9D3F">
            <w:pPr>
              <w:spacing w:line="300" w:lineRule="exact"/>
              <w:ind w:left="-63" w:leftChars="-30" w:right="-88" w:rightChars="-42"/>
              <w:jc w:val="left"/>
              <w:rPr>
                <w:rFonts w:ascii="宋体" w:hAnsi="宋体" w:eastAsia="等线"/>
                <w:szCs w:val="21"/>
              </w:rPr>
            </w:pPr>
            <w:r>
              <w:rPr>
                <w:rFonts w:hint="eastAsia" w:ascii="宋体" w:hAnsi="宋体" w:eastAsia="等线"/>
                <w:szCs w:val="21"/>
              </w:rPr>
              <w:t>依据：以参加申报的产品近期在本院申报不良事件记录为依据。</w:t>
            </w:r>
          </w:p>
          <w:p w14:paraId="42A94484">
            <w:pPr>
              <w:spacing w:line="300" w:lineRule="exact"/>
              <w:ind w:left="-63" w:leftChars="-30" w:right="-88" w:rightChars="-42"/>
              <w:jc w:val="left"/>
              <w:rPr>
                <w:rFonts w:ascii="宋体" w:hAnsi="宋体" w:eastAsia="等线"/>
                <w:szCs w:val="21"/>
              </w:rPr>
            </w:pPr>
            <w:r>
              <w:rPr>
                <w:rFonts w:hint="eastAsia" w:ascii="宋体" w:hAnsi="宋体" w:eastAsia="等线"/>
                <w:szCs w:val="21"/>
              </w:rPr>
              <w:t>A、无不良商品记录：2分；</w:t>
            </w:r>
          </w:p>
          <w:p w14:paraId="7460D01D">
            <w:pPr>
              <w:spacing w:line="300" w:lineRule="exact"/>
              <w:ind w:left="-63" w:leftChars="-30" w:right="-88" w:rightChars="-42"/>
              <w:jc w:val="left"/>
              <w:rPr>
                <w:rFonts w:ascii="宋体" w:hAnsi="宋体" w:eastAsia="等线"/>
                <w:szCs w:val="21"/>
              </w:rPr>
            </w:pPr>
            <w:r>
              <w:rPr>
                <w:rFonts w:hint="eastAsia" w:ascii="宋体" w:hAnsi="宋体" w:eastAsia="等线"/>
                <w:szCs w:val="21"/>
              </w:rPr>
              <w:t>B、有不良商品记录：0分；</w:t>
            </w:r>
          </w:p>
          <w:p w14:paraId="1DB45A0E">
            <w:pPr>
              <w:spacing w:line="300" w:lineRule="exact"/>
              <w:ind w:left="-63" w:leftChars="-30" w:right="-88" w:rightChars="-42"/>
              <w:jc w:val="left"/>
              <w:rPr>
                <w:rFonts w:ascii="等线" w:hAnsi="等线" w:eastAsia="等线" w:cs="等线"/>
                <w:szCs w:val="21"/>
              </w:rPr>
            </w:pPr>
            <w:r>
              <w:rPr>
                <w:rFonts w:hint="eastAsia" w:ascii="等线" w:hAnsi="等线" w:eastAsia="等线" w:cs="等线"/>
                <w:szCs w:val="21"/>
              </w:rPr>
              <w:t>满足</w:t>
            </w:r>
            <w:r>
              <w:rPr>
                <w:rFonts w:ascii="等线" w:hAnsi="等线" w:eastAsia="等线" w:cs="等线"/>
                <w:szCs w:val="21"/>
              </w:rPr>
              <w:t>要求得</w:t>
            </w:r>
            <w:r>
              <w:rPr>
                <w:rFonts w:hint="eastAsia" w:ascii="等线" w:hAnsi="等线" w:eastAsia="等线" w:cs="等线"/>
                <w:szCs w:val="21"/>
              </w:rPr>
              <w:t>3分</w:t>
            </w:r>
            <w:r>
              <w:rPr>
                <w:rFonts w:ascii="等线" w:hAnsi="等线" w:eastAsia="等线" w:cs="等线"/>
                <w:szCs w:val="21"/>
              </w:rPr>
              <w:t>，其他情况不得分。</w:t>
            </w:r>
          </w:p>
        </w:tc>
        <w:tc>
          <w:tcPr>
            <w:tcW w:w="772" w:type="dxa"/>
            <w:shd w:val="clear" w:color="auto" w:fill="auto"/>
            <w:vAlign w:val="center"/>
          </w:tcPr>
          <w:p w14:paraId="57670B35">
            <w:pPr>
              <w:spacing w:line="300" w:lineRule="exact"/>
              <w:ind w:left="-78" w:leftChars="-37" w:right="-73" w:rightChars="-35"/>
              <w:jc w:val="center"/>
              <w:rPr>
                <w:rFonts w:ascii="宋体" w:hAnsi="宋体" w:eastAsia="等线"/>
                <w:szCs w:val="21"/>
              </w:rPr>
            </w:pPr>
            <w:r>
              <w:rPr>
                <w:rFonts w:hint="eastAsia" w:ascii="宋体" w:hAnsi="宋体" w:eastAsia="等线"/>
                <w:szCs w:val="21"/>
              </w:rPr>
              <w:t>2%</w:t>
            </w:r>
          </w:p>
        </w:tc>
        <w:tc>
          <w:tcPr>
            <w:tcW w:w="758" w:type="dxa"/>
            <w:shd w:val="clear" w:color="auto" w:fill="auto"/>
            <w:vAlign w:val="center"/>
          </w:tcPr>
          <w:p w14:paraId="3383BDB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14:paraId="05DBA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14:paraId="0FF5FFEE">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14:paraId="1D30F590">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59E0D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419E00B7">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511A8504">
            <w:pPr>
              <w:spacing w:line="300" w:lineRule="exact"/>
              <w:jc w:val="center"/>
              <w:rPr>
                <w:rFonts w:ascii="宋体" w:hAnsi="宋体" w:eastAsia="等线"/>
                <w:szCs w:val="21"/>
              </w:rPr>
            </w:pPr>
            <w:r>
              <w:rPr>
                <w:rFonts w:hint="eastAsia" w:ascii="宋体" w:hAnsi="宋体" w:eastAsia="等线"/>
                <w:szCs w:val="21"/>
              </w:rPr>
              <w:t>投标报价</w:t>
            </w:r>
          </w:p>
        </w:tc>
        <w:tc>
          <w:tcPr>
            <w:tcW w:w="6825" w:type="dxa"/>
            <w:shd w:val="clear" w:color="auto" w:fill="auto"/>
            <w:vAlign w:val="center"/>
          </w:tcPr>
          <w:p w14:paraId="5C42C302">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6F130CB4">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5C1E18B2">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66D59B1C">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14:paraId="1B8C141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58" w:type="dxa"/>
            <w:shd w:val="clear" w:color="auto" w:fill="auto"/>
            <w:vAlign w:val="center"/>
          </w:tcPr>
          <w:p w14:paraId="4D5E93EA">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2AA21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14:paraId="1A0D4AD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14:paraId="4047B5A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58" w:type="dxa"/>
            <w:shd w:val="clear" w:color="auto" w:fill="auto"/>
            <w:vAlign w:val="center"/>
          </w:tcPr>
          <w:p w14:paraId="5C861CC8">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2E8DB34B">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14:paraId="713D3FF2">
      <w:pPr>
        <w:snapToGrid w:val="0"/>
        <w:rPr>
          <w:rFonts w:ascii="仿宋" w:hAnsi="仿宋" w:eastAsia="仿宋" w:cs="宋体"/>
          <w:sz w:val="28"/>
          <w:szCs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14:paraId="54A919E5">
      <w:pPr>
        <w:widowControl/>
        <w:spacing w:before="100" w:beforeAutospacing="1" w:after="100" w:afterAutospacing="1"/>
        <w:jc w:val="center"/>
        <w:rPr>
          <w:rFonts w:hint="eastAsia" w:ascii="宋体" w:hAnsi="宋体"/>
          <w:b/>
          <w:bCs/>
          <w:sz w:val="28"/>
        </w:rPr>
      </w:pPr>
    </w:p>
    <w:p w14:paraId="66ECDB90">
      <w:pPr>
        <w:widowControl/>
        <w:spacing w:before="100" w:beforeAutospacing="1" w:after="100" w:afterAutospacing="1"/>
        <w:jc w:val="center"/>
        <w:rPr>
          <w:rFonts w:hint="eastAsia" w:ascii="宋体" w:hAnsi="宋体"/>
          <w:b/>
          <w:bCs/>
          <w:sz w:val="28"/>
        </w:rPr>
      </w:pPr>
    </w:p>
    <w:p w14:paraId="255AA87D">
      <w:pPr>
        <w:widowControl/>
        <w:spacing w:before="100" w:beforeAutospacing="1" w:after="100" w:afterAutospacing="1"/>
        <w:jc w:val="center"/>
        <w:rPr>
          <w:rFonts w:hint="eastAsia" w:ascii="宋体" w:hAnsi="宋体"/>
          <w:b/>
          <w:bCs/>
          <w:sz w:val="28"/>
        </w:rPr>
      </w:pPr>
    </w:p>
    <w:p w14:paraId="30FAB55D">
      <w:pPr>
        <w:widowControl/>
        <w:spacing w:before="100" w:beforeAutospacing="1" w:after="100" w:afterAutospacing="1"/>
        <w:jc w:val="center"/>
        <w:rPr>
          <w:rFonts w:ascii="宋体" w:hAnsi="宋体"/>
          <w:b/>
          <w:bCs/>
          <w:sz w:val="28"/>
        </w:rPr>
      </w:pPr>
      <w:r>
        <w:rPr>
          <w:rFonts w:hint="eastAsia" w:ascii="宋体" w:hAnsi="宋体"/>
          <w:b/>
          <w:bCs/>
          <w:sz w:val="28"/>
        </w:rPr>
        <w:t>二、耗材采购需求：</w:t>
      </w:r>
    </w:p>
    <w:tbl>
      <w:tblPr>
        <w:tblStyle w:val="6"/>
        <w:tblW w:w="994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126"/>
        <w:gridCol w:w="7107"/>
      </w:tblGrid>
      <w:tr w14:paraId="4C49A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10" w:type="dxa"/>
            <w:tcBorders>
              <w:top w:val="single" w:color="auto" w:sz="4" w:space="0"/>
              <w:left w:val="single" w:color="auto" w:sz="4" w:space="0"/>
              <w:bottom w:val="single" w:color="auto" w:sz="4" w:space="0"/>
              <w:right w:val="single" w:color="auto" w:sz="4" w:space="0"/>
            </w:tcBorders>
            <w:vAlign w:val="center"/>
          </w:tcPr>
          <w:p w14:paraId="5A6AC5AD">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2126" w:type="dxa"/>
            <w:tcBorders>
              <w:top w:val="single" w:color="auto" w:sz="4" w:space="0"/>
              <w:left w:val="single" w:color="auto" w:sz="4" w:space="0"/>
              <w:bottom w:val="single" w:color="auto" w:sz="4" w:space="0"/>
              <w:right w:val="single" w:color="auto" w:sz="4" w:space="0"/>
            </w:tcBorders>
            <w:vAlign w:val="center"/>
          </w:tcPr>
          <w:p w14:paraId="1A24E7C4">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名称</w:t>
            </w:r>
          </w:p>
        </w:tc>
        <w:tc>
          <w:tcPr>
            <w:tcW w:w="7107" w:type="dxa"/>
            <w:tcBorders>
              <w:top w:val="single" w:color="auto" w:sz="4" w:space="0"/>
              <w:left w:val="single" w:color="auto" w:sz="4" w:space="0"/>
              <w:bottom w:val="single" w:color="auto" w:sz="4" w:space="0"/>
              <w:right w:val="single" w:color="auto" w:sz="4" w:space="0"/>
            </w:tcBorders>
            <w:vAlign w:val="center"/>
          </w:tcPr>
          <w:p w14:paraId="2E342CDA">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具体参数需求</w:t>
            </w:r>
          </w:p>
        </w:tc>
      </w:tr>
      <w:tr w14:paraId="6FB8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4" w:hRule="atLeast"/>
        </w:trPr>
        <w:tc>
          <w:tcPr>
            <w:tcW w:w="710" w:type="dxa"/>
            <w:tcBorders>
              <w:top w:val="single" w:color="auto" w:sz="4" w:space="0"/>
              <w:left w:val="single" w:color="auto" w:sz="4" w:space="0"/>
              <w:bottom w:val="single" w:color="auto" w:sz="4" w:space="0"/>
              <w:right w:val="single" w:color="auto" w:sz="4" w:space="0"/>
            </w:tcBorders>
            <w:vAlign w:val="center"/>
          </w:tcPr>
          <w:p w14:paraId="37C3B579">
            <w:pPr>
              <w:widowControl/>
              <w:spacing w:before="100" w:beforeAutospacing="1" w:after="100" w:afterAutospacing="1"/>
              <w:jc w:val="left"/>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1</w:t>
            </w:r>
          </w:p>
        </w:tc>
        <w:tc>
          <w:tcPr>
            <w:tcW w:w="2126" w:type="dxa"/>
            <w:tcBorders>
              <w:top w:val="single" w:color="auto" w:sz="4" w:space="0"/>
              <w:left w:val="single" w:color="auto" w:sz="4" w:space="0"/>
              <w:bottom w:val="single" w:color="auto" w:sz="4" w:space="0"/>
              <w:right w:val="single" w:color="auto" w:sz="4" w:space="0"/>
            </w:tcBorders>
            <w:vAlign w:val="center"/>
          </w:tcPr>
          <w:p w14:paraId="49012669">
            <w:pPr>
              <w:widowControl/>
              <w:tabs>
                <w:tab w:val="right" w:pos="1910"/>
              </w:tabs>
              <w:spacing w:before="100" w:beforeAutospacing="1" w:after="100" w:afterAutospacing="1"/>
              <w:jc w:val="left"/>
              <w:rPr>
                <w:rFonts w:hint="default" w:cs="宋体" w:asciiTheme="minorEastAsia" w:hAnsiTheme="minorEastAsia" w:eastAsiaTheme="minorEastAsia"/>
                <w:kern w:val="0"/>
                <w:sz w:val="24"/>
                <w:lang w:val="en-US" w:eastAsia="zh-CN"/>
              </w:rPr>
            </w:pPr>
            <w:bookmarkStart w:id="0" w:name="_GoBack"/>
            <w:r>
              <w:rPr>
                <w:rFonts w:hint="eastAsia" w:cs="宋体" w:asciiTheme="minorEastAsia" w:hAnsiTheme="minorEastAsia" w:eastAsiaTheme="minorEastAsia"/>
                <w:kern w:val="0"/>
                <w:sz w:val="24"/>
                <w:lang w:val="en-US" w:eastAsia="zh-CN"/>
              </w:rPr>
              <w:t>组织固定液</w:t>
            </w:r>
            <w:bookmarkEnd w:id="0"/>
          </w:p>
        </w:tc>
        <w:tc>
          <w:tcPr>
            <w:tcW w:w="7107" w:type="dxa"/>
            <w:tcBorders>
              <w:top w:val="single" w:color="auto" w:sz="4" w:space="0"/>
              <w:left w:val="single" w:color="auto" w:sz="4" w:space="0"/>
              <w:bottom w:val="single" w:color="auto" w:sz="4" w:space="0"/>
              <w:right w:val="single" w:color="auto" w:sz="4" w:space="0"/>
            </w:tcBorders>
            <w:vAlign w:val="center"/>
          </w:tcPr>
          <w:p w14:paraId="13A1EFAC">
            <w:pPr>
              <w:widowControl/>
              <w:spacing w:before="100" w:beforeAutospacing="1" w:after="100" w:afterAutospacing="1"/>
              <w:jc w:val="left"/>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val="en-US" w:eastAsia="zh-CN"/>
              </w:rPr>
              <w:t>1</w:t>
            </w:r>
            <w:r>
              <w:rPr>
                <w:rFonts w:hint="eastAsia" w:cs="宋体" w:asciiTheme="minorEastAsia" w:hAnsiTheme="minorEastAsia" w:eastAsiaTheme="minorEastAsia"/>
                <w:kern w:val="0"/>
                <w:sz w:val="24"/>
                <w:lang w:eastAsia="zh-CN"/>
              </w:rPr>
              <w:t>.适用于手术室、内镜中心等标本的固定并方便病理科取出标本；</w:t>
            </w:r>
          </w:p>
          <w:p w14:paraId="3467B927">
            <w:pPr>
              <w:widowControl/>
              <w:spacing w:before="100" w:beforeAutospacing="1" w:after="100" w:afterAutospacing="1"/>
              <w:jc w:val="left"/>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val="en-US" w:eastAsia="zh-CN"/>
              </w:rPr>
              <w:t>2</w:t>
            </w:r>
            <w:r>
              <w:rPr>
                <w:rFonts w:hint="eastAsia" w:cs="宋体" w:asciiTheme="minorEastAsia" w:hAnsiTheme="minorEastAsia" w:eastAsiaTheme="minorEastAsia"/>
                <w:kern w:val="0"/>
                <w:sz w:val="24"/>
                <w:lang w:eastAsia="zh-CN"/>
              </w:rPr>
              <w:t>、甲醛含量:3.9%(±0.1)，PH值:7.3(±0.1)；</w:t>
            </w:r>
          </w:p>
          <w:p w14:paraId="2156D2BE">
            <w:pPr>
              <w:widowControl/>
              <w:spacing w:before="100" w:beforeAutospacing="1" w:after="100" w:afterAutospacing="1"/>
              <w:jc w:val="left"/>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val="en-US" w:eastAsia="zh-CN"/>
              </w:rPr>
              <w:t>3</w:t>
            </w:r>
            <w:r>
              <w:rPr>
                <w:rFonts w:hint="eastAsia" w:cs="宋体" w:asciiTheme="minorEastAsia" w:hAnsiTheme="minorEastAsia" w:eastAsiaTheme="minorEastAsia"/>
                <w:kern w:val="0"/>
                <w:sz w:val="24"/>
                <w:lang w:eastAsia="zh-CN"/>
              </w:rPr>
              <w:t>、标本瓶密封及抗压能力强，配以医用标签，无需配置，即取即用，减少与甲醛接触对身体造成的危害；</w:t>
            </w:r>
          </w:p>
          <w:p w14:paraId="0F140205">
            <w:pPr>
              <w:widowControl/>
              <w:spacing w:before="100" w:beforeAutospacing="1" w:after="100" w:afterAutospacing="1"/>
              <w:jc w:val="left"/>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val="en-US" w:eastAsia="zh-CN"/>
              </w:rPr>
              <w:t>4</w:t>
            </w:r>
            <w:r>
              <w:rPr>
                <w:rFonts w:hint="eastAsia" w:cs="宋体" w:asciiTheme="minorEastAsia" w:hAnsiTheme="minorEastAsia" w:eastAsiaTheme="minorEastAsia"/>
                <w:kern w:val="0"/>
                <w:sz w:val="24"/>
                <w:lang w:eastAsia="zh-CN"/>
              </w:rPr>
              <w:t>、规格齐全，满足临床需求:3ml/瓶,5ml/瓶,6ml/瓶,8ml/瓶，10ml/瓶,15ml/瓶,20ml/瓶，25ml/瓶，30ml/ 瓶，50ml/瓶，100ml/瓶，250ml/瓶，500ml/瓶，1000ml/瓶，2500ml/瓶，5000ml/ 瓶，10L/瓶,15L/瓶,20L/瓶。</w:t>
            </w:r>
          </w:p>
        </w:tc>
      </w:tr>
    </w:tbl>
    <w:p w14:paraId="2F826D31">
      <w:pPr>
        <w:spacing w:line="540" w:lineRule="exact"/>
        <w:rPr>
          <w:rFonts w:ascii="宋体" w:hAnsi="宋体"/>
          <w:bCs/>
          <w:sz w:val="24"/>
        </w:rPr>
      </w:pPr>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inherit">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docPartObj>
        <w:docPartGallery w:val="autotext"/>
      </w:docPartObj>
    </w:sdtPr>
    <w:sdtContent>
      <w:p w14:paraId="07CDB51E">
        <w:pPr>
          <w:pStyle w:val="4"/>
          <w:jc w:val="center"/>
        </w:pPr>
        <w:r>
          <w:fldChar w:fldCharType="begin"/>
        </w:r>
        <w:r>
          <w:instrText xml:space="preserve">PAGE   \* MERGEFORMAT</w:instrText>
        </w:r>
        <w:r>
          <w:fldChar w:fldCharType="separate"/>
        </w:r>
        <w:r>
          <w:rPr>
            <w:lang w:val="zh-CN"/>
          </w:rPr>
          <w:t>-</w:t>
        </w:r>
        <w:r>
          <w:t xml:space="preserve"> 4 -</w:t>
        </w:r>
        <w:r>
          <w:fldChar w:fldCharType="end"/>
        </w:r>
      </w:p>
    </w:sdtContent>
  </w:sdt>
  <w:p w14:paraId="5D1EDFE3">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0ZWVmNTRiMjRmNWFkYzE0MDk2MWY3YjY1MTRiNzIifQ=="/>
  </w:docVars>
  <w:rsids>
    <w:rsidRoot w:val="00917972"/>
    <w:rsid w:val="0001717B"/>
    <w:rsid w:val="000346EE"/>
    <w:rsid w:val="000865FB"/>
    <w:rsid w:val="000A2D9F"/>
    <w:rsid w:val="000B2248"/>
    <w:rsid w:val="000C46CA"/>
    <w:rsid w:val="000D196D"/>
    <w:rsid w:val="00125B20"/>
    <w:rsid w:val="001C020B"/>
    <w:rsid w:val="001D4F49"/>
    <w:rsid w:val="001F3EC2"/>
    <w:rsid w:val="00203F52"/>
    <w:rsid w:val="00214288"/>
    <w:rsid w:val="00285C2B"/>
    <w:rsid w:val="002B4449"/>
    <w:rsid w:val="002D4BC7"/>
    <w:rsid w:val="003113BF"/>
    <w:rsid w:val="00316A24"/>
    <w:rsid w:val="00332B5E"/>
    <w:rsid w:val="00347C2E"/>
    <w:rsid w:val="00364C3B"/>
    <w:rsid w:val="00375B7E"/>
    <w:rsid w:val="003772F4"/>
    <w:rsid w:val="003F071A"/>
    <w:rsid w:val="00425B19"/>
    <w:rsid w:val="00480440"/>
    <w:rsid w:val="004F336A"/>
    <w:rsid w:val="00515A8F"/>
    <w:rsid w:val="00546B4C"/>
    <w:rsid w:val="005708F0"/>
    <w:rsid w:val="00584E0A"/>
    <w:rsid w:val="005B3A63"/>
    <w:rsid w:val="005D0EE1"/>
    <w:rsid w:val="005D33F2"/>
    <w:rsid w:val="005E1470"/>
    <w:rsid w:val="005E3E42"/>
    <w:rsid w:val="005F6C47"/>
    <w:rsid w:val="0063213A"/>
    <w:rsid w:val="006764B5"/>
    <w:rsid w:val="00683257"/>
    <w:rsid w:val="006B695C"/>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A258F"/>
    <w:rsid w:val="00ED31C4"/>
    <w:rsid w:val="00EF67F2"/>
    <w:rsid w:val="00F14601"/>
    <w:rsid w:val="00F5618D"/>
    <w:rsid w:val="00F82BDB"/>
    <w:rsid w:val="00F92D50"/>
    <w:rsid w:val="00F950A6"/>
    <w:rsid w:val="00FA07B8"/>
    <w:rsid w:val="00FD58F1"/>
    <w:rsid w:val="03D658FF"/>
    <w:rsid w:val="063C618E"/>
    <w:rsid w:val="09317280"/>
    <w:rsid w:val="0A6E00F9"/>
    <w:rsid w:val="0AC171C3"/>
    <w:rsid w:val="0BA13F3D"/>
    <w:rsid w:val="0C8A2C23"/>
    <w:rsid w:val="0F0856C0"/>
    <w:rsid w:val="1076459C"/>
    <w:rsid w:val="1350586A"/>
    <w:rsid w:val="135E0534"/>
    <w:rsid w:val="147456F3"/>
    <w:rsid w:val="165064E9"/>
    <w:rsid w:val="199450E1"/>
    <w:rsid w:val="1A2C7DEE"/>
    <w:rsid w:val="2418246B"/>
    <w:rsid w:val="246464CF"/>
    <w:rsid w:val="26435EC5"/>
    <w:rsid w:val="269C2E17"/>
    <w:rsid w:val="26EE059E"/>
    <w:rsid w:val="288B5A00"/>
    <w:rsid w:val="35700AF9"/>
    <w:rsid w:val="47164442"/>
    <w:rsid w:val="48AE321A"/>
    <w:rsid w:val="48F8086D"/>
    <w:rsid w:val="54D57D13"/>
    <w:rsid w:val="598444C5"/>
    <w:rsid w:val="5A761F7B"/>
    <w:rsid w:val="5FF2755C"/>
    <w:rsid w:val="60B540C1"/>
    <w:rsid w:val="690507DD"/>
    <w:rsid w:val="704B11CB"/>
    <w:rsid w:val="72BFB1C7"/>
    <w:rsid w:val="799D7E4B"/>
    <w:rsid w:val="FFBED2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autoRedefine/>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3"/>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字符"/>
    <w:basedOn w:val="8"/>
    <w:link w:val="2"/>
    <w:autoRedefine/>
    <w:qFormat/>
    <w:uiPriority w:val="0"/>
    <w:rPr>
      <w:rFonts w:ascii="Times New Roman" w:hAnsi="Times New Roman" w:eastAsia="宋体" w:cs="Times New Roman"/>
      <w:b/>
      <w:bCs/>
      <w:kern w:val="44"/>
      <w:sz w:val="44"/>
      <w:szCs w:val="44"/>
    </w:rPr>
  </w:style>
  <w:style w:type="character" w:customStyle="1" w:styleId="10">
    <w:name w:val="页眉 字符"/>
    <w:basedOn w:val="8"/>
    <w:link w:val="5"/>
    <w:autoRedefine/>
    <w:qFormat/>
    <w:uiPriority w:val="99"/>
    <w:rPr>
      <w:rFonts w:ascii="Calibri" w:hAnsi="Calibri" w:eastAsia="宋体" w:cs="Times New Roman"/>
      <w:sz w:val="18"/>
      <w:szCs w:val="18"/>
    </w:rPr>
  </w:style>
  <w:style w:type="character" w:customStyle="1" w:styleId="11">
    <w:name w:val="页脚 字符"/>
    <w:basedOn w:val="8"/>
    <w:link w:val="4"/>
    <w:autoRedefine/>
    <w:qFormat/>
    <w:uiPriority w:val="99"/>
    <w:rPr>
      <w:rFonts w:ascii="Calibri" w:hAnsi="Calibri" w:eastAsia="宋体" w:cs="Times New Roman"/>
      <w:sz w:val="18"/>
      <w:szCs w:val="18"/>
    </w:rPr>
  </w:style>
  <w:style w:type="paragraph" w:styleId="12">
    <w:name w:val="List Paragraph"/>
    <w:basedOn w:val="1"/>
    <w:autoRedefine/>
    <w:qFormat/>
    <w:uiPriority w:val="34"/>
    <w:pPr>
      <w:ind w:firstLine="420" w:firstLineChars="200"/>
    </w:pPr>
  </w:style>
  <w:style w:type="character" w:customStyle="1" w:styleId="13">
    <w:name w:val="批注框文本 字符"/>
    <w:basedOn w:val="8"/>
    <w:link w:val="3"/>
    <w:autoRedefine/>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1870</Words>
  <Characters>2018</Characters>
  <Lines>21</Lines>
  <Paragraphs>6</Paragraphs>
  <TotalTime>1</TotalTime>
  <ScaleCrop>false</ScaleCrop>
  <LinksUpToDate>false</LinksUpToDate>
  <CharactersWithSpaces>2702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2023-05-04T17:04:00Z</dcterms:created>
  <dc:creator>Windows 用户</dc:creator>
  <cp:lastModifiedBy>dz</cp:lastModifiedBy>
  <cp:lastPrinted>2022-11-03T14:35:00Z</cp:lastPrinted>
  <dcterms:modified xsi:type="dcterms:W3CDTF">2025-09-12T08:03:08Z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1081AAF31619498BB50DECD01955397B_13</vt:lpwstr>
  </property>
  <property fmtid="{D5CDD505-2E9C-101B-9397-08002B2CF9AE}" pid="4" name="KSOTemplateDocerSaveRecord">
    <vt:lpwstr>eyJoZGlkIjoiZDhjNzU1YTMyNDA5NmJiMDFkMzE1NjkzODhhMjJjYjAiLCJ1c2VySWQiOiI3ODY1NjA4NjkifQ==</vt:lpwstr>
  </property>
</Properties>
</file>