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2919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51E63F60">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06FF7D98">
            <w:pPr>
              <w:numPr>
                <w:ilvl w:val="-1"/>
                <w:numId w:val="0"/>
              </w:numPr>
              <w:spacing w:after="78" w:line="240" w:lineRule="auto"/>
              <w:ind w:left="360" w:leftChars="0" w:firstLine="0" w:firstLineChars="0"/>
              <w:contextualSpacing/>
              <w:rPr>
                <w:rFonts w:ascii="宋体" w:hAnsi="宋体" w:cs="宋体"/>
                <w:sz w:val="24"/>
                <w:szCs w:val="24"/>
              </w:rPr>
            </w:pPr>
            <w:r>
              <w:rPr>
                <w:rFonts w:hint="eastAsia" w:cs="Times New Roman"/>
                <w:color w:val="auto"/>
                <w:sz w:val="22"/>
                <w:szCs w:val="22"/>
                <w:lang w:val="en-US" w:eastAsia="zh-CN"/>
              </w:rPr>
              <w:t>深圳市儿童医院龙华院区</w:t>
            </w:r>
            <w:r>
              <w:rPr>
                <w:rFonts w:hint="eastAsia" w:ascii="Times New Roman" w:hAnsi="Times New Roman" w:eastAsia="宋体" w:cs="Times New Roman"/>
                <w:color w:val="auto"/>
                <w:sz w:val="22"/>
                <w:szCs w:val="22"/>
                <w:lang w:val="en-US" w:eastAsia="zh-CN"/>
              </w:rPr>
              <w:t>配套医疗设备（第二批）项目咨询服务</w:t>
            </w:r>
          </w:p>
        </w:tc>
      </w:tr>
      <w:tr w14:paraId="0B37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14:paraId="26787EB7">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项目预算</w:t>
            </w:r>
          </w:p>
        </w:tc>
        <w:tc>
          <w:tcPr>
            <w:tcW w:w="7750" w:type="dxa"/>
            <w:tcBorders>
              <w:top w:val="single" w:color="auto" w:sz="4" w:space="0"/>
              <w:left w:val="single" w:color="auto" w:sz="4" w:space="0"/>
              <w:bottom w:val="single" w:color="auto" w:sz="4" w:space="0"/>
              <w:right w:val="single" w:color="auto" w:sz="4" w:space="0"/>
            </w:tcBorders>
            <w:vAlign w:val="center"/>
          </w:tcPr>
          <w:p w14:paraId="2A2A7DAF">
            <w:pPr>
              <w:numPr>
                <w:ilvl w:val="-1"/>
                <w:numId w:val="0"/>
              </w:numPr>
              <w:spacing w:after="78" w:line="240" w:lineRule="auto"/>
              <w:ind w:left="360" w:firstLine="0"/>
              <w:rPr>
                <w:rFonts w:hint="default" w:cs="Times New Roman"/>
                <w:lang w:val="en-US" w:eastAsia="zh-CN"/>
              </w:rPr>
            </w:pPr>
            <w:r>
              <w:rPr>
                <w:rFonts w:hint="eastAsia" w:cs="Times New Roman"/>
                <w:lang w:val="en-US" w:eastAsia="zh-CN"/>
              </w:rPr>
              <w:t>65万元</w:t>
            </w:r>
            <w:bookmarkStart w:id="0" w:name="_GoBack"/>
            <w:bookmarkEnd w:id="0"/>
          </w:p>
        </w:tc>
      </w:tr>
      <w:tr w14:paraId="33C1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14:paraId="57105336">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14:paraId="641D34DF">
            <w:pPr>
              <w:numPr>
                <w:ilvl w:val="-1"/>
                <w:numId w:val="0"/>
              </w:numPr>
              <w:spacing w:after="78" w:line="240" w:lineRule="auto"/>
              <w:ind w:left="360" w:firstLine="0"/>
              <w:rPr>
                <w:rFonts w:ascii="宋体" w:hAnsi="宋体" w:cs="宋体"/>
                <w:kern w:val="0"/>
                <w:sz w:val="24"/>
                <w:szCs w:val="24"/>
              </w:rPr>
            </w:pPr>
            <w:r>
              <w:rPr>
                <w:rFonts w:hint="eastAsia" w:cs="Times New Roman"/>
                <w:lang w:val="en-US" w:eastAsia="zh-CN"/>
              </w:rPr>
              <w:t>深圳市儿童医院龙华院区</w:t>
            </w:r>
            <w:r>
              <w:rPr>
                <w:rFonts w:hint="default" w:ascii="Times New Roman" w:hAnsi="Times New Roman" w:eastAsia="宋体" w:cs="Times New Roman"/>
                <w:lang w:val="en-US" w:eastAsia="zh-CN"/>
              </w:rPr>
              <w:t>为我市新建高水平、国际化的三级甲等儿科专科医院，位于龙华区民治大道东侧，建筑面积30万平方米，设计床位1500张，日门诊量10500人次。</w:t>
            </w:r>
            <w:r>
              <w:rPr>
                <w:rFonts w:hint="eastAsia" w:ascii="Times New Roman" w:hAnsi="Times New Roman" w:eastAsia="宋体" w:cs="Times New Roman"/>
                <w:lang w:val="en-US" w:eastAsia="zh-CN"/>
              </w:rPr>
              <w:t>为满足</w:t>
            </w:r>
            <w:r>
              <w:rPr>
                <w:rFonts w:hint="eastAsia" w:cs="Times New Roman"/>
                <w:lang w:val="en-US" w:eastAsia="zh-CN"/>
              </w:rPr>
              <w:t>深圳市儿童医院龙华院区</w:t>
            </w:r>
            <w:r>
              <w:rPr>
                <w:rFonts w:hint="eastAsia" w:ascii="Times New Roman" w:hAnsi="Times New Roman" w:eastAsia="宋体" w:cs="Times New Roman"/>
                <w:lang w:val="en-US" w:eastAsia="zh-CN"/>
              </w:rPr>
              <w:t>开业需求，（深发改〔2023〕104号）批复配套医疗设备（第一批）投资40189万元，已进入采购阶段。按照</w:t>
            </w:r>
            <w:r>
              <w:rPr>
                <w:rFonts w:hint="eastAsia" w:cs="Times New Roman"/>
                <w:lang w:val="en-US" w:eastAsia="zh-CN"/>
              </w:rPr>
              <w:t>深圳市儿童医院龙华院区</w:t>
            </w:r>
            <w:r>
              <w:rPr>
                <w:rFonts w:hint="eastAsia" w:ascii="Times New Roman" w:hAnsi="Times New Roman" w:eastAsia="宋体" w:cs="Times New Roman"/>
                <w:lang w:val="en-US" w:eastAsia="zh-CN"/>
              </w:rPr>
              <w:t>规划，为保障医院开业后续业务的</w:t>
            </w:r>
            <w:r>
              <w:rPr>
                <w:rFonts w:hint="eastAsia" w:cs="Times New Roman"/>
                <w:lang w:val="en-US" w:eastAsia="zh-CN"/>
              </w:rPr>
              <w:t>开展</w:t>
            </w:r>
            <w:r>
              <w:rPr>
                <w:rFonts w:hint="eastAsia" w:ascii="Times New Roman" w:hAnsi="Times New Roman" w:eastAsia="宋体" w:cs="Times New Roman"/>
                <w:lang w:val="en-US" w:eastAsia="zh-CN"/>
              </w:rPr>
              <w:t>，</w:t>
            </w:r>
            <w:r>
              <w:rPr>
                <w:rFonts w:hint="eastAsia" w:cs="Times New Roman"/>
                <w:lang w:val="en-US" w:eastAsia="zh-CN"/>
              </w:rPr>
              <w:t>我院</w:t>
            </w:r>
            <w:r>
              <w:rPr>
                <w:rFonts w:hint="eastAsia" w:ascii="Times New Roman" w:hAnsi="Times New Roman" w:eastAsia="宋体" w:cs="Times New Roman"/>
                <w:lang w:val="en-US" w:eastAsia="zh-CN"/>
              </w:rPr>
              <w:t>计划申报医疗设备（第二批）投资约48960万元</w:t>
            </w:r>
            <w:r>
              <w:rPr>
                <w:rFonts w:hint="eastAsia" w:cs="Times New Roman"/>
                <w:lang w:val="en-US" w:eastAsia="zh-CN"/>
              </w:rPr>
              <w:t>。</w:t>
            </w:r>
            <w:r>
              <w:rPr>
                <w:rFonts w:hint="eastAsia" w:ascii="Times New Roman" w:hAnsi="Times New Roman" w:eastAsia="宋体" w:cs="Times New Roman"/>
                <w:lang w:val="en-US" w:eastAsia="zh-CN"/>
              </w:rPr>
              <w:t>现需开展项目编制</w:t>
            </w:r>
            <w:r>
              <w:rPr>
                <w:rFonts w:hint="eastAsia" w:cs="Times New Roman"/>
                <w:lang w:val="en-US" w:eastAsia="zh-CN"/>
              </w:rPr>
              <w:t>工作，内容包含深圳市儿童医院龙华院区</w:t>
            </w:r>
            <w:r>
              <w:rPr>
                <w:rFonts w:hint="eastAsia" w:ascii="Times New Roman" w:hAnsi="Times New Roman" w:eastAsia="宋体" w:cs="Times New Roman"/>
                <w:lang w:val="en-US" w:eastAsia="zh-CN"/>
              </w:rPr>
              <w:t>配套医疗设备（第二批）项目建议书（如需要）、可行性研究报告（代项目建议书）</w:t>
            </w:r>
            <w:r>
              <w:rPr>
                <w:rFonts w:hint="eastAsia" w:cs="Times New Roman"/>
                <w:lang w:val="en-US" w:eastAsia="zh-CN"/>
              </w:rPr>
              <w:t>以及</w:t>
            </w:r>
            <w:r>
              <w:rPr>
                <w:rFonts w:hint="eastAsia" w:ascii="Times New Roman" w:hAnsi="Times New Roman" w:eastAsia="宋体" w:cs="Times New Roman"/>
                <w:lang w:val="en-US" w:eastAsia="zh-CN"/>
              </w:rPr>
              <w:t>概算书</w:t>
            </w:r>
            <w:r>
              <w:rPr>
                <w:rFonts w:hint="eastAsia" w:cs="Times New Roman"/>
                <w:lang w:val="en-US" w:eastAsia="zh-CN"/>
              </w:rPr>
              <w:t>的编制</w:t>
            </w:r>
            <w:r>
              <w:rPr>
                <w:rFonts w:hint="eastAsia" w:ascii="Times New Roman" w:hAnsi="Times New Roman" w:eastAsia="宋体" w:cs="Times New Roman"/>
                <w:lang w:val="en-US" w:eastAsia="zh-CN"/>
              </w:rPr>
              <w:t>，</w:t>
            </w:r>
            <w:r>
              <w:rPr>
                <w:rFonts w:hint="eastAsia" w:cs="Times New Roman"/>
                <w:lang w:val="en-US" w:eastAsia="zh-CN"/>
              </w:rPr>
              <w:t>并</w:t>
            </w:r>
            <w:r>
              <w:rPr>
                <w:rFonts w:hint="eastAsia" w:ascii="Times New Roman" w:hAnsi="Times New Roman" w:eastAsia="宋体" w:cs="Times New Roman"/>
                <w:lang w:val="en-US" w:eastAsia="zh-CN"/>
              </w:rPr>
              <w:t>上报发改部门审批。</w:t>
            </w:r>
          </w:p>
        </w:tc>
      </w:tr>
      <w:tr w14:paraId="6901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14:paraId="6FEB30B8">
            <w:pPr>
              <w:spacing w:after="78"/>
              <w:jc w:val="center"/>
              <w:rPr>
                <w:rFonts w:hint="eastAsia" w:ascii="宋体" w:hAnsi="宋体" w:cs="宋体"/>
                <w:kern w:val="0"/>
                <w:sz w:val="24"/>
                <w:szCs w:val="24"/>
              </w:rPr>
            </w:pPr>
            <w:r>
              <w:rPr>
                <w:rFonts w:hint="eastAsia" w:ascii="宋体" w:hAnsi="宋体" w:eastAsia="宋体" w:cs="宋体"/>
                <w:kern w:val="0"/>
                <w:sz w:val="24"/>
                <w:szCs w:val="24"/>
                <w:lang w:val="en-US" w:eastAsia="zh-CN"/>
              </w:rPr>
              <w:t>资格要求</w:t>
            </w:r>
          </w:p>
        </w:tc>
        <w:tc>
          <w:tcPr>
            <w:tcW w:w="7750" w:type="dxa"/>
            <w:tcBorders>
              <w:top w:val="single" w:color="auto" w:sz="4" w:space="0"/>
              <w:left w:val="single" w:color="auto" w:sz="4" w:space="0"/>
              <w:bottom w:val="single" w:color="auto" w:sz="4" w:space="0"/>
              <w:right w:val="single" w:color="auto" w:sz="4" w:space="0"/>
            </w:tcBorders>
            <w:vAlign w:val="center"/>
          </w:tcPr>
          <w:p w14:paraId="0231F0B7">
            <w:pPr>
              <w:numPr>
                <w:ilvl w:val="-1"/>
                <w:numId w:val="0"/>
              </w:numPr>
              <w:spacing w:after="78" w:line="240" w:lineRule="auto"/>
              <w:ind w:left="360" w:leftChars="0" w:firstLine="0" w:firstLineChars="0"/>
              <w:contextualSpacing/>
              <w:rPr>
                <w:rFonts w:hint="eastAsia" w:cs="Times New Roman"/>
                <w:color w:val="auto"/>
                <w:sz w:val="22"/>
                <w:szCs w:val="22"/>
                <w:lang w:val="en-US" w:eastAsia="zh-CN"/>
              </w:rPr>
            </w:pPr>
            <w:r>
              <w:rPr>
                <w:rFonts w:hint="eastAsia" w:cs="Times New Roman"/>
                <w:color w:val="auto"/>
                <w:sz w:val="22"/>
                <w:szCs w:val="22"/>
                <w:lang w:val="en-US" w:eastAsia="zh-CN"/>
              </w:rPr>
              <w:t>1、</w:t>
            </w:r>
            <w:r>
              <w:rPr>
                <w:rFonts w:hint="eastAsia" w:ascii="Times New Roman" w:hAnsi="Times New Roman" w:cs="Times New Roman"/>
                <w:color w:val="auto"/>
                <w:sz w:val="22"/>
                <w:szCs w:val="22"/>
                <w:lang w:eastAsia="zh-CN"/>
              </w:rPr>
              <w:t>具有独立法人资格企业，须提供营业执照复印件加盖投标人公章；</w:t>
            </w:r>
          </w:p>
          <w:p w14:paraId="6454729D">
            <w:pPr>
              <w:numPr>
                <w:ilvl w:val="-1"/>
                <w:numId w:val="0"/>
              </w:numPr>
              <w:spacing w:before="0" w:beforeLines="-2147483648" w:beforeAutospacing="0" w:after="78" w:afterAutospacing="0" w:line="240" w:lineRule="auto"/>
              <w:ind w:left="360" w:leftChars="0" w:firstLine="0" w:firstLineChars="0"/>
              <w:contextualSpacing/>
              <w:outlineLvl w:val="9"/>
              <w:rPr>
                <w:rFonts w:hint="eastAsia" w:ascii="Times New Roman" w:hAnsi="Times New Roman" w:cs="Times New Roman"/>
                <w:color w:val="auto"/>
                <w:sz w:val="22"/>
                <w:szCs w:val="22"/>
                <w:lang w:eastAsia="zh-CN"/>
              </w:rPr>
            </w:pPr>
            <w:r>
              <w:rPr>
                <w:rFonts w:hint="eastAsia" w:cs="Times New Roman"/>
                <w:color w:val="auto"/>
                <w:sz w:val="22"/>
                <w:szCs w:val="22"/>
                <w:lang w:val="en-US" w:eastAsia="zh-CN"/>
              </w:rPr>
              <w:t>2、</w:t>
            </w:r>
            <w:r>
              <w:rPr>
                <w:rFonts w:hint="eastAsia" w:ascii="Times New Roman" w:hAnsi="Times New Roman" w:cs="Times New Roman"/>
                <w:color w:val="auto"/>
                <w:sz w:val="22"/>
                <w:szCs w:val="22"/>
                <w:lang w:eastAsia="zh-CN"/>
              </w:rPr>
              <w:t>企业须在全国投资项目在线审批监督平台通过工程咨询单位备案，并提供备案公示信息复印件加盖投标人公章；</w:t>
            </w:r>
          </w:p>
          <w:p w14:paraId="7870D68B">
            <w:pPr>
              <w:numPr>
                <w:ilvl w:val="-1"/>
                <w:numId w:val="0"/>
              </w:numPr>
              <w:spacing w:after="78" w:line="240" w:lineRule="auto"/>
              <w:ind w:left="360" w:firstLine="0"/>
              <w:contextualSpacing/>
              <w:rPr>
                <w:rFonts w:hint="eastAsia" w:ascii="宋体" w:hAnsi="宋体" w:eastAsia="宋体"/>
                <w:snapToGrid w:val="0"/>
                <w:color w:val="auto"/>
                <w:sz w:val="21"/>
                <w:lang w:eastAsia="zh-CN"/>
              </w:rPr>
            </w:pPr>
            <w:r>
              <w:rPr>
                <w:rFonts w:hint="eastAsia" w:ascii="Times New Roman" w:hAnsi="Times New Roman" w:eastAsia="宋体" w:cs="Times New Roman"/>
                <w:lang w:val="en-US" w:eastAsia="zh-CN"/>
              </w:rPr>
              <w:t>3、</w:t>
            </w:r>
            <w:r>
              <w:rPr>
                <w:rFonts w:hint="eastAsia" w:ascii="宋体" w:hAnsi="宋体" w:eastAsia="宋体"/>
                <w:snapToGrid w:val="0"/>
                <w:color w:val="auto"/>
                <w:sz w:val="21"/>
              </w:rPr>
              <w:t>参与本项目采购活动前三年内，在经营活动中没有重大违法记录</w:t>
            </w:r>
            <w:r>
              <w:rPr>
                <w:rFonts w:hint="eastAsia" w:ascii="宋体" w:hAnsi="宋体" w:eastAsia="宋体"/>
                <w:snapToGrid w:val="0"/>
                <w:color w:val="auto"/>
                <w:sz w:val="21"/>
                <w:lang w:eastAsia="zh-CN"/>
              </w:rPr>
              <w:t>；</w:t>
            </w:r>
          </w:p>
          <w:p w14:paraId="23C74612">
            <w:pPr>
              <w:numPr>
                <w:ilvl w:val="-1"/>
                <w:numId w:val="0"/>
              </w:numPr>
              <w:spacing w:after="78" w:line="240" w:lineRule="auto"/>
              <w:ind w:left="360" w:leftChars="0" w:firstLine="0" w:firstLineChars="0"/>
              <w:contextualSpacing/>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w:t>
            </w:r>
            <w:r>
              <w:rPr>
                <w:rFonts w:hint="eastAsia" w:cs="Times New Roman"/>
                <w:color w:val="auto"/>
                <w:sz w:val="22"/>
                <w:szCs w:val="22"/>
                <w:lang w:val="en-US" w:eastAsia="zh-CN"/>
              </w:rPr>
              <w:t>参</w:t>
            </w:r>
            <w:r>
              <w:rPr>
                <w:rFonts w:hint="eastAsia" w:ascii="Times New Roman" w:hAnsi="Times New Roman" w:eastAsia="宋体" w:cs="Times New Roman"/>
                <w:color w:val="auto"/>
                <w:sz w:val="22"/>
                <w:szCs w:val="22"/>
                <w:lang w:val="en-US" w:eastAsia="zh-CN"/>
              </w:rPr>
              <w:t>与本项目政府采购活动时不存在被有关部门禁止参与政府采购活动且在有效期内的情况；</w:t>
            </w:r>
          </w:p>
          <w:p w14:paraId="09EC5357">
            <w:pPr>
              <w:numPr>
                <w:ilvl w:val="-1"/>
                <w:numId w:val="0"/>
              </w:numPr>
              <w:spacing w:after="78" w:line="240" w:lineRule="auto"/>
              <w:ind w:left="360" w:leftChars="0" w:firstLine="0" w:firstLineChars="0"/>
              <w:contextualSpacing/>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5、除单一来源采购项目外，为采购项目提供整体设计、规范编制或者项目管理、监理、检测等服务的供应商，不得再参加该采购项目的其他采购活动；</w:t>
            </w:r>
          </w:p>
          <w:p w14:paraId="0DF67D5E">
            <w:pPr>
              <w:numPr>
                <w:ilvl w:val="-1"/>
                <w:numId w:val="0"/>
              </w:numPr>
              <w:spacing w:after="78" w:line="240" w:lineRule="auto"/>
              <w:ind w:left="360" w:leftChars="0" w:firstLine="0" w:firstLineChars="0"/>
              <w:contextualSpacing/>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49AC252">
            <w:pPr>
              <w:numPr>
                <w:ilvl w:val="0"/>
                <w:numId w:val="0"/>
              </w:numPr>
              <w:spacing w:after="78"/>
              <w:ind w:left="360"/>
              <w:contextualSpacing/>
              <w:rPr>
                <w:rFonts w:hint="eastAsia"/>
                <w:lang w:val="en-US" w:eastAsia="zh-CN"/>
              </w:rPr>
            </w:pPr>
            <w:r>
              <w:rPr>
                <w:rFonts w:hint="eastAsia" w:ascii="Times New Roman" w:hAnsi="Times New Roman" w:eastAsia="宋体" w:cs="Times New Roman"/>
                <w:color w:val="auto"/>
                <w:sz w:val="22"/>
                <w:szCs w:val="22"/>
                <w:lang w:val="en-US" w:eastAsia="zh-CN"/>
              </w:rPr>
              <w:t>7、本项目不接受联合体投标，不允许非法分包或转包。</w:t>
            </w:r>
          </w:p>
        </w:tc>
      </w:tr>
      <w:tr w14:paraId="42CE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14:paraId="074FF9E0">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712E1B17">
            <w:pPr>
              <w:numPr>
                <w:ilvl w:val="-1"/>
                <w:numId w:val="0"/>
              </w:numPr>
              <w:spacing w:after="0" w:line="240" w:lineRule="auto"/>
              <w:ind w:left="420" w:leftChars="200" w:firstLine="0"/>
              <w:jc w:val="left"/>
              <w:rPr>
                <w:rFonts w:hint="eastAsia"/>
                <w:lang w:val="en-US" w:eastAsia="zh-CN"/>
              </w:rPr>
            </w:pPr>
            <w:r>
              <w:rPr>
                <w:rFonts w:hint="eastAsia"/>
                <w:lang w:val="en-US" w:eastAsia="zh-CN"/>
              </w:rPr>
              <w:t>中标人必</w:t>
            </w:r>
            <w:r>
              <w:rPr>
                <w:rFonts w:hint="eastAsia" w:ascii="Times New Roman" w:hAnsi="Times New Roman" w:eastAsia="宋体" w:cs="Times New Roman"/>
                <w:lang w:val="en-US" w:eastAsia="zh-CN"/>
              </w:rPr>
              <w:t>须按深圳市发展与改革委员会的规定和要求编制本项目的项目建议书（如需要）、可行性研究报告（代项目建议书）和概算书，</w:t>
            </w:r>
            <w:r>
              <w:rPr>
                <w:rFonts w:hint="eastAsia"/>
                <w:lang w:val="en-US" w:eastAsia="zh-CN"/>
              </w:rPr>
              <w:t>主要内容包括（但不限于）：</w:t>
            </w:r>
          </w:p>
          <w:p w14:paraId="76FAF664">
            <w:pPr>
              <w:numPr>
                <w:ilvl w:val="-1"/>
                <w:numId w:val="0"/>
              </w:numPr>
              <w:spacing w:after="0" w:line="240" w:lineRule="auto"/>
              <w:ind w:left="420" w:leftChars="200" w:firstLine="0"/>
              <w:jc w:val="left"/>
              <w:rPr>
                <w:rFonts w:hint="eastAsia"/>
                <w:lang w:val="en-US" w:eastAsia="zh-CN"/>
              </w:rPr>
            </w:pPr>
            <w:r>
              <w:rPr>
                <w:rFonts w:hint="eastAsia" w:ascii="仿宋_GB2312" w:eastAsia="仿宋_GB2312"/>
                <w:sz w:val="24"/>
                <w:highlight w:val="yellow"/>
              </w:rPr>
              <w:t>▲</w:t>
            </w:r>
            <w:r>
              <w:rPr>
                <w:rFonts w:hint="eastAsia"/>
                <w:lang w:val="en-US" w:eastAsia="zh-CN"/>
              </w:rPr>
              <w:t>1、建设项目依据、必要性及迫切性：搜集相关资料与规划，分析相关政策和环境，结合未来发展规划，明确项目建设的背景和必要性。</w:t>
            </w:r>
          </w:p>
          <w:p w14:paraId="752F713D">
            <w:pPr>
              <w:numPr>
                <w:ilvl w:val="-1"/>
                <w:numId w:val="0"/>
              </w:numPr>
              <w:spacing w:after="0" w:line="240" w:lineRule="auto"/>
              <w:ind w:left="420" w:leftChars="200" w:firstLine="0"/>
              <w:jc w:val="left"/>
              <w:rPr>
                <w:rFonts w:hint="eastAsia"/>
                <w:lang w:val="en-US" w:eastAsia="zh-CN"/>
              </w:rPr>
            </w:pPr>
            <w:r>
              <w:rPr>
                <w:rFonts w:hint="eastAsia" w:ascii="仿宋_GB2312" w:eastAsia="仿宋_GB2312"/>
                <w:b/>
                <w:sz w:val="24"/>
                <w:highlight w:val="yellow"/>
              </w:rPr>
              <w:t>★</w:t>
            </w:r>
            <w:r>
              <w:rPr>
                <w:rFonts w:hint="eastAsia"/>
                <w:lang w:val="en-US" w:eastAsia="zh-CN"/>
              </w:rPr>
              <w:t>2、在</w:t>
            </w:r>
            <w:r>
              <w:rPr>
                <w:rFonts w:hint="eastAsia" w:cs="Times New Roman"/>
                <w:lang w:val="en-US" w:eastAsia="zh-CN"/>
              </w:rPr>
              <w:t>配套</w:t>
            </w:r>
            <w:r>
              <w:rPr>
                <w:rFonts w:hint="eastAsia" w:ascii="Times New Roman" w:hAnsi="Times New Roman" w:eastAsia="宋体" w:cs="Times New Roman"/>
                <w:lang w:val="en-US" w:eastAsia="zh-CN"/>
              </w:rPr>
              <w:t>医疗设备（第一批）批</w:t>
            </w:r>
            <w:r>
              <w:rPr>
                <w:rFonts w:hint="eastAsia"/>
                <w:lang w:val="en-US" w:eastAsia="zh-CN"/>
              </w:rPr>
              <w:t>复的基础上，</w:t>
            </w:r>
            <w:r>
              <w:rPr>
                <w:rFonts w:hint="eastAsia" w:ascii="Times New Roman" w:hAnsi="Times New Roman" w:eastAsia="宋体" w:cs="Times New Roman"/>
                <w:lang w:val="en-US" w:eastAsia="zh-CN"/>
              </w:rPr>
              <w:t>按照</w:t>
            </w:r>
            <w:r>
              <w:rPr>
                <w:rFonts w:hint="eastAsia" w:cs="Times New Roman"/>
                <w:lang w:val="en-US" w:eastAsia="zh-CN"/>
              </w:rPr>
              <w:t>深圳市儿童医院龙华院区</w:t>
            </w:r>
            <w:r>
              <w:rPr>
                <w:rFonts w:hint="eastAsia" w:ascii="Times New Roman" w:hAnsi="Times New Roman" w:eastAsia="宋体" w:cs="Times New Roman"/>
                <w:lang w:val="en-US" w:eastAsia="zh-CN"/>
              </w:rPr>
              <w:t>规划，为保障医院开业后续业务的发展，</w:t>
            </w:r>
            <w:r>
              <w:rPr>
                <w:rFonts w:hint="eastAsia"/>
                <w:lang w:val="en-US" w:eastAsia="zh-CN"/>
              </w:rPr>
              <w:t>深入调研第二儿童医院医疗设备购置的详细需求：充分掌握其医用设备配置现状，发掘其存在的问题和潜在需求，明确其对设备的功能、规模、服务等各方面的需求。</w:t>
            </w:r>
          </w:p>
          <w:p w14:paraId="64840BA3">
            <w:pPr>
              <w:numPr>
                <w:ilvl w:val="-1"/>
                <w:numId w:val="0"/>
              </w:numPr>
              <w:spacing w:after="0" w:line="240" w:lineRule="auto"/>
              <w:ind w:left="420" w:leftChars="200" w:firstLine="0"/>
              <w:jc w:val="left"/>
              <w:rPr>
                <w:rFonts w:hint="eastAsia" w:ascii="Times New Roman" w:hAnsi="Times New Roman" w:cs="Times New Roman"/>
                <w:color w:val="auto"/>
                <w:sz w:val="22"/>
                <w:szCs w:val="22"/>
                <w:lang w:val="en-US" w:eastAsia="zh-CN"/>
              </w:rPr>
            </w:pPr>
            <w:r>
              <w:rPr>
                <w:rFonts w:hint="eastAsia" w:ascii="仿宋_GB2312" w:eastAsia="仿宋_GB2312"/>
                <w:b/>
                <w:sz w:val="24"/>
                <w:highlight w:val="yellow"/>
              </w:rPr>
              <w:t>★</w:t>
            </w:r>
            <w:r>
              <w:rPr>
                <w:rFonts w:hint="eastAsia" w:ascii="Times New Roman" w:hAnsi="Times New Roman" w:cs="Times New Roman"/>
                <w:color w:val="auto"/>
                <w:sz w:val="22"/>
                <w:szCs w:val="22"/>
                <w:lang w:val="en-US" w:eastAsia="zh-CN"/>
              </w:rPr>
              <w:t>3、制定模板，确认和收集各科室设备清单：进行整理、确认模板的内容要包括设备名称、数量、单价、总额、主要配置、保修年限、申请科室。</w:t>
            </w:r>
          </w:p>
          <w:p w14:paraId="4B7E69E3">
            <w:pPr>
              <w:numPr>
                <w:ilvl w:val="-1"/>
                <w:numId w:val="0"/>
              </w:numPr>
              <w:spacing w:after="0" w:line="240" w:lineRule="auto"/>
              <w:ind w:left="420" w:leftChars="200" w:firstLine="0"/>
              <w:jc w:val="left"/>
              <w:rPr>
                <w:rFonts w:hint="eastAsia" w:ascii="Times New Roman" w:hAnsi="Times New Roman" w:cs="Times New Roman"/>
                <w:color w:val="auto"/>
                <w:sz w:val="22"/>
                <w:szCs w:val="22"/>
                <w:lang w:val="en-US" w:eastAsia="zh-CN"/>
              </w:rPr>
            </w:pPr>
            <w:r>
              <w:rPr>
                <w:rFonts w:hint="eastAsia" w:ascii="仿宋_GB2312" w:eastAsia="仿宋_GB2312"/>
                <w:b/>
                <w:sz w:val="24"/>
                <w:highlight w:val="yellow"/>
              </w:rPr>
              <w:t>★</w:t>
            </w:r>
            <w:r>
              <w:rPr>
                <w:rFonts w:hint="eastAsia" w:cs="Times New Roman"/>
                <w:color w:val="auto"/>
                <w:sz w:val="22"/>
                <w:szCs w:val="22"/>
                <w:lang w:val="en-US" w:eastAsia="zh-CN"/>
              </w:rPr>
              <w:t>4</w:t>
            </w:r>
            <w:r>
              <w:rPr>
                <w:rFonts w:hint="eastAsia" w:ascii="Times New Roman" w:hAnsi="Times New Roman" w:cs="Times New Roman"/>
                <w:color w:val="auto"/>
                <w:sz w:val="22"/>
                <w:szCs w:val="22"/>
                <w:lang w:val="en-US" w:eastAsia="zh-CN"/>
              </w:rPr>
              <w:t>、按照调研的需求，合理科学确定</w:t>
            </w:r>
            <w:r>
              <w:rPr>
                <w:rFonts w:hint="eastAsia" w:cs="Times New Roman"/>
                <w:color w:val="auto"/>
                <w:sz w:val="22"/>
                <w:szCs w:val="22"/>
                <w:lang w:val="en-US" w:eastAsia="zh-CN"/>
              </w:rPr>
              <w:t>科室需求</w:t>
            </w:r>
            <w:r>
              <w:rPr>
                <w:rFonts w:hint="eastAsia" w:ascii="Times New Roman" w:hAnsi="Times New Roman" w:cs="Times New Roman"/>
                <w:color w:val="auto"/>
                <w:sz w:val="22"/>
                <w:szCs w:val="22"/>
                <w:lang w:val="en-US" w:eastAsia="zh-CN"/>
              </w:rPr>
              <w:t>，</w:t>
            </w:r>
            <w:r>
              <w:rPr>
                <w:rFonts w:hint="eastAsia" w:cs="Times New Roman"/>
                <w:color w:val="auto"/>
                <w:sz w:val="22"/>
                <w:szCs w:val="22"/>
                <w:lang w:val="en-US" w:eastAsia="zh-CN"/>
              </w:rPr>
              <w:t>设备详细</w:t>
            </w:r>
            <w:r>
              <w:rPr>
                <w:rFonts w:hint="eastAsia" w:ascii="Times New Roman" w:hAnsi="Times New Roman" w:cs="Times New Roman"/>
                <w:color w:val="auto"/>
                <w:sz w:val="22"/>
                <w:szCs w:val="22"/>
                <w:lang w:val="en-US" w:eastAsia="zh-CN"/>
              </w:rPr>
              <w:t>配置</w:t>
            </w:r>
            <w:r>
              <w:rPr>
                <w:rFonts w:hint="eastAsia" w:cs="Times New Roman"/>
                <w:color w:val="auto"/>
                <w:sz w:val="22"/>
                <w:szCs w:val="22"/>
                <w:lang w:val="en-US" w:eastAsia="zh-CN"/>
              </w:rPr>
              <w:t>及建设</w:t>
            </w:r>
            <w:r>
              <w:rPr>
                <w:rFonts w:hint="eastAsia" w:ascii="Times New Roman" w:hAnsi="Times New Roman" w:cs="Times New Roman"/>
                <w:color w:val="auto"/>
                <w:sz w:val="22"/>
                <w:szCs w:val="22"/>
                <w:lang w:val="en-US" w:eastAsia="zh-CN"/>
              </w:rPr>
              <w:t>内容和规模。</w:t>
            </w:r>
          </w:p>
          <w:p w14:paraId="2C6CFA1B">
            <w:pPr>
              <w:numPr>
                <w:ilvl w:val="-1"/>
                <w:numId w:val="0"/>
              </w:numPr>
              <w:spacing w:after="0" w:line="240" w:lineRule="auto"/>
              <w:ind w:left="420" w:leftChars="200" w:firstLine="0"/>
              <w:jc w:val="left"/>
              <w:rPr>
                <w:rFonts w:hint="eastAsia" w:ascii="Times New Roman" w:hAnsi="Times New Roman" w:cs="Times New Roman"/>
                <w:color w:val="auto"/>
                <w:sz w:val="22"/>
                <w:szCs w:val="22"/>
                <w:lang w:val="en-US" w:eastAsia="zh-CN"/>
              </w:rPr>
            </w:pPr>
            <w:r>
              <w:rPr>
                <w:rFonts w:hint="eastAsia" w:ascii="仿宋_GB2312" w:eastAsia="仿宋_GB2312"/>
                <w:b/>
                <w:sz w:val="24"/>
                <w:highlight w:val="yellow"/>
              </w:rPr>
              <w:t>★</w:t>
            </w:r>
            <w:r>
              <w:rPr>
                <w:rFonts w:hint="eastAsia" w:cs="Times New Roman"/>
                <w:color w:val="auto"/>
                <w:sz w:val="22"/>
                <w:szCs w:val="22"/>
                <w:lang w:val="en-US" w:eastAsia="zh-CN"/>
              </w:rPr>
              <w:t>5</w:t>
            </w:r>
            <w:r>
              <w:rPr>
                <w:rFonts w:hint="eastAsia" w:ascii="Times New Roman" w:hAnsi="Times New Roman" w:cs="Times New Roman"/>
                <w:color w:val="auto"/>
                <w:sz w:val="22"/>
                <w:szCs w:val="22"/>
                <w:lang w:val="en-US" w:eastAsia="zh-CN"/>
              </w:rPr>
              <w:t>、对项目进行设备方案论证和研究，并提出合理化建议：根据调研的需求和确定的建设目标，建设内容和规模，结合对方案的全面性、合理性、先进性、可实施性进行分析论证，确定最终设备方案。</w:t>
            </w:r>
          </w:p>
          <w:p w14:paraId="695EE311">
            <w:pPr>
              <w:numPr>
                <w:ilvl w:val="-1"/>
                <w:numId w:val="0"/>
              </w:numPr>
              <w:spacing w:after="0" w:line="240" w:lineRule="auto"/>
              <w:ind w:left="420" w:leftChars="200" w:firstLine="0"/>
              <w:jc w:val="left"/>
              <w:rPr>
                <w:rFonts w:hint="eastAsia" w:ascii="Times New Roman" w:hAnsi="Times New Roman" w:cs="Times New Roman"/>
                <w:color w:val="auto"/>
                <w:sz w:val="22"/>
                <w:szCs w:val="22"/>
                <w:lang w:val="en-US" w:eastAsia="zh-CN"/>
              </w:rPr>
            </w:pPr>
            <w:r>
              <w:rPr>
                <w:rFonts w:hint="eastAsia" w:ascii="仿宋_GB2312" w:eastAsia="仿宋_GB2312"/>
                <w:b/>
                <w:sz w:val="24"/>
                <w:highlight w:val="yellow"/>
              </w:rPr>
              <w:t>★</w:t>
            </w:r>
            <w:r>
              <w:rPr>
                <w:rFonts w:hint="eastAsia" w:cs="Times New Roman"/>
                <w:color w:val="auto"/>
                <w:sz w:val="22"/>
                <w:szCs w:val="22"/>
                <w:lang w:val="en-US" w:eastAsia="zh-CN"/>
              </w:rPr>
              <w:t>6</w:t>
            </w:r>
            <w:r>
              <w:rPr>
                <w:rFonts w:hint="eastAsia" w:ascii="Times New Roman" w:hAnsi="Times New Roman" w:cs="Times New Roman"/>
                <w:color w:val="auto"/>
                <w:sz w:val="22"/>
                <w:szCs w:val="22"/>
                <w:lang w:val="en-US" w:eastAsia="zh-CN"/>
              </w:rPr>
              <w:t>、</w:t>
            </w:r>
            <w:r>
              <w:rPr>
                <w:rFonts w:hint="eastAsia" w:cs="Times New Roman"/>
                <w:color w:val="auto"/>
                <w:sz w:val="22"/>
                <w:szCs w:val="22"/>
                <w:lang w:val="en-US" w:eastAsia="zh-CN"/>
              </w:rPr>
              <w:t>按照集采要求及选配方案、市场询价</w:t>
            </w:r>
            <w:r>
              <w:rPr>
                <w:rFonts w:hint="eastAsia" w:ascii="Times New Roman" w:hAnsi="Times New Roman" w:cs="Times New Roman"/>
                <w:color w:val="auto"/>
                <w:sz w:val="22"/>
                <w:szCs w:val="22"/>
                <w:lang w:val="en-US" w:eastAsia="zh-CN"/>
              </w:rPr>
              <w:t>确定项目投资概算。</w:t>
            </w:r>
          </w:p>
          <w:p w14:paraId="52D1D6B9">
            <w:pPr>
              <w:numPr>
                <w:ilvl w:val="-1"/>
                <w:numId w:val="0"/>
              </w:numPr>
              <w:spacing w:after="0"/>
              <w:ind w:left="420" w:leftChars="200"/>
              <w:jc w:val="left"/>
              <w:rPr>
                <w:rFonts w:hint="eastAsia" w:ascii="Times New Roman" w:hAnsi="Times New Roman" w:cs="Times New Roman"/>
                <w:color w:val="auto"/>
                <w:sz w:val="22"/>
                <w:szCs w:val="22"/>
                <w:lang w:val="en-US" w:eastAsia="zh-CN"/>
              </w:rPr>
            </w:pPr>
            <w:r>
              <w:rPr>
                <w:rFonts w:hint="eastAsia" w:ascii="仿宋_GB2312" w:eastAsia="仿宋_GB2312"/>
                <w:b/>
                <w:sz w:val="24"/>
                <w:highlight w:val="yellow"/>
              </w:rPr>
              <w:t>★</w:t>
            </w:r>
            <w:r>
              <w:rPr>
                <w:rFonts w:hint="eastAsia" w:ascii="Times New Roman" w:hAnsi="Times New Roman" w:cs="Times New Roman"/>
                <w:color w:val="auto"/>
                <w:sz w:val="22"/>
                <w:szCs w:val="22"/>
                <w:lang w:val="en-US" w:eastAsia="zh-CN"/>
              </w:rPr>
              <w:t>7、按采购进口设备</w:t>
            </w:r>
            <w:r>
              <w:rPr>
                <w:rFonts w:hint="eastAsia" w:cs="Times New Roman"/>
                <w:color w:val="auto"/>
                <w:sz w:val="22"/>
                <w:szCs w:val="22"/>
                <w:lang w:val="en-US" w:eastAsia="zh-CN"/>
              </w:rPr>
              <w:t>的相关规定和申报</w:t>
            </w:r>
            <w:r>
              <w:rPr>
                <w:rFonts w:hint="eastAsia" w:ascii="Times New Roman" w:hAnsi="Times New Roman" w:cs="Times New Roman"/>
                <w:color w:val="auto"/>
                <w:sz w:val="22"/>
                <w:szCs w:val="22"/>
                <w:lang w:val="en-US" w:eastAsia="zh-CN"/>
              </w:rPr>
              <w:t>模板，协调、引导各科室</w:t>
            </w:r>
            <w:r>
              <w:rPr>
                <w:rFonts w:hint="eastAsia" w:cs="Times New Roman"/>
                <w:color w:val="auto"/>
                <w:sz w:val="22"/>
                <w:szCs w:val="22"/>
                <w:lang w:val="en-US" w:eastAsia="zh-CN"/>
              </w:rPr>
              <w:t>开展</w:t>
            </w:r>
            <w:r>
              <w:rPr>
                <w:rFonts w:hint="eastAsia" w:ascii="Times New Roman" w:hAnsi="Times New Roman" w:cs="Times New Roman"/>
                <w:color w:val="auto"/>
                <w:sz w:val="22"/>
                <w:szCs w:val="22"/>
                <w:lang w:val="en-US" w:eastAsia="zh-CN"/>
              </w:rPr>
              <w:t>进口设备论证，</w:t>
            </w:r>
            <w:r>
              <w:rPr>
                <w:rFonts w:hint="eastAsia" w:cs="Times New Roman"/>
                <w:color w:val="auto"/>
                <w:sz w:val="22"/>
                <w:szCs w:val="22"/>
                <w:lang w:val="en-US" w:eastAsia="zh-CN"/>
              </w:rPr>
              <w:t>并</w:t>
            </w:r>
            <w:r>
              <w:rPr>
                <w:rFonts w:hint="eastAsia" w:ascii="Times New Roman" w:hAnsi="Times New Roman" w:cs="Times New Roman"/>
                <w:color w:val="auto"/>
                <w:sz w:val="22"/>
                <w:szCs w:val="22"/>
                <w:lang w:val="en-US" w:eastAsia="zh-CN"/>
              </w:rPr>
              <w:t>组织专家进行进口设备论证</w:t>
            </w:r>
            <w:r>
              <w:rPr>
                <w:rFonts w:hint="eastAsia" w:cs="Times New Roman"/>
                <w:color w:val="auto"/>
                <w:sz w:val="22"/>
                <w:szCs w:val="22"/>
                <w:lang w:val="en-US" w:eastAsia="zh-CN"/>
              </w:rPr>
              <w:t>，上报主管部门审批</w:t>
            </w:r>
            <w:r>
              <w:rPr>
                <w:rFonts w:hint="eastAsia" w:ascii="Times New Roman" w:hAnsi="Times New Roman" w:cs="Times New Roman"/>
                <w:color w:val="auto"/>
                <w:sz w:val="22"/>
                <w:szCs w:val="22"/>
                <w:lang w:val="en-US" w:eastAsia="zh-CN"/>
              </w:rPr>
              <w:t>。</w:t>
            </w:r>
          </w:p>
          <w:p w14:paraId="4C5CD791">
            <w:pPr>
              <w:keepNext w:val="0"/>
              <w:keepLines w:val="0"/>
              <w:pageBreakBefore w:val="0"/>
              <w:widowControl/>
              <w:numPr>
                <w:ilvl w:val="-1"/>
                <w:numId w:val="0"/>
              </w:numPr>
              <w:kinsoku/>
              <w:wordWrap/>
              <w:overflowPunct/>
              <w:topLinePunct w:val="0"/>
              <w:autoSpaceDE/>
              <w:autoSpaceDN/>
              <w:bidi w:val="0"/>
              <w:adjustRightInd/>
              <w:snapToGrid/>
              <w:spacing w:line="240" w:lineRule="auto"/>
              <w:ind w:left="420" w:leftChars="200" w:right="0" w:righ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★8、保密要求：</w:t>
            </w:r>
            <w:r>
              <w:rPr>
                <w:rFonts w:hint="eastAsia" w:ascii="宋体" w:hAnsi="宋体" w:eastAsia="宋体" w:cs="宋体"/>
                <w:color w:val="auto"/>
                <w:sz w:val="22"/>
                <w:szCs w:val="22"/>
                <w:highlight w:val="none"/>
                <w:lang w:val="en-US" w:eastAsia="zh-CN"/>
              </w:rPr>
              <w:t>中标人对开展项目所取得的全部信息和内容保密，不得对外或第三方披露。</w:t>
            </w:r>
          </w:p>
          <w:p w14:paraId="3FE76011">
            <w:pPr>
              <w:ind w:leftChars="200"/>
            </w:pPr>
            <w:r>
              <w:rPr>
                <w:rFonts w:hint="eastAsia" w:ascii="宋体" w:hAnsi="宋体" w:cs="宋体"/>
                <w:b/>
                <w:bCs/>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档案管理要求</w:t>
            </w:r>
            <w:r>
              <w:rPr>
                <w:rFonts w:hint="eastAsia" w:ascii="宋体" w:hAnsi="宋体" w:cs="宋体"/>
                <w:b w:val="0"/>
                <w:bCs w:val="0"/>
                <w:color w:val="auto"/>
                <w:sz w:val="22"/>
                <w:szCs w:val="22"/>
                <w:highlight w:val="none"/>
                <w:lang w:val="en-US" w:eastAsia="zh-CN"/>
              </w:rPr>
              <w:t>：每完成一阶段工作（以发改批复为准），</w:t>
            </w:r>
            <w:r>
              <w:rPr>
                <w:rFonts w:hint="eastAsia" w:ascii="宋体" w:hAnsi="宋体" w:eastAsia="宋体" w:cs="宋体"/>
                <w:color w:val="auto"/>
                <w:sz w:val="22"/>
                <w:szCs w:val="22"/>
                <w:highlight w:val="none"/>
              </w:rPr>
              <w:t>在</w:t>
            </w:r>
            <w:r>
              <w:rPr>
                <w:rFonts w:hint="eastAsia" w:ascii="宋体" w:hAnsi="宋体" w:cs="宋体"/>
                <w:color w:val="auto"/>
                <w:sz w:val="22"/>
                <w:szCs w:val="22"/>
                <w:highlight w:val="none"/>
                <w:lang w:val="en-US" w:eastAsia="zh-CN"/>
              </w:rPr>
              <w:t>收到批复后的</w:t>
            </w:r>
            <w:r>
              <w:rPr>
                <w:rFonts w:hint="eastAsia" w:ascii="宋体" w:hAnsi="宋体" w:eastAsia="宋体" w:cs="宋体"/>
                <w:color w:val="auto"/>
                <w:sz w:val="22"/>
                <w:szCs w:val="22"/>
                <w:highlight w:val="none"/>
              </w:rPr>
              <w:t>7个工作日内将项目</w:t>
            </w:r>
            <w:r>
              <w:rPr>
                <w:rFonts w:hint="eastAsia" w:ascii="宋体" w:hAnsi="宋体" w:cs="宋体"/>
                <w:color w:val="auto"/>
                <w:sz w:val="22"/>
                <w:szCs w:val="22"/>
                <w:highlight w:val="none"/>
                <w:lang w:val="en-US" w:eastAsia="zh-CN"/>
              </w:rPr>
              <w:t>申报</w:t>
            </w:r>
            <w:r>
              <w:rPr>
                <w:rFonts w:hint="eastAsia" w:ascii="宋体" w:hAnsi="宋体" w:eastAsia="宋体" w:cs="宋体"/>
                <w:color w:val="auto"/>
                <w:sz w:val="22"/>
                <w:szCs w:val="22"/>
                <w:highlight w:val="none"/>
              </w:rPr>
              <w:t>过程资料按时间顺序整理并装订成册（含电子版）交予</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。归档的内容和格式按</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要求</w:t>
            </w:r>
            <w:r>
              <w:rPr>
                <w:rFonts w:hint="eastAsia" w:ascii="宋体" w:hAnsi="宋体" w:cs="宋体"/>
                <w:color w:val="auto"/>
                <w:sz w:val="22"/>
                <w:szCs w:val="22"/>
                <w:highlight w:val="none"/>
                <w:lang w:val="en-US" w:eastAsia="zh-CN"/>
              </w:rPr>
              <w:t>执行</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采购人</w:t>
            </w:r>
            <w:r>
              <w:rPr>
                <w:rFonts w:hint="eastAsia" w:ascii="宋体" w:hAnsi="宋体" w:cs="宋体"/>
                <w:color w:val="auto"/>
                <w:sz w:val="22"/>
                <w:szCs w:val="22"/>
                <w:highlight w:val="none"/>
                <w:lang w:val="en-US" w:eastAsia="zh-CN"/>
              </w:rPr>
              <w:t>保</w:t>
            </w:r>
            <w:r>
              <w:rPr>
                <w:rFonts w:hint="eastAsia" w:ascii="宋体" w:hAnsi="宋体" w:eastAsia="宋体" w:cs="宋体"/>
                <w:color w:val="auto"/>
                <w:sz w:val="22"/>
                <w:szCs w:val="22"/>
                <w:highlight w:val="none"/>
              </w:rPr>
              <w:t>留完整的电子版</w:t>
            </w:r>
            <w:r>
              <w:rPr>
                <w:rFonts w:hint="eastAsia" w:ascii="宋体" w:hAnsi="宋体" w:cs="宋体"/>
                <w:color w:val="auto"/>
                <w:sz w:val="22"/>
                <w:szCs w:val="22"/>
                <w:highlight w:val="none"/>
                <w:lang w:val="en-US" w:eastAsia="zh-CN"/>
              </w:rPr>
              <w:t>项目申报</w:t>
            </w:r>
            <w:r>
              <w:rPr>
                <w:rFonts w:hint="eastAsia" w:ascii="宋体" w:hAnsi="宋体" w:eastAsia="宋体" w:cs="宋体"/>
                <w:color w:val="auto"/>
                <w:sz w:val="22"/>
                <w:szCs w:val="22"/>
                <w:highlight w:val="none"/>
              </w:rPr>
              <w:t>档案。</w:t>
            </w:r>
          </w:p>
        </w:tc>
      </w:tr>
      <w:tr w14:paraId="7170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32602116">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6FB74C57">
            <w:pPr>
              <w:numPr>
                <w:ilvl w:val="-1"/>
                <w:numId w:val="0"/>
              </w:numPr>
              <w:spacing w:after="78" w:line="240" w:lineRule="auto"/>
              <w:ind w:left="360" w:leftChars="0" w:firstLine="0" w:firstLineChars="0"/>
              <w:contextualSpacing/>
              <w:rPr>
                <w:rFonts w:hint="eastAsia" w:ascii="Times New Roman" w:hAnsi="Times New Roman" w:eastAsia="宋体" w:cs="Times New Roman"/>
                <w:color w:val="auto"/>
                <w:sz w:val="22"/>
                <w:szCs w:val="22"/>
                <w:lang w:val="en-US" w:eastAsia="zh-CN"/>
              </w:rPr>
            </w:pPr>
            <w:r>
              <w:rPr>
                <w:rFonts w:hint="eastAsia" w:ascii="仿宋_GB2312" w:eastAsia="仿宋_GB2312"/>
                <w:b/>
                <w:sz w:val="24"/>
                <w:highlight w:val="yellow"/>
              </w:rPr>
              <w:t>★</w:t>
            </w:r>
            <w:r>
              <w:rPr>
                <w:rFonts w:hint="eastAsia" w:ascii="Times New Roman" w:hAnsi="Times New Roman" w:eastAsia="宋体" w:cs="Times New Roman"/>
                <w:color w:val="auto"/>
                <w:sz w:val="22"/>
                <w:szCs w:val="22"/>
                <w:lang w:val="en-US" w:eastAsia="zh-CN"/>
              </w:rPr>
              <w:t>1、编制</w:t>
            </w:r>
            <w:r>
              <w:rPr>
                <w:rFonts w:hint="eastAsia" w:cs="Times New Roman"/>
                <w:color w:val="auto"/>
                <w:sz w:val="22"/>
                <w:szCs w:val="22"/>
                <w:lang w:val="en-US" w:eastAsia="zh-CN"/>
              </w:rPr>
              <w:t>深圳市儿童医院龙华院区</w:t>
            </w:r>
            <w:r>
              <w:rPr>
                <w:rFonts w:hint="eastAsia" w:ascii="Times New Roman" w:hAnsi="Times New Roman" w:eastAsia="宋体" w:cs="Times New Roman"/>
                <w:color w:val="auto"/>
                <w:sz w:val="22"/>
                <w:szCs w:val="22"/>
                <w:lang w:val="en-US" w:eastAsia="zh-CN"/>
              </w:rPr>
              <w:t>配套医疗设备（第二批）项目建议书》（如需要）、《</w:t>
            </w:r>
            <w:r>
              <w:rPr>
                <w:rFonts w:hint="eastAsia" w:cs="Times New Roman"/>
                <w:color w:val="auto"/>
                <w:sz w:val="22"/>
                <w:szCs w:val="22"/>
                <w:lang w:val="en-US" w:eastAsia="zh-CN"/>
              </w:rPr>
              <w:t>深圳市儿童医院龙华院区</w:t>
            </w:r>
            <w:r>
              <w:rPr>
                <w:rFonts w:hint="eastAsia" w:ascii="Times New Roman" w:hAnsi="Times New Roman" w:eastAsia="宋体" w:cs="Times New Roman"/>
                <w:color w:val="auto"/>
                <w:sz w:val="22"/>
                <w:szCs w:val="22"/>
                <w:lang w:val="en-US" w:eastAsia="zh-CN"/>
              </w:rPr>
              <w:t>配套医疗设备（第二批）可行性研究报告（代建议书）》和《</w:t>
            </w:r>
            <w:r>
              <w:rPr>
                <w:rFonts w:hint="eastAsia" w:cs="Times New Roman"/>
                <w:color w:val="auto"/>
                <w:sz w:val="22"/>
                <w:szCs w:val="22"/>
                <w:lang w:val="en-US" w:eastAsia="zh-CN"/>
              </w:rPr>
              <w:t>深圳市儿童医院龙华院区</w:t>
            </w:r>
            <w:r>
              <w:rPr>
                <w:rFonts w:hint="eastAsia" w:ascii="Times New Roman" w:hAnsi="Times New Roman" w:eastAsia="宋体" w:cs="Times New Roman"/>
                <w:color w:val="auto"/>
                <w:sz w:val="22"/>
                <w:szCs w:val="22"/>
                <w:lang w:val="en-US" w:eastAsia="zh-CN"/>
              </w:rPr>
              <w:t>配套医疗设备（第二批）概算书；</w:t>
            </w:r>
          </w:p>
          <w:p w14:paraId="6CBA1089">
            <w:pPr>
              <w:numPr>
                <w:ilvl w:val="-1"/>
                <w:numId w:val="0"/>
              </w:numPr>
              <w:spacing w:after="78" w:line="240" w:lineRule="auto"/>
              <w:ind w:left="360" w:leftChars="0" w:firstLine="0" w:firstLineChars="0"/>
              <w:contextualSpacing/>
              <w:rPr>
                <w:rFonts w:hint="eastAsia" w:ascii="Times New Roman" w:hAnsi="Times New Roman" w:eastAsia="宋体" w:cs="Times New Roman"/>
                <w:color w:val="auto"/>
                <w:sz w:val="22"/>
                <w:szCs w:val="22"/>
                <w:lang w:eastAsia="zh-CN"/>
              </w:rPr>
            </w:pPr>
            <w:r>
              <w:rPr>
                <w:rFonts w:hint="eastAsia" w:ascii="仿宋_GB2312" w:eastAsia="仿宋_GB2312"/>
                <w:b/>
                <w:sz w:val="24"/>
                <w:highlight w:val="yellow"/>
              </w:rPr>
              <w:t>★</w:t>
            </w:r>
            <w:r>
              <w:rPr>
                <w:rFonts w:hint="eastAsia" w:ascii="Times New Roman" w:hAnsi="Times New Roman" w:eastAsia="宋体" w:cs="Times New Roman"/>
                <w:color w:val="auto"/>
                <w:sz w:val="22"/>
                <w:szCs w:val="22"/>
                <w:lang w:val="en-US" w:eastAsia="zh-CN"/>
              </w:rPr>
              <w:t>2、</w:t>
            </w:r>
            <w:r>
              <w:rPr>
                <w:rFonts w:hint="eastAsia" w:ascii="Times New Roman" w:hAnsi="Times New Roman" w:eastAsia="宋体" w:cs="Times New Roman"/>
                <w:color w:val="auto"/>
                <w:sz w:val="22"/>
                <w:szCs w:val="22"/>
                <w:lang w:eastAsia="zh-CN"/>
              </w:rPr>
              <w:t>中标单位应在本项目采购合同生效之日起的</w:t>
            </w:r>
            <w:r>
              <w:rPr>
                <w:rFonts w:hint="eastAsia" w:ascii="Times New Roman" w:hAnsi="Times New Roman" w:eastAsia="宋体" w:cs="Times New Roman"/>
                <w:color w:val="auto"/>
                <w:sz w:val="22"/>
                <w:szCs w:val="22"/>
                <w:lang w:val="en-US" w:eastAsia="zh-CN"/>
              </w:rPr>
              <w:t>1</w:t>
            </w:r>
            <w:r>
              <w:rPr>
                <w:rFonts w:hint="eastAsia" w:ascii="Times New Roman" w:hAnsi="Times New Roman" w:eastAsia="宋体" w:cs="Times New Roman"/>
                <w:color w:val="auto"/>
                <w:sz w:val="22"/>
                <w:szCs w:val="22"/>
                <w:lang w:eastAsia="zh-CN"/>
              </w:rPr>
              <w:t>0个自然日内完成需求调研和前期工作。完成前期工作后，收到</w:t>
            </w:r>
            <w:r>
              <w:rPr>
                <w:rFonts w:hint="eastAsia" w:ascii="Times New Roman" w:hAnsi="Times New Roman" w:eastAsia="宋体" w:cs="Times New Roman"/>
                <w:color w:val="auto"/>
                <w:sz w:val="22"/>
                <w:szCs w:val="22"/>
                <w:lang w:val="en-US" w:eastAsia="zh-CN"/>
              </w:rPr>
              <w:t>采购人</w:t>
            </w:r>
            <w:r>
              <w:rPr>
                <w:rFonts w:hint="eastAsia" w:ascii="Times New Roman" w:hAnsi="Times New Roman" w:eastAsia="宋体" w:cs="Times New Roman"/>
                <w:color w:val="auto"/>
                <w:sz w:val="22"/>
                <w:szCs w:val="22"/>
                <w:lang w:eastAsia="zh-CN"/>
              </w:rPr>
              <w:t>正式书面指令后</w:t>
            </w:r>
            <w:r>
              <w:rPr>
                <w:rFonts w:hint="eastAsia" w:ascii="Times New Roman" w:hAnsi="Times New Roman" w:eastAsia="宋体" w:cs="Times New Roman"/>
                <w:color w:val="auto"/>
                <w:sz w:val="22"/>
                <w:szCs w:val="22"/>
                <w:lang w:val="en-US" w:eastAsia="zh-CN"/>
              </w:rPr>
              <w:t>15</w:t>
            </w:r>
            <w:r>
              <w:rPr>
                <w:rFonts w:hint="eastAsia" w:ascii="Times New Roman" w:hAnsi="Times New Roman" w:eastAsia="宋体" w:cs="Times New Roman"/>
                <w:color w:val="auto"/>
                <w:sz w:val="22"/>
                <w:szCs w:val="22"/>
                <w:lang w:eastAsia="zh-CN"/>
              </w:rPr>
              <w:t>日内完成</w:t>
            </w:r>
            <w:r>
              <w:rPr>
                <w:rFonts w:hint="eastAsia" w:ascii="Times New Roman" w:hAnsi="Times New Roman" w:eastAsia="宋体" w:cs="Times New Roman"/>
                <w:color w:val="auto"/>
                <w:sz w:val="22"/>
                <w:szCs w:val="22"/>
                <w:lang w:val="en-US" w:eastAsia="zh-CN"/>
              </w:rPr>
              <w:t>各个阶段</w:t>
            </w:r>
            <w:r>
              <w:rPr>
                <w:rFonts w:hint="eastAsia" w:ascii="Times New Roman" w:hAnsi="Times New Roman" w:eastAsia="宋体" w:cs="Times New Roman"/>
                <w:color w:val="auto"/>
                <w:sz w:val="22"/>
                <w:szCs w:val="22"/>
                <w:lang w:eastAsia="zh-CN"/>
              </w:rPr>
              <w:t>正式</w:t>
            </w:r>
            <w:r>
              <w:rPr>
                <w:rFonts w:hint="eastAsia" w:ascii="Times New Roman" w:hAnsi="Times New Roman" w:eastAsia="宋体" w:cs="Times New Roman"/>
                <w:color w:val="auto"/>
                <w:sz w:val="22"/>
                <w:szCs w:val="22"/>
                <w:lang w:val="en-US" w:eastAsia="zh-CN"/>
              </w:rPr>
              <w:t>送审</w:t>
            </w:r>
            <w:r>
              <w:rPr>
                <w:rFonts w:hint="eastAsia" w:ascii="Times New Roman" w:hAnsi="Times New Roman" w:eastAsia="宋体" w:cs="Times New Roman"/>
                <w:color w:val="auto"/>
                <w:sz w:val="22"/>
                <w:szCs w:val="22"/>
                <w:lang w:eastAsia="zh-CN"/>
              </w:rPr>
              <w:t>版报告。</w:t>
            </w:r>
            <w:r>
              <w:rPr>
                <w:rFonts w:hint="eastAsia" w:ascii="Times New Roman" w:hAnsi="Times New Roman" w:eastAsia="宋体" w:cs="Times New Roman"/>
                <w:color w:val="auto"/>
                <w:sz w:val="22"/>
                <w:szCs w:val="22"/>
                <w:lang w:val="en-US" w:eastAsia="zh-CN"/>
              </w:rPr>
              <w:t>协助配合</w:t>
            </w:r>
            <w:r>
              <w:rPr>
                <w:rFonts w:hint="eastAsia" w:ascii="Times New Roman" w:hAnsi="Times New Roman" w:eastAsia="宋体" w:cs="Times New Roman"/>
                <w:color w:val="auto"/>
                <w:sz w:val="22"/>
                <w:szCs w:val="22"/>
                <w:lang w:eastAsia="zh-CN"/>
              </w:rPr>
              <w:t>直至项目取得发改部门</w:t>
            </w:r>
            <w:r>
              <w:rPr>
                <w:rFonts w:hint="eastAsia" w:ascii="Times New Roman" w:hAnsi="Times New Roman" w:eastAsia="宋体" w:cs="Times New Roman"/>
                <w:color w:val="auto"/>
                <w:sz w:val="22"/>
                <w:szCs w:val="22"/>
                <w:lang w:val="en-US" w:eastAsia="zh-CN"/>
              </w:rPr>
              <w:t>概算</w:t>
            </w:r>
            <w:r>
              <w:rPr>
                <w:rFonts w:hint="eastAsia" w:ascii="Times New Roman" w:hAnsi="Times New Roman" w:eastAsia="宋体" w:cs="Times New Roman"/>
                <w:color w:val="auto"/>
                <w:sz w:val="22"/>
                <w:szCs w:val="22"/>
                <w:lang w:eastAsia="zh-CN"/>
              </w:rPr>
              <w:t>批复为止。中标单位应根据前述履约期限要求，结合采购人要求，自行合理安排工作进度，确保在履约期限届满前履行完毕合同义务，并向采购人交付符合合同约定的工作成果。</w:t>
            </w:r>
          </w:p>
          <w:p w14:paraId="1E0B7634">
            <w:pPr>
              <w:numPr>
                <w:ilvl w:val="-1"/>
                <w:numId w:val="0"/>
              </w:numPr>
              <w:spacing w:after="78" w:line="240" w:lineRule="auto"/>
              <w:ind w:left="360" w:firstLine="0"/>
              <w:rPr>
                <w:rFonts w:hint="eastAsia" w:ascii="Times New Roman" w:hAnsi="Times New Roman" w:cs="Times New Roman"/>
                <w:color w:val="auto"/>
                <w:sz w:val="22"/>
                <w:szCs w:val="22"/>
                <w:lang w:eastAsia="zh-CN"/>
              </w:rPr>
            </w:pPr>
            <w:r>
              <w:rPr>
                <w:rFonts w:hint="eastAsia" w:ascii="仿宋_GB2312" w:eastAsia="仿宋_GB2312"/>
                <w:b/>
                <w:sz w:val="24"/>
                <w:highlight w:val="yellow"/>
              </w:rPr>
              <w:t>★</w:t>
            </w:r>
            <w:r>
              <w:rPr>
                <w:rFonts w:hint="eastAsia" w:cs="Times New Roman"/>
                <w:color w:val="auto"/>
                <w:sz w:val="22"/>
                <w:szCs w:val="22"/>
                <w:lang w:val="en-US" w:eastAsia="zh-CN"/>
              </w:rPr>
              <w:t>3</w:t>
            </w:r>
            <w:r>
              <w:rPr>
                <w:rFonts w:hint="eastAsia"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eastAsia="zh-CN"/>
              </w:rPr>
              <w:t>投标限额及付款方式</w:t>
            </w:r>
          </w:p>
          <w:p w14:paraId="6483192A">
            <w:pPr>
              <w:numPr>
                <w:ilvl w:val="-1"/>
                <w:numId w:val="0"/>
              </w:numPr>
              <w:spacing w:after="78" w:line="240" w:lineRule="auto"/>
              <w:ind w:left="360" w:firstLine="440" w:firstLineChars="200"/>
              <w:rPr>
                <w:rFonts w:hint="eastAsia" w:ascii="Times New Roman" w:hAnsi="Times New Roman" w:cs="Times New Roman"/>
                <w:color w:val="auto"/>
                <w:sz w:val="22"/>
                <w:szCs w:val="22"/>
                <w:lang w:val="en-US" w:eastAsia="zh-CN"/>
              </w:rPr>
            </w:pPr>
            <w:r>
              <w:rPr>
                <w:rFonts w:hint="eastAsia" w:cs="Times New Roman"/>
                <w:color w:val="auto"/>
                <w:sz w:val="22"/>
                <w:szCs w:val="22"/>
                <w:lang w:val="en-US" w:eastAsia="zh-CN"/>
              </w:rPr>
              <w:t>投</w:t>
            </w:r>
            <w:r>
              <w:rPr>
                <w:rFonts w:hint="eastAsia" w:ascii="Times New Roman" w:hAnsi="Times New Roman" w:cs="Times New Roman"/>
                <w:color w:val="auto"/>
                <w:sz w:val="22"/>
                <w:szCs w:val="22"/>
                <w:lang w:val="en-US" w:eastAsia="zh-CN"/>
              </w:rPr>
              <w:t>标限额</w:t>
            </w:r>
            <w:r>
              <w:rPr>
                <w:rFonts w:hint="eastAsia" w:cs="Times New Roman"/>
                <w:color w:val="auto"/>
                <w:sz w:val="22"/>
                <w:szCs w:val="22"/>
                <w:lang w:val="en-US" w:eastAsia="zh-CN"/>
              </w:rPr>
              <w:t>：</w:t>
            </w:r>
            <w:r>
              <w:rPr>
                <w:rFonts w:hint="eastAsia" w:ascii="Times New Roman" w:hAnsi="Times New Roman" w:cs="Times New Roman"/>
                <w:color w:val="auto"/>
                <w:sz w:val="22"/>
                <w:szCs w:val="22"/>
                <w:lang w:val="en-US" w:eastAsia="zh-CN"/>
              </w:rPr>
              <w:t>本次招标项目投标报价上</w:t>
            </w:r>
            <w:r>
              <w:rPr>
                <w:rFonts w:hint="eastAsia" w:ascii="Times New Roman" w:hAnsi="Times New Roman" w:eastAsia="宋体" w:cs="Times New Roman"/>
                <w:color w:val="FF0000"/>
                <w:lang w:val="en-US" w:eastAsia="zh-CN"/>
              </w:rPr>
              <w:t>限为65万元，</w:t>
            </w:r>
            <w:r>
              <w:rPr>
                <w:rFonts w:hint="eastAsia" w:ascii="Times New Roman" w:hAnsi="Times New Roman" w:cs="Times New Roman"/>
                <w:color w:val="auto"/>
                <w:sz w:val="22"/>
                <w:szCs w:val="22"/>
                <w:lang w:val="en-US" w:eastAsia="zh-CN"/>
              </w:rPr>
              <w:t>超过作废标处理。说明：合同最终结算价不超过</w:t>
            </w:r>
            <w:r>
              <w:rPr>
                <w:rFonts w:hint="eastAsia" w:cs="Times New Roman"/>
                <w:color w:val="auto"/>
                <w:sz w:val="22"/>
                <w:szCs w:val="22"/>
                <w:lang w:val="en-US" w:eastAsia="zh-CN"/>
              </w:rPr>
              <w:t>按</w:t>
            </w:r>
            <w:r>
              <w:rPr>
                <w:rFonts w:hint="eastAsia" w:ascii="Times New Roman" w:hAnsi="Times New Roman" w:cs="Times New Roman"/>
                <w:color w:val="auto"/>
                <w:sz w:val="22"/>
                <w:szCs w:val="22"/>
                <w:lang w:val="en-US" w:eastAsia="zh-CN"/>
              </w:rPr>
              <w:t>概算批复投资额测算的编制咨询费。</w:t>
            </w:r>
          </w:p>
          <w:p w14:paraId="4AF501E1">
            <w:pPr>
              <w:numPr>
                <w:ilvl w:val="-1"/>
                <w:numId w:val="0"/>
              </w:numPr>
              <w:spacing w:after="78" w:line="240" w:lineRule="auto"/>
              <w:ind w:left="360" w:firstLine="440" w:firstLineChars="20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 xml:space="preserve">付款方式: </w:t>
            </w:r>
            <w:r>
              <w:rPr>
                <w:rFonts w:hint="eastAsia" w:ascii="Times New Roman" w:hAnsi="Times New Roman" w:cs="Times New Roman"/>
                <w:color w:val="auto"/>
                <w:sz w:val="22"/>
                <w:szCs w:val="22"/>
                <w:lang w:val="zh-CN" w:eastAsia="zh-CN"/>
              </w:rPr>
              <w:t>本项目无预付款，待市发改</w:t>
            </w:r>
            <w:r>
              <w:rPr>
                <w:rFonts w:hint="eastAsia" w:ascii="Times New Roman" w:hAnsi="Times New Roman" w:cs="Times New Roman"/>
                <w:color w:val="auto"/>
                <w:sz w:val="22"/>
                <w:szCs w:val="22"/>
                <w:lang w:val="en-US" w:eastAsia="zh-CN"/>
              </w:rPr>
              <w:t>概算</w:t>
            </w:r>
            <w:r>
              <w:rPr>
                <w:rFonts w:hint="eastAsia" w:ascii="Times New Roman" w:hAnsi="Times New Roman" w:cs="Times New Roman"/>
                <w:color w:val="auto"/>
                <w:sz w:val="22"/>
                <w:szCs w:val="22"/>
                <w:lang w:val="zh-CN" w:eastAsia="zh-CN"/>
              </w:rPr>
              <w:t>批复并下达前期费用或资金到位后一次性支付；</w:t>
            </w:r>
          </w:p>
          <w:p w14:paraId="7A43A770">
            <w:pPr>
              <w:ind w:firstLine="440" w:firstLineChars="200"/>
            </w:pPr>
            <w:r>
              <w:rPr>
                <w:rFonts w:hint="eastAsia" w:ascii="Times New Roman" w:hAnsi="Times New Roman" w:cs="Times New Roman"/>
                <w:color w:val="auto"/>
                <w:sz w:val="22"/>
                <w:szCs w:val="22"/>
                <w:lang w:val="en-US" w:eastAsia="zh-CN"/>
              </w:rPr>
              <w:t>注：如该项目由于政策或不可抗力等因素导致废止，无法下达财委资金，则按中标人实际完成的工作量，经双方共同确认无误后，由采购人自筹经费按</w:t>
            </w:r>
            <w:r>
              <w:rPr>
                <w:rFonts w:hint="eastAsia" w:ascii="Times New Roman" w:hAnsi="Times New Roman" w:cs="Times New Roman"/>
                <w:color w:val="auto"/>
                <w:sz w:val="22"/>
                <w:szCs w:val="22"/>
                <w:lang w:eastAsia="zh-CN"/>
              </w:rPr>
              <w:t>进度结算。</w:t>
            </w:r>
            <w:r>
              <w:rPr>
                <w:rFonts w:hint="eastAsia"/>
                <w:color w:val="auto"/>
                <w:sz w:val="22"/>
                <w:szCs w:val="22"/>
              </w:rPr>
              <w:t>若中标人已完成项目</w:t>
            </w:r>
            <w:r>
              <w:rPr>
                <w:rFonts w:hint="eastAsia" w:ascii="Times New Roman" w:hAnsi="Times New Roman" w:cs="Times New Roman"/>
                <w:color w:val="auto"/>
                <w:sz w:val="22"/>
                <w:szCs w:val="22"/>
                <w:lang w:val="en-US" w:eastAsia="zh-CN"/>
              </w:rPr>
              <w:t>可行性研究报告</w:t>
            </w:r>
            <w:r>
              <w:rPr>
                <w:rFonts w:hint="eastAsia" w:ascii="Times New Roman" w:hAnsi="Times New Roman" w:cs="Times New Roman"/>
                <w:color w:val="auto"/>
                <w:sz w:val="22"/>
                <w:szCs w:val="22"/>
                <w:lang w:eastAsia="zh-CN"/>
              </w:rPr>
              <w:t>编制</w:t>
            </w:r>
            <w:r>
              <w:rPr>
                <w:rFonts w:hint="eastAsia"/>
                <w:color w:val="auto"/>
                <w:sz w:val="22"/>
                <w:szCs w:val="22"/>
              </w:rPr>
              <w:t>及</w:t>
            </w:r>
            <w:r>
              <w:rPr>
                <w:color w:val="auto"/>
                <w:sz w:val="22"/>
                <w:szCs w:val="22"/>
              </w:rPr>
              <w:t>申报</w:t>
            </w:r>
            <w:r>
              <w:rPr>
                <w:rFonts w:hint="eastAsia"/>
                <w:color w:val="auto"/>
                <w:sz w:val="22"/>
                <w:szCs w:val="22"/>
              </w:rPr>
              <w:t>，</w:t>
            </w:r>
            <w:r>
              <w:rPr>
                <w:color w:val="auto"/>
                <w:sz w:val="22"/>
                <w:szCs w:val="22"/>
              </w:rPr>
              <w:t>则</w:t>
            </w:r>
            <w:r>
              <w:rPr>
                <w:rFonts w:hint="eastAsia"/>
                <w:color w:val="auto"/>
                <w:sz w:val="22"/>
                <w:szCs w:val="22"/>
              </w:rPr>
              <w:t>采购人支付合同约定的咨询费的60%作为补偿。</w:t>
            </w:r>
          </w:p>
        </w:tc>
      </w:tr>
    </w:tbl>
    <w:p w14:paraId="6A5BC25A"/>
    <w:p w14:paraId="535C4D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553A9"/>
    <w:rsid w:val="46C553A9"/>
    <w:rsid w:val="6D4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next w:val="4"/>
    <w:qFormat/>
    <w:uiPriority w:val="0"/>
    <w:pPr>
      <w:spacing w:line="360" w:lineRule="auto"/>
      <w:ind w:left="720" w:hanging="720" w:hangingChars="300"/>
    </w:pPr>
    <w:rPr>
      <w:sz w:val="24"/>
    </w:rPr>
  </w:style>
  <w:style w:type="paragraph" w:styleId="4">
    <w:name w:val="envelope return"/>
    <w:basedOn w:val="1"/>
    <w:qFormat/>
    <w:uiPriority w:val="99"/>
    <w:rPr>
      <w:rFonts w:ascii="Arial" w:hAnsi="Arial"/>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1925</Words>
  <Characters>1951</Characters>
  <Lines>0</Lines>
  <Paragraphs>0</Paragraphs>
  <TotalTime>4</TotalTime>
  <ScaleCrop>false</ScaleCrop>
  <LinksUpToDate>false</LinksUpToDate>
  <CharactersWithSpaces>1952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2025-07-23T08:44:00Z</dcterms:created>
  <dc:creator>茜茜 ✨</dc:creator>
  <cp:lastModifiedBy>茜茜 ✨</cp:lastModifiedBy>
  <dcterms:modified xsi:type="dcterms:W3CDTF">2025-07-25T02:04:38Z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414BBBCD69FA4B9A81937326468EEDAC_11</vt:lpwstr>
  </property>
  <property fmtid="{D5CDD505-2E9C-101B-9397-08002B2CF9AE}" pid="4" name="KSOTemplateDocerSaveRecord">
    <vt:lpwstr>eyJoZGlkIjoiMGNjYmY0NDQ3OWE4YmY2NzJlYTA4MDM0NjNhNzdkMzYiLCJ1c2VySWQiOiI1Mzc0MjMyMDUifQ==</vt:lpwstr>
  </property>
</Properties>
</file>