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4007F1">
      <w:pPr>
        <w:jc w:val="center"/>
        <w:rPr>
          <w:rFonts w:ascii="方正小标宋简体" w:eastAsia="方正小标宋简体"/>
        </w:rPr>
      </w:pPr>
      <w:r>
        <w:rPr>
          <w:rFonts w:hint="eastAsia" w:ascii="方正小标宋简体" w:hAnsi="宋体" w:eastAsia="方正小标宋简体" w:cs="宋体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9"/>
        <w:tblW w:w="96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239"/>
        <w:gridCol w:w="7755"/>
      </w:tblGrid>
      <w:tr w14:paraId="3F4EE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60" w:type="dxa"/>
            <w:shd w:val="clear" w:color="auto" w:fill="auto"/>
            <w:vAlign w:val="center"/>
          </w:tcPr>
          <w:p w14:paraId="691EFAA1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239" w:type="dxa"/>
            <w:shd w:val="clear" w:color="auto" w:fill="auto"/>
            <w:vAlign w:val="center"/>
          </w:tcPr>
          <w:p w14:paraId="6481E520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755" w:type="dxa"/>
            <w:shd w:val="clear" w:color="auto" w:fill="auto"/>
            <w:vAlign w:val="center"/>
          </w:tcPr>
          <w:p w14:paraId="663FF961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 w14:paraId="2DFCA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restart"/>
            <w:shd w:val="clear" w:color="auto" w:fill="auto"/>
            <w:vAlign w:val="center"/>
          </w:tcPr>
          <w:p w14:paraId="4E3B527C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239" w:type="dxa"/>
            <w:vMerge w:val="restart"/>
            <w:shd w:val="clear" w:color="auto" w:fill="auto"/>
            <w:vAlign w:val="center"/>
          </w:tcPr>
          <w:p w14:paraId="6D4BAB66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  <w:t>24小时食道PH值及电阻检测</w:t>
            </w:r>
          </w:p>
        </w:tc>
        <w:tc>
          <w:tcPr>
            <w:tcW w:w="7755" w:type="dxa"/>
            <w:shd w:val="clear" w:color="auto" w:fill="auto"/>
            <w:vAlign w:val="center"/>
          </w:tcPr>
          <w:p w14:paraId="0CE450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一、主要技术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参数要求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：</w:t>
            </w:r>
          </w:p>
        </w:tc>
      </w:tr>
      <w:tr w14:paraId="5817E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shd w:val="clear" w:color="auto" w:fill="auto"/>
            <w:vAlign w:val="center"/>
          </w:tcPr>
          <w:p w14:paraId="51E871D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39" w:type="dxa"/>
            <w:vMerge w:val="continue"/>
            <w:shd w:val="clear" w:color="auto" w:fill="auto"/>
            <w:vAlign w:val="center"/>
          </w:tcPr>
          <w:p w14:paraId="5D64445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55" w:type="dxa"/>
            <w:shd w:val="clear" w:color="auto" w:fill="auto"/>
            <w:vAlign w:val="center"/>
          </w:tcPr>
          <w:p w14:paraId="6A9E5B0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同时具有阻抗和PH值监测功能；</w:t>
            </w:r>
          </w:p>
        </w:tc>
      </w:tr>
      <w:tr w14:paraId="78EB3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shd w:val="clear" w:color="auto" w:fill="auto"/>
            <w:vAlign w:val="center"/>
          </w:tcPr>
          <w:p w14:paraId="28853B82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39" w:type="dxa"/>
            <w:vMerge w:val="continue"/>
            <w:shd w:val="clear" w:color="auto" w:fill="auto"/>
            <w:vAlign w:val="center"/>
          </w:tcPr>
          <w:p w14:paraId="1A48BD6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55" w:type="dxa"/>
            <w:shd w:val="clear" w:color="auto" w:fill="auto"/>
            <w:vAlign w:val="center"/>
          </w:tcPr>
          <w:p w14:paraId="7396BD5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▲阻抗和PH监测在同一根导管上完成；</w:t>
            </w:r>
          </w:p>
        </w:tc>
      </w:tr>
      <w:tr w14:paraId="69237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shd w:val="clear" w:color="auto" w:fill="auto"/>
            <w:vAlign w:val="center"/>
          </w:tcPr>
          <w:p w14:paraId="734175E2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39" w:type="dxa"/>
            <w:vMerge w:val="continue"/>
            <w:shd w:val="clear" w:color="auto" w:fill="auto"/>
            <w:vAlign w:val="center"/>
          </w:tcPr>
          <w:p w14:paraId="315457D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55" w:type="dxa"/>
            <w:shd w:val="clear" w:color="auto" w:fill="auto"/>
            <w:vAlign w:val="center"/>
          </w:tcPr>
          <w:p w14:paraId="0BB9920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3、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阻抗支持最大通道数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：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≥6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个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 xml:space="preserve"> </w:t>
            </w:r>
          </w:p>
        </w:tc>
      </w:tr>
      <w:tr w14:paraId="6A50E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shd w:val="clear" w:color="auto" w:fill="auto"/>
            <w:vAlign w:val="center"/>
          </w:tcPr>
          <w:p w14:paraId="11091DB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39" w:type="dxa"/>
            <w:vMerge w:val="continue"/>
            <w:shd w:val="clear" w:color="auto" w:fill="auto"/>
            <w:vAlign w:val="center"/>
          </w:tcPr>
          <w:p w14:paraId="25C6AEA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55" w:type="dxa"/>
            <w:shd w:val="clear" w:color="auto" w:fill="auto"/>
            <w:vAlign w:val="center"/>
          </w:tcPr>
          <w:p w14:paraId="52282CF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4、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pH传感器数量：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≥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1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通道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-2通道；</w:t>
            </w:r>
          </w:p>
        </w:tc>
      </w:tr>
      <w:tr w14:paraId="5AD27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shd w:val="clear" w:color="auto" w:fill="auto"/>
            <w:vAlign w:val="center"/>
          </w:tcPr>
          <w:p w14:paraId="3D3A44A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39" w:type="dxa"/>
            <w:vMerge w:val="continue"/>
            <w:shd w:val="clear" w:color="auto" w:fill="auto"/>
            <w:vAlign w:val="center"/>
          </w:tcPr>
          <w:p w14:paraId="7F686D9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55" w:type="dxa"/>
            <w:shd w:val="clear" w:color="auto" w:fill="auto"/>
            <w:vAlign w:val="center"/>
          </w:tcPr>
          <w:p w14:paraId="6442340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5、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电极导管直径：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≤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2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.1±0.2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mm；</w:t>
            </w:r>
          </w:p>
        </w:tc>
      </w:tr>
      <w:tr w14:paraId="54CC7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shd w:val="clear" w:color="auto" w:fill="auto"/>
            <w:vAlign w:val="center"/>
          </w:tcPr>
          <w:p w14:paraId="56AFF8C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39" w:type="dxa"/>
            <w:vMerge w:val="continue"/>
            <w:shd w:val="clear" w:color="auto" w:fill="auto"/>
            <w:vAlign w:val="center"/>
          </w:tcPr>
          <w:p w14:paraId="37E7A43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55" w:type="dxa"/>
            <w:shd w:val="clear" w:color="auto" w:fill="auto"/>
            <w:vAlign w:val="center"/>
          </w:tcPr>
          <w:p w14:paraId="4C93951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6、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导管pH测量范围：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≥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  <w:t>1.0 ~ 9.0；</w:t>
            </w:r>
          </w:p>
        </w:tc>
      </w:tr>
      <w:tr w14:paraId="10640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shd w:val="clear" w:color="auto" w:fill="auto"/>
            <w:vAlign w:val="center"/>
          </w:tcPr>
          <w:p w14:paraId="41F729E3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39" w:type="dxa"/>
            <w:vMerge w:val="continue"/>
            <w:shd w:val="clear" w:color="auto" w:fill="auto"/>
            <w:vAlign w:val="center"/>
          </w:tcPr>
          <w:p w14:paraId="49E62A56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55" w:type="dxa"/>
            <w:shd w:val="clear" w:color="auto" w:fill="auto"/>
            <w:vAlign w:val="center"/>
          </w:tcPr>
          <w:p w14:paraId="1DF30DC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7、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eastAsia="zh-CN"/>
              </w:rPr>
              <w:t>导管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pH测量精确度：5℃~40℃范围内pH导管的测量精确度误差：≤0.5；</w:t>
            </w:r>
          </w:p>
        </w:tc>
      </w:tr>
      <w:tr w14:paraId="059B1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shd w:val="clear" w:color="auto" w:fill="auto"/>
            <w:vAlign w:val="center"/>
          </w:tcPr>
          <w:p w14:paraId="678567EE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39" w:type="dxa"/>
            <w:vMerge w:val="continue"/>
            <w:shd w:val="clear" w:color="auto" w:fill="auto"/>
            <w:vAlign w:val="center"/>
          </w:tcPr>
          <w:p w14:paraId="509CE62A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55" w:type="dxa"/>
            <w:shd w:val="clear" w:color="auto" w:fill="auto"/>
            <w:vAlign w:val="center"/>
          </w:tcPr>
          <w:p w14:paraId="2E36C11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8、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  <w:t>▲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无需浸泡：电极导管校准时无需浸泡或预浸泡，直接进行校准，缩短准备时间至少10分钟。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（需提供注册证附页的详细技术参数清单或产品彩页或产品说明书，予以证明）</w:t>
            </w:r>
          </w:p>
        </w:tc>
      </w:tr>
      <w:tr w14:paraId="7F075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shd w:val="clear" w:color="auto" w:fill="auto"/>
            <w:vAlign w:val="center"/>
          </w:tcPr>
          <w:p w14:paraId="44991D04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39" w:type="dxa"/>
            <w:vMerge w:val="continue"/>
            <w:shd w:val="clear" w:color="auto" w:fill="auto"/>
            <w:vAlign w:val="center"/>
          </w:tcPr>
          <w:p w14:paraId="7809474C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55" w:type="dxa"/>
            <w:shd w:val="clear" w:color="auto" w:fill="auto"/>
            <w:vAlign w:val="center"/>
          </w:tcPr>
          <w:p w14:paraId="4D47958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9、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  <w:t>导管的规格及长度参数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1270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  <w:t>mm≤L≤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155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  <w:t>0mm；</w:t>
            </w:r>
          </w:p>
        </w:tc>
      </w:tr>
      <w:tr w14:paraId="6DC6F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shd w:val="clear" w:color="auto" w:fill="auto"/>
            <w:vAlign w:val="center"/>
          </w:tcPr>
          <w:p w14:paraId="0D103FC8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39" w:type="dxa"/>
            <w:vMerge w:val="continue"/>
            <w:shd w:val="clear" w:color="auto" w:fill="auto"/>
            <w:vAlign w:val="center"/>
          </w:tcPr>
          <w:p w14:paraId="6DB1A534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55" w:type="dxa"/>
            <w:shd w:val="clear" w:color="auto" w:fill="auto"/>
            <w:vAlign w:val="center"/>
          </w:tcPr>
          <w:p w14:paraId="3CA2E10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10、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  <w:t>记录仪阻抗测量范围：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</w:rPr>
              <w:t>≥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  <w:t>50Ω至10,000Ω；</w:t>
            </w:r>
          </w:p>
        </w:tc>
      </w:tr>
      <w:tr w14:paraId="17C7B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shd w:val="clear" w:color="auto" w:fill="auto"/>
            <w:vAlign w:val="center"/>
          </w:tcPr>
          <w:p w14:paraId="1409B99C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39" w:type="dxa"/>
            <w:vMerge w:val="continue"/>
            <w:shd w:val="clear" w:color="auto" w:fill="auto"/>
            <w:vAlign w:val="center"/>
          </w:tcPr>
          <w:p w14:paraId="19D7B5AB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55" w:type="dxa"/>
            <w:shd w:val="clear" w:color="auto" w:fill="auto"/>
            <w:vAlign w:val="center"/>
          </w:tcPr>
          <w:p w14:paraId="76D8C18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11、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  <w:t>记录仪阻抗测量精确度：测量范围50Ω至99Ω精确度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≤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  <w:t>±10Ω；测量范围100Ω至10,000Ω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,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  <w:t>精确度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≤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  <w:t>5%；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 xml:space="preserve">    </w:t>
            </w:r>
          </w:p>
        </w:tc>
      </w:tr>
      <w:tr w14:paraId="1F338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shd w:val="clear" w:color="auto" w:fill="auto"/>
            <w:vAlign w:val="center"/>
          </w:tcPr>
          <w:p w14:paraId="4A9FA8D6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39" w:type="dxa"/>
            <w:vMerge w:val="continue"/>
            <w:shd w:val="clear" w:color="auto" w:fill="auto"/>
            <w:vAlign w:val="center"/>
          </w:tcPr>
          <w:p w14:paraId="0244B16C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55" w:type="dxa"/>
            <w:shd w:val="clear" w:color="auto" w:fill="auto"/>
            <w:vAlign w:val="center"/>
          </w:tcPr>
          <w:p w14:paraId="3279B60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12、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电极导管的校准方式不少于两种可选：单机校准、联机校准；</w:t>
            </w:r>
          </w:p>
        </w:tc>
      </w:tr>
      <w:tr w14:paraId="78774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shd w:val="clear" w:color="auto" w:fill="auto"/>
            <w:vAlign w:val="center"/>
          </w:tcPr>
          <w:p w14:paraId="5D4DBBF3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39" w:type="dxa"/>
            <w:vMerge w:val="continue"/>
            <w:shd w:val="clear" w:color="auto" w:fill="auto"/>
            <w:vAlign w:val="center"/>
          </w:tcPr>
          <w:p w14:paraId="35ED4A23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55" w:type="dxa"/>
            <w:shd w:val="clear" w:color="auto" w:fill="auto"/>
            <w:vAlign w:val="center"/>
          </w:tcPr>
          <w:p w14:paraId="41A6E84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13、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  <w:t>▲蓝牙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连接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联机校准时，记录仪与电脑通过蓝牙适配器连接，无需线缆，减少更换线缆的烦恼；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（需提供注册证附页的详细技术参数清单或产品彩页或产品说明书，予以证明）。</w:t>
            </w:r>
          </w:p>
        </w:tc>
      </w:tr>
      <w:tr w14:paraId="02A12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shd w:val="clear" w:color="auto" w:fill="auto"/>
            <w:vAlign w:val="center"/>
          </w:tcPr>
          <w:p w14:paraId="3B384279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39" w:type="dxa"/>
            <w:vMerge w:val="continue"/>
            <w:shd w:val="clear" w:color="auto" w:fill="auto"/>
            <w:vAlign w:val="center"/>
          </w:tcPr>
          <w:p w14:paraId="170548AC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55" w:type="dxa"/>
            <w:shd w:val="clear" w:color="auto" w:fill="auto"/>
            <w:vAlign w:val="center"/>
          </w:tcPr>
          <w:p w14:paraId="79791B3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2"/>
                <w:szCs w:val="22"/>
                <w:lang w:val="en-US" w:eastAsia="zh-CN" w:bidi="ar-SA"/>
              </w:rPr>
              <w:t>14、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  <w:t>▲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可充电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  <w:t>电源：记录仪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内置可充电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  <w:t>锂电池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  <w:t>DC3.7V， 2800mAh；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更加环保，减少、污染。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（需提供注册证附页的详细技术参数清单或产品彩页或产品说明书，予以证明）。</w:t>
            </w:r>
          </w:p>
        </w:tc>
      </w:tr>
      <w:tr w14:paraId="33625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shd w:val="clear" w:color="auto" w:fill="auto"/>
            <w:vAlign w:val="center"/>
          </w:tcPr>
          <w:p w14:paraId="5676195F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39" w:type="dxa"/>
            <w:vMerge w:val="continue"/>
            <w:shd w:val="clear" w:color="auto" w:fill="auto"/>
            <w:vAlign w:val="center"/>
          </w:tcPr>
          <w:p w14:paraId="534D27FF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55" w:type="dxa"/>
            <w:shd w:val="clear" w:color="auto" w:fill="auto"/>
            <w:vAlign w:val="center"/>
          </w:tcPr>
          <w:p w14:paraId="79CE3F2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2"/>
                <w:szCs w:val="22"/>
                <w:lang w:val="en-US" w:eastAsia="zh-CN" w:bidi="ar-SA"/>
              </w:rPr>
              <w:t>15、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  <w:t>▲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超大内存：记录仪内存为8GB。轻松记录长时间数据。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（需提供注册证附页的详细技术参数清单或产品彩页或产品说明书，予以证明）。</w:t>
            </w:r>
          </w:p>
        </w:tc>
      </w:tr>
      <w:tr w14:paraId="1B7AC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shd w:val="clear" w:color="auto" w:fill="auto"/>
            <w:vAlign w:val="center"/>
          </w:tcPr>
          <w:p w14:paraId="37842E0E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39" w:type="dxa"/>
            <w:vMerge w:val="continue"/>
            <w:shd w:val="clear" w:color="auto" w:fill="auto"/>
            <w:vAlign w:val="center"/>
          </w:tcPr>
          <w:p w14:paraId="676BE974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55" w:type="dxa"/>
            <w:shd w:val="clear" w:color="auto" w:fill="auto"/>
            <w:vAlign w:val="center"/>
          </w:tcPr>
          <w:p w14:paraId="72592D2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16、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锁屏功能：防止患者或家属、儿童误操作；</w:t>
            </w:r>
          </w:p>
        </w:tc>
      </w:tr>
      <w:tr w14:paraId="1044D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shd w:val="clear" w:color="auto" w:fill="auto"/>
            <w:vAlign w:val="center"/>
          </w:tcPr>
          <w:p w14:paraId="351BB933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39" w:type="dxa"/>
            <w:vMerge w:val="continue"/>
            <w:shd w:val="clear" w:color="auto" w:fill="auto"/>
            <w:vAlign w:val="center"/>
          </w:tcPr>
          <w:p w14:paraId="3FDCAA96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55" w:type="dxa"/>
            <w:shd w:val="clear" w:color="auto" w:fill="auto"/>
            <w:vAlign w:val="center"/>
          </w:tcPr>
          <w:p w14:paraId="037D95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highlight w:val="none"/>
              </w:rPr>
              <w:t>二、软件功能：</w:t>
            </w:r>
          </w:p>
        </w:tc>
      </w:tr>
      <w:tr w14:paraId="2591F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shd w:val="clear" w:color="auto" w:fill="auto"/>
            <w:vAlign w:val="center"/>
          </w:tcPr>
          <w:p w14:paraId="0DC82C4A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39" w:type="dxa"/>
            <w:vMerge w:val="continue"/>
            <w:shd w:val="clear" w:color="auto" w:fill="auto"/>
            <w:vAlign w:val="center"/>
          </w:tcPr>
          <w:p w14:paraId="6561E9CD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55" w:type="dxa"/>
            <w:shd w:val="clear" w:color="auto" w:fill="auto"/>
            <w:vAlign w:val="center"/>
          </w:tcPr>
          <w:p w14:paraId="21FC863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2"/>
                <w:szCs w:val="22"/>
                <w:lang w:val="en-US" w:eastAsia="zh-CN" w:bidi="ar-SA"/>
              </w:rPr>
              <w:t>1、全中文操作界面，功能直观，快捷，且简单易学。</w:t>
            </w:r>
          </w:p>
        </w:tc>
      </w:tr>
      <w:tr w14:paraId="262FA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shd w:val="clear" w:color="auto" w:fill="auto"/>
            <w:vAlign w:val="center"/>
          </w:tcPr>
          <w:p w14:paraId="5B1649C7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39" w:type="dxa"/>
            <w:vMerge w:val="continue"/>
            <w:shd w:val="clear" w:color="auto" w:fill="auto"/>
            <w:vAlign w:val="center"/>
          </w:tcPr>
          <w:p w14:paraId="0CB7B924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55" w:type="dxa"/>
            <w:shd w:val="clear" w:color="auto" w:fill="auto"/>
            <w:vAlign w:val="center"/>
          </w:tcPr>
          <w:p w14:paraId="3858B30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2"/>
                <w:szCs w:val="22"/>
                <w:lang w:val="en-US" w:eastAsia="zh-CN" w:bidi="ar-SA"/>
              </w:rPr>
              <w:t>操作系统要求： 1）显示器： 20寸宽屏或以上，分辨率1024*768或以上；2）CPU：Inter P4或更高处理器以上；3）硬盘：300G或以上，内存2G或以上；4）操作系统： Windows XP SP3、Windows7、Windows8或以上。</w:t>
            </w:r>
          </w:p>
        </w:tc>
      </w:tr>
      <w:tr w14:paraId="34507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shd w:val="clear" w:color="auto" w:fill="auto"/>
            <w:vAlign w:val="center"/>
          </w:tcPr>
          <w:p w14:paraId="6E826B1D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39" w:type="dxa"/>
            <w:vMerge w:val="continue"/>
            <w:shd w:val="clear" w:color="auto" w:fill="auto"/>
            <w:vAlign w:val="center"/>
          </w:tcPr>
          <w:p w14:paraId="4D80D104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55" w:type="dxa"/>
            <w:shd w:val="clear" w:color="auto" w:fill="auto"/>
            <w:vAlign w:val="center"/>
          </w:tcPr>
          <w:p w14:paraId="029247C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2"/>
                <w:szCs w:val="22"/>
                <w:lang w:val="en-US" w:eastAsia="zh-CN" w:bidi="ar-SA"/>
              </w:rPr>
              <w:t>2、系统拥有用户注册和登录功能，病人管理，医生管理等功能；</w:t>
            </w:r>
          </w:p>
        </w:tc>
      </w:tr>
      <w:tr w14:paraId="5FAEB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shd w:val="clear" w:color="auto" w:fill="auto"/>
            <w:vAlign w:val="center"/>
          </w:tcPr>
          <w:p w14:paraId="3AFBC645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39" w:type="dxa"/>
            <w:vMerge w:val="continue"/>
            <w:shd w:val="clear" w:color="auto" w:fill="auto"/>
            <w:vAlign w:val="center"/>
          </w:tcPr>
          <w:p w14:paraId="2F036FB2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55" w:type="dxa"/>
            <w:shd w:val="clear" w:color="auto" w:fill="auto"/>
            <w:vAlign w:val="center"/>
          </w:tcPr>
          <w:p w14:paraId="50E583E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2"/>
                <w:szCs w:val="22"/>
                <w:lang w:val="en-US" w:eastAsia="zh-CN" w:bidi="ar-SA"/>
              </w:rPr>
              <w:t>3、检查前可录入受检者信息，并对阻抗-PH电极导管进行设置和调校；</w:t>
            </w:r>
          </w:p>
        </w:tc>
      </w:tr>
      <w:tr w14:paraId="1AA96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shd w:val="clear" w:color="auto" w:fill="auto"/>
            <w:vAlign w:val="center"/>
          </w:tcPr>
          <w:p w14:paraId="76F8AC92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39" w:type="dxa"/>
            <w:vMerge w:val="continue"/>
            <w:shd w:val="clear" w:color="auto" w:fill="auto"/>
            <w:vAlign w:val="center"/>
          </w:tcPr>
          <w:p w14:paraId="6AFC624B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55" w:type="dxa"/>
            <w:shd w:val="clear" w:color="auto" w:fill="auto"/>
            <w:vAlign w:val="center"/>
          </w:tcPr>
          <w:p w14:paraId="5A9DF93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2"/>
                <w:szCs w:val="22"/>
                <w:lang w:val="en-US" w:eastAsia="zh-CN" w:bidi="ar-SA"/>
              </w:rPr>
              <w:t>4、检查后对所得数据进行分析、诊断、出具报告等；</w:t>
            </w:r>
          </w:p>
        </w:tc>
      </w:tr>
      <w:tr w14:paraId="21D1E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shd w:val="clear" w:color="auto" w:fill="auto"/>
            <w:vAlign w:val="center"/>
          </w:tcPr>
          <w:p w14:paraId="350F6286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39" w:type="dxa"/>
            <w:vMerge w:val="continue"/>
            <w:shd w:val="clear" w:color="auto" w:fill="auto"/>
            <w:vAlign w:val="center"/>
          </w:tcPr>
          <w:p w14:paraId="5641B49A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55" w:type="dxa"/>
            <w:shd w:val="clear" w:color="auto" w:fill="auto"/>
            <w:vAlign w:val="center"/>
          </w:tcPr>
          <w:p w14:paraId="6D093D5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2"/>
                <w:szCs w:val="22"/>
                <w:lang w:val="en-US" w:eastAsia="zh-CN" w:bidi="ar-SA"/>
              </w:rPr>
              <w:t>5、向导式分析软件，指导整个操作步骤；</w:t>
            </w:r>
          </w:p>
        </w:tc>
      </w:tr>
      <w:tr w14:paraId="73458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shd w:val="clear" w:color="auto" w:fill="auto"/>
            <w:vAlign w:val="center"/>
          </w:tcPr>
          <w:p w14:paraId="473B81C4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39" w:type="dxa"/>
            <w:vMerge w:val="continue"/>
            <w:shd w:val="clear" w:color="auto" w:fill="auto"/>
            <w:vAlign w:val="center"/>
          </w:tcPr>
          <w:p w14:paraId="1AF9A02C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55" w:type="dxa"/>
            <w:shd w:val="clear" w:color="auto" w:fill="auto"/>
            <w:vAlign w:val="center"/>
          </w:tcPr>
          <w:p w14:paraId="38B2B80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2"/>
                <w:szCs w:val="22"/>
                <w:lang w:val="en-US" w:eastAsia="zh-CN" w:bidi="ar-SA"/>
              </w:rPr>
              <w:t>6、自动扫描和统计反流次数；</w:t>
            </w:r>
          </w:p>
        </w:tc>
      </w:tr>
      <w:tr w14:paraId="1F2F9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shd w:val="clear" w:color="auto" w:fill="auto"/>
            <w:vAlign w:val="center"/>
          </w:tcPr>
          <w:p w14:paraId="599D1378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39" w:type="dxa"/>
            <w:vMerge w:val="continue"/>
            <w:shd w:val="clear" w:color="auto" w:fill="auto"/>
            <w:vAlign w:val="center"/>
          </w:tcPr>
          <w:p w14:paraId="256DF832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55" w:type="dxa"/>
            <w:shd w:val="clear" w:color="auto" w:fill="auto"/>
            <w:vAlign w:val="center"/>
          </w:tcPr>
          <w:p w14:paraId="574AF0D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2"/>
                <w:szCs w:val="22"/>
                <w:lang w:val="en-US" w:eastAsia="zh-CN" w:bidi="ar-SA"/>
              </w:rPr>
              <w:t>7、支持SI,SSI,SAP等指数算法，当SI≥50%，SSI≥10%，SAP≥95%时考虑为异常；</w:t>
            </w:r>
          </w:p>
        </w:tc>
      </w:tr>
      <w:tr w14:paraId="581D1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shd w:val="clear" w:color="auto" w:fill="auto"/>
            <w:vAlign w:val="center"/>
          </w:tcPr>
          <w:p w14:paraId="369FB6F6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39" w:type="dxa"/>
            <w:vMerge w:val="continue"/>
            <w:shd w:val="clear" w:color="auto" w:fill="auto"/>
            <w:vAlign w:val="center"/>
          </w:tcPr>
          <w:p w14:paraId="36872B61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55" w:type="dxa"/>
            <w:shd w:val="clear" w:color="auto" w:fill="auto"/>
            <w:vAlign w:val="center"/>
          </w:tcPr>
          <w:p w14:paraId="2274E63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2"/>
                <w:szCs w:val="22"/>
                <w:lang w:val="en-US" w:eastAsia="zh-CN" w:bidi="ar-SA"/>
              </w:rPr>
              <w:t>8、支持指定路径的数据库打开和备份；</w:t>
            </w:r>
          </w:p>
        </w:tc>
      </w:tr>
      <w:tr w14:paraId="0289A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shd w:val="clear" w:color="auto" w:fill="auto"/>
            <w:vAlign w:val="center"/>
          </w:tcPr>
          <w:p w14:paraId="16AF1599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39" w:type="dxa"/>
            <w:vMerge w:val="continue"/>
            <w:shd w:val="clear" w:color="auto" w:fill="auto"/>
            <w:vAlign w:val="center"/>
          </w:tcPr>
          <w:p w14:paraId="49058295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55" w:type="dxa"/>
            <w:shd w:val="clear" w:color="auto" w:fill="auto"/>
            <w:vAlign w:val="center"/>
          </w:tcPr>
          <w:p w14:paraId="143C468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2"/>
                <w:szCs w:val="22"/>
                <w:lang w:val="en-US" w:eastAsia="zh-CN" w:bidi="ar-SA"/>
              </w:rPr>
              <w:t>9、支持新病人数据库的导入和导出；</w:t>
            </w:r>
          </w:p>
        </w:tc>
      </w:tr>
      <w:tr w14:paraId="5B9EE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shd w:val="clear" w:color="auto" w:fill="auto"/>
            <w:vAlign w:val="center"/>
          </w:tcPr>
          <w:p w14:paraId="2345EF9F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39" w:type="dxa"/>
            <w:vMerge w:val="continue"/>
            <w:shd w:val="clear" w:color="auto" w:fill="auto"/>
            <w:vAlign w:val="center"/>
          </w:tcPr>
          <w:p w14:paraId="60A811E8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55" w:type="dxa"/>
            <w:shd w:val="clear" w:color="auto" w:fill="auto"/>
            <w:vAlign w:val="center"/>
          </w:tcPr>
          <w:p w14:paraId="6FCFCFD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2"/>
                <w:szCs w:val="22"/>
                <w:lang w:val="en-US" w:eastAsia="zh-CN" w:bidi="ar-SA"/>
              </w:rPr>
              <w:t>10、支持PH临床评分和症状分析；</w:t>
            </w:r>
          </w:p>
        </w:tc>
      </w:tr>
      <w:tr w14:paraId="5ACA9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shd w:val="clear" w:color="auto" w:fill="auto"/>
            <w:vAlign w:val="center"/>
          </w:tcPr>
          <w:p w14:paraId="74C38DBE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39" w:type="dxa"/>
            <w:vMerge w:val="continue"/>
            <w:shd w:val="clear" w:color="auto" w:fill="auto"/>
            <w:vAlign w:val="center"/>
          </w:tcPr>
          <w:p w14:paraId="1124F06D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55" w:type="dxa"/>
            <w:shd w:val="clear" w:color="auto" w:fill="auto"/>
            <w:vAlign w:val="center"/>
          </w:tcPr>
          <w:p w14:paraId="74007F0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2"/>
                <w:szCs w:val="22"/>
                <w:lang w:val="en-US" w:eastAsia="zh-CN" w:bidi="ar-SA"/>
              </w:rPr>
              <w:t>11、支持报告单另存为WORD和PDF格式并打印；</w:t>
            </w:r>
          </w:p>
        </w:tc>
      </w:tr>
      <w:tr w14:paraId="1CD1A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shd w:val="clear" w:color="auto" w:fill="auto"/>
            <w:vAlign w:val="center"/>
          </w:tcPr>
          <w:p w14:paraId="7EAD9B8E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39" w:type="dxa"/>
            <w:vMerge w:val="continue"/>
            <w:shd w:val="clear" w:color="auto" w:fill="auto"/>
            <w:vAlign w:val="center"/>
          </w:tcPr>
          <w:p w14:paraId="6EEEA331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55" w:type="dxa"/>
            <w:shd w:val="clear" w:color="auto" w:fill="auto"/>
            <w:vAlign w:val="center"/>
          </w:tcPr>
          <w:p w14:paraId="1EDE8D5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2"/>
                <w:szCs w:val="22"/>
                <w:lang w:val="en-US" w:eastAsia="zh-CN" w:bidi="ar-SA"/>
              </w:rPr>
              <w:t>12、可校对数据记录仪的日期和时间；</w:t>
            </w:r>
          </w:p>
        </w:tc>
      </w:tr>
      <w:tr w14:paraId="3BB19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shd w:val="clear" w:color="auto" w:fill="auto"/>
            <w:vAlign w:val="center"/>
          </w:tcPr>
          <w:p w14:paraId="51724868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39" w:type="dxa"/>
            <w:vMerge w:val="continue"/>
            <w:shd w:val="clear" w:color="auto" w:fill="auto"/>
            <w:vAlign w:val="center"/>
          </w:tcPr>
          <w:p w14:paraId="3ACB0B3B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55" w:type="dxa"/>
            <w:shd w:val="clear" w:color="auto" w:fill="auto"/>
            <w:vAlign w:val="center"/>
          </w:tcPr>
          <w:p w14:paraId="120B1468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  <w:szCs w:val="22"/>
                <w:lang w:val="en-US" w:eastAsia="zh-CN"/>
              </w:rPr>
              <w:t>★</w:t>
            </w: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  <w:szCs w:val="22"/>
              </w:rPr>
              <w:t>配置清单</w:t>
            </w:r>
          </w:p>
          <w:p w14:paraId="06CC0D7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1、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zh-Hans" w:eastAsia="zh-Hans"/>
              </w:rPr>
              <w:t>数据记录仪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 xml:space="preserve">  1个</w:t>
            </w:r>
          </w:p>
          <w:p w14:paraId="3DA91CF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2、</w:t>
            </w:r>
            <w:r>
              <w:rPr>
                <w:rFonts w:hint="eastAsia" w:ascii="宋体" w:hAnsi="宋体" w:eastAsia="宋体" w:cs="宋体"/>
                <w:sz w:val="22"/>
                <w:szCs w:val="22"/>
                <w:u w:val="none" w:color="000000"/>
                <w:lang w:val="zh-Hans" w:eastAsia="zh-Hans"/>
              </w:rPr>
              <w:t>用户手册</w:t>
            </w:r>
            <w:r>
              <w:rPr>
                <w:rFonts w:hint="eastAsia" w:ascii="宋体" w:hAnsi="宋体" w:eastAsia="宋体" w:cs="宋体"/>
                <w:sz w:val="22"/>
                <w:szCs w:val="22"/>
                <w:u w:val="none" w:color="000000"/>
                <w:lang w:val="en-US" w:eastAsia="zh-CN"/>
              </w:rPr>
              <w:t xml:space="preserve">   1本</w:t>
            </w:r>
          </w:p>
          <w:p w14:paraId="29B1C8B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3、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zh-Hans" w:eastAsia="zh-Hans"/>
              </w:rPr>
              <w:t>试管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 xml:space="preserve">       4个</w:t>
            </w:r>
          </w:p>
          <w:p w14:paraId="2694647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4、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zh-Hans" w:eastAsia="zh-Hans"/>
              </w:rPr>
              <w:t>试管塞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 xml:space="preserve">     4个</w:t>
            </w:r>
          </w:p>
          <w:p w14:paraId="742633B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5、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zh-Hans" w:eastAsia="zh-Hans"/>
              </w:rPr>
              <w:t>试管架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 xml:space="preserve">     1个</w:t>
            </w:r>
          </w:p>
          <w:p w14:paraId="56BC6A0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6、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zh-Hans" w:eastAsia="zh-Hans"/>
              </w:rPr>
              <w:t>挎包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 xml:space="preserve">       1个</w:t>
            </w:r>
          </w:p>
          <w:p w14:paraId="1D11DD3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7、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USB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zh-Hans" w:eastAsia="zh-Hans"/>
              </w:rPr>
              <w:t>数据线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 xml:space="preserve">  1个</w:t>
            </w:r>
          </w:p>
          <w:p w14:paraId="21DF26C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8、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pH缓冲液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 xml:space="preserve"> 1套</w:t>
            </w:r>
          </w:p>
          <w:p w14:paraId="7BADA18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9、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电极导管    5根</w:t>
            </w:r>
          </w:p>
          <w:p w14:paraId="0493635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10、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zh-Hans" w:eastAsia="zh-Hans"/>
              </w:rPr>
              <w:t>计算机系统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 xml:space="preserve">  1套</w:t>
            </w:r>
          </w:p>
          <w:p w14:paraId="562661C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11、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zh-Hans" w:eastAsia="zh-Hans"/>
              </w:rPr>
              <w:t>打印机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 xml:space="preserve">      1台</w:t>
            </w:r>
          </w:p>
          <w:p w14:paraId="593A233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12、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专用推车    1台</w:t>
            </w:r>
          </w:p>
        </w:tc>
      </w:tr>
    </w:tbl>
    <w:p w14:paraId="49FDDD2D">
      <w:pPr>
        <w:pStyle w:val="2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 w14:paraId="2B1AE2B0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>开放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☑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>专用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☑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无□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 w14:paraId="41773D86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16801161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9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 w14:paraId="260D4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noWrap w:val="0"/>
            <w:vAlign w:val="center"/>
          </w:tcPr>
          <w:p w14:paraId="47B77177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5094" w:type="dxa"/>
            <w:noWrap w:val="0"/>
            <w:vAlign w:val="center"/>
          </w:tcPr>
          <w:p w14:paraId="2D883D43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名称</w:t>
            </w:r>
          </w:p>
        </w:tc>
        <w:tc>
          <w:tcPr>
            <w:tcW w:w="1985" w:type="dxa"/>
            <w:noWrap w:val="0"/>
            <w:vAlign w:val="center"/>
          </w:tcPr>
          <w:p w14:paraId="06B6544B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单位</w:t>
            </w:r>
          </w:p>
        </w:tc>
        <w:tc>
          <w:tcPr>
            <w:tcW w:w="2126" w:type="dxa"/>
            <w:noWrap w:val="0"/>
            <w:vAlign w:val="center"/>
          </w:tcPr>
          <w:p w14:paraId="73F20FA0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预算单价（元）</w:t>
            </w:r>
          </w:p>
        </w:tc>
      </w:tr>
      <w:tr w14:paraId="020A7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noWrap w:val="0"/>
            <w:vAlign w:val="center"/>
          </w:tcPr>
          <w:p w14:paraId="403E7F30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1</w:t>
            </w:r>
          </w:p>
        </w:tc>
        <w:tc>
          <w:tcPr>
            <w:tcW w:w="5094" w:type="dxa"/>
            <w:noWrap w:val="0"/>
            <w:vAlign w:val="center"/>
          </w:tcPr>
          <w:p w14:paraId="6052C1C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一次性使用PH电极导管（专用）</w:t>
            </w:r>
          </w:p>
        </w:tc>
        <w:tc>
          <w:tcPr>
            <w:tcW w:w="1985" w:type="dxa"/>
            <w:noWrap w:val="0"/>
            <w:vAlign w:val="center"/>
          </w:tcPr>
          <w:p w14:paraId="1214D79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根</w:t>
            </w:r>
          </w:p>
        </w:tc>
        <w:tc>
          <w:tcPr>
            <w:tcW w:w="2126" w:type="dxa"/>
            <w:noWrap w:val="0"/>
            <w:vAlign w:val="center"/>
          </w:tcPr>
          <w:p w14:paraId="4F7C6500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1200</w:t>
            </w:r>
          </w:p>
        </w:tc>
      </w:tr>
      <w:tr w14:paraId="6224E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860" w:type="dxa"/>
            <w:noWrap w:val="0"/>
            <w:vAlign w:val="center"/>
          </w:tcPr>
          <w:p w14:paraId="0FBBF56F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2</w:t>
            </w:r>
          </w:p>
        </w:tc>
        <w:tc>
          <w:tcPr>
            <w:tcW w:w="5094" w:type="dxa"/>
            <w:noWrap w:val="0"/>
            <w:vAlign w:val="center"/>
          </w:tcPr>
          <w:p w14:paraId="5487A39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缓冲液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（开放）</w:t>
            </w:r>
          </w:p>
        </w:tc>
        <w:tc>
          <w:tcPr>
            <w:tcW w:w="1985" w:type="dxa"/>
            <w:noWrap w:val="0"/>
            <w:vAlign w:val="center"/>
          </w:tcPr>
          <w:p w14:paraId="2D19778A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2126" w:type="dxa"/>
            <w:noWrap w:val="0"/>
            <w:vAlign w:val="center"/>
          </w:tcPr>
          <w:p w14:paraId="61BF759D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1800</w:t>
            </w:r>
          </w:p>
        </w:tc>
      </w:tr>
    </w:tbl>
    <w:p w14:paraId="163E2D79">
      <w:pPr>
        <w:jc w:val="left"/>
        <w:rPr>
          <w:rFonts w:ascii="Times New Roman" w:hAnsi="Times New Roman"/>
          <w:szCs w:val="21"/>
        </w:rPr>
      </w:pPr>
    </w:p>
    <w:p w14:paraId="41862A30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9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 w14:paraId="77DEB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 w14:paraId="530D499B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3FCD94CD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4CD25FFA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3DB8DC0D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</w:t>
            </w:r>
          </w:p>
        </w:tc>
      </w:tr>
      <w:tr w14:paraId="5E066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 w14:paraId="371BD552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shd w:val="clear" w:color="auto" w:fill="auto"/>
            <w:vAlign w:val="center"/>
          </w:tcPr>
          <w:p w14:paraId="41D37CB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96333D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DC9B3E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1"/>
                <w:lang w:val="en-US" w:eastAsia="zh-CN"/>
              </w:rPr>
              <w:t>/</w:t>
            </w:r>
          </w:p>
        </w:tc>
      </w:tr>
    </w:tbl>
    <w:p w14:paraId="54808BF9">
      <w:pPr>
        <w:jc w:val="both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5C33BD43-21A1-40F3-B792-21F7AD9CAA0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78C22275-CA42-4F61-BF16-2090DD05CD98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B559C153-6A1B-4399-9617-D97393656406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4" w:fontKey="{820EABA2-9AF7-4E29-8A54-1EEEFA3DA38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DE3CBB">
    <w:pPr>
      <w:pStyle w:val="7"/>
      <w:rPr>
        <w:sz w:val="28"/>
        <w:szCs w:val="28"/>
      </w:rPr>
    </w:pPr>
  </w:p>
  <w:p w14:paraId="7E0747B6"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0716"/>
    <w:rsid w:val="00031B84"/>
    <w:rsid w:val="0007571F"/>
    <w:rsid w:val="00086401"/>
    <w:rsid w:val="000B3A24"/>
    <w:rsid w:val="000E0A0A"/>
    <w:rsid w:val="00100D1E"/>
    <w:rsid w:val="00153A42"/>
    <w:rsid w:val="0015678E"/>
    <w:rsid w:val="00180716"/>
    <w:rsid w:val="0018661F"/>
    <w:rsid w:val="001B0A84"/>
    <w:rsid w:val="001D5E72"/>
    <w:rsid w:val="00206936"/>
    <w:rsid w:val="002C0BFD"/>
    <w:rsid w:val="002C6C45"/>
    <w:rsid w:val="002D02F7"/>
    <w:rsid w:val="002D59FE"/>
    <w:rsid w:val="003141BC"/>
    <w:rsid w:val="0031707A"/>
    <w:rsid w:val="003407BA"/>
    <w:rsid w:val="0036311E"/>
    <w:rsid w:val="003938A4"/>
    <w:rsid w:val="003D4CEF"/>
    <w:rsid w:val="003E15A0"/>
    <w:rsid w:val="00447FAF"/>
    <w:rsid w:val="004607A8"/>
    <w:rsid w:val="0046248D"/>
    <w:rsid w:val="004777CE"/>
    <w:rsid w:val="00485E99"/>
    <w:rsid w:val="00497B87"/>
    <w:rsid w:val="004A4D9E"/>
    <w:rsid w:val="004B4DC1"/>
    <w:rsid w:val="004C6FD8"/>
    <w:rsid w:val="004E51B4"/>
    <w:rsid w:val="004F46EC"/>
    <w:rsid w:val="00536070"/>
    <w:rsid w:val="005B4177"/>
    <w:rsid w:val="00627CBC"/>
    <w:rsid w:val="00651E39"/>
    <w:rsid w:val="00667C4B"/>
    <w:rsid w:val="006B7040"/>
    <w:rsid w:val="006C1BAB"/>
    <w:rsid w:val="006C428C"/>
    <w:rsid w:val="006F1FD9"/>
    <w:rsid w:val="0071790B"/>
    <w:rsid w:val="00735F7B"/>
    <w:rsid w:val="007610A6"/>
    <w:rsid w:val="00766032"/>
    <w:rsid w:val="00771B0B"/>
    <w:rsid w:val="00787C5D"/>
    <w:rsid w:val="008046EB"/>
    <w:rsid w:val="008143CB"/>
    <w:rsid w:val="00864C20"/>
    <w:rsid w:val="00890077"/>
    <w:rsid w:val="00893A00"/>
    <w:rsid w:val="00895307"/>
    <w:rsid w:val="008C5084"/>
    <w:rsid w:val="008D4020"/>
    <w:rsid w:val="008F18EF"/>
    <w:rsid w:val="0091437C"/>
    <w:rsid w:val="00917BB5"/>
    <w:rsid w:val="0092593E"/>
    <w:rsid w:val="00967D50"/>
    <w:rsid w:val="00973FA0"/>
    <w:rsid w:val="00980851"/>
    <w:rsid w:val="00982F84"/>
    <w:rsid w:val="009836A4"/>
    <w:rsid w:val="009852C7"/>
    <w:rsid w:val="00992628"/>
    <w:rsid w:val="00A15F96"/>
    <w:rsid w:val="00A70CB8"/>
    <w:rsid w:val="00AA10B5"/>
    <w:rsid w:val="00AA2A2D"/>
    <w:rsid w:val="00AB686E"/>
    <w:rsid w:val="00AD29B8"/>
    <w:rsid w:val="00AD7B6B"/>
    <w:rsid w:val="00AF2364"/>
    <w:rsid w:val="00B36BC4"/>
    <w:rsid w:val="00B37A82"/>
    <w:rsid w:val="00BE11ED"/>
    <w:rsid w:val="00BE5B4B"/>
    <w:rsid w:val="00C046E8"/>
    <w:rsid w:val="00C70023"/>
    <w:rsid w:val="00C70D64"/>
    <w:rsid w:val="00C717A1"/>
    <w:rsid w:val="00C77B09"/>
    <w:rsid w:val="00CA1F88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749F5"/>
    <w:rsid w:val="00F84832"/>
    <w:rsid w:val="00FD02B5"/>
    <w:rsid w:val="078121B3"/>
    <w:rsid w:val="12396CF4"/>
    <w:rsid w:val="20527BD7"/>
    <w:rsid w:val="2A355B25"/>
    <w:rsid w:val="3C212A5E"/>
    <w:rsid w:val="3EB15700"/>
    <w:rsid w:val="3F135836"/>
    <w:rsid w:val="45B73C0F"/>
    <w:rsid w:val="59BF4F66"/>
    <w:rsid w:val="5AC355D0"/>
    <w:rsid w:val="6A3E2CC0"/>
    <w:rsid w:val="6C9854C4"/>
    <w:rsid w:val="75440644"/>
    <w:rsid w:val="76242CC7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4"/>
    <w:unhideWhenUsed/>
    <w:qFormat/>
    <w:uiPriority w:val="99"/>
    <w:pPr>
      <w:jc w:val="left"/>
    </w:pPr>
  </w:style>
  <w:style w:type="paragraph" w:styleId="4">
    <w:name w:val="Body Text"/>
    <w:basedOn w:val="1"/>
    <w:next w:val="5"/>
    <w:qFormat/>
    <w:uiPriority w:val="0"/>
    <w:pPr>
      <w:jc w:val="center"/>
    </w:pPr>
    <w:rPr>
      <w:rFonts w:eastAsia="黑体"/>
      <w:bCs/>
      <w:sz w:val="44"/>
      <w:szCs w:val="44"/>
    </w:rPr>
  </w:style>
  <w:style w:type="paragraph" w:styleId="5">
    <w:name w:val="Quote"/>
    <w:next w:val="1"/>
    <w:qFormat/>
    <w:uiPriority w:val="99"/>
    <w:pPr>
      <w:widowControl w:val="0"/>
      <w:jc w:val="both"/>
    </w:pPr>
    <w:rPr>
      <w:rFonts w:ascii="Calibri" w:hAnsi="Calibri" w:eastAsia="宋体" w:cs="Calibri"/>
      <w:i/>
      <w:iCs/>
      <w:color w:val="000000"/>
      <w:kern w:val="2"/>
      <w:sz w:val="22"/>
      <w:szCs w:val="22"/>
      <w:lang w:val="en-US" w:eastAsia="zh-CN" w:bidi="ar-SA"/>
    </w:rPr>
  </w:style>
  <w:style w:type="paragraph" w:styleId="6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8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annotation reference"/>
    <w:unhideWhenUsed/>
    <w:qFormat/>
    <w:uiPriority w:val="99"/>
    <w:rPr>
      <w:sz w:val="21"/>
      <w:szCs w:val="21"/>
    </w:rPr>
  </w:style>
  <w:style w:type="character" w:customStyle="1" w:styleId="13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4">
    <w:name w:val="批注文字 字符"/>
    <w:link w:val="3"/>
    <w:semiHidden/>
    <w:qFormat/>
    <w:uiPriority w:val="99"/>
    <w:rPr>
      <w:kern w:val="2"/>
      <w:sz w:val="21"/>
      <w:szCs w:val="22"/>
    </w:rPr>
  </w:style>
  <w:style w:type="character" w:customStyle="1" w:styleId="15">
    <w:name w:val="批注框文本 字符"/>
    <w:link w:val="6"/>
    <w:semiHidden/>
    <w:qFormat/>
    <w:uiPriority w:val="99"/>
    <w:rPr>
      <w:kern w:val="2"/>
      <w:sz w:val="18"/>
      <w:szCs w:val="18"/>
    </w:rPr>
  </w:style>
  <w:style w:type="character" w:customStyle="1" w:styleId="16">
    <w:name w:val="页脚 字符"/>
    <w:link w:val="7"/>
    <w:qFormat/>
    <w:uiPriority w:val="99"/>
    <w:rPr>
      <w:sz w:val="18"/>
      <w:szCs w:val="18"/>
    </w:rPr>
  </w:style>
  <w:style w:type="character" w:customStyle="1" w:styleId="17">
    <w:name w:val="页眉 字符"/>
    <w:link w:val="8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1130</Words>
  <Characters>1295</Characters>
  <Lines>9</Lines>
  <Paragraphs>2</Paragraphs>
  <TotalTime>2</TotalTime>
  <ScaleCrop>false</ScaleCrop>
  <LinksUpToDate>false</LinksUpToDate>
  <CharactersWithSpaces>1368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2023-08-22T03:34:00Z</dcterms:created>
  <dc:creator>Sky123.Org</dc:creator>
  <cp:lastModifiedBy> </cp:lastModifiedBy>
  <cp:lastPrinted>2020-06-15T03:32:00Z</cp:lastPrinted>
  <dcterms:modified xsi:type="dcterms:W3CDTF">2025-07-15T06:37:04Z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5ECAB3CDAB1E4F2E9F0783FF98891651</vt:lpwstr>
  </property>
  <property fmtid="{D5CDD505-2E9C-101B-9397-08002B2CF9AE}" pid="4" name="KSOTemplateDocerSaveRecord">
    <vt:lpwstr>eyJoZGlkIjoiNWJkMzgyNzdjMGVjMjg3YjM2Y2VmYzc5MTcyMzBjZTUiLCJ1c2VySWQiOiIyNzA3NjAzOTkifQ==</vt:lpwstr>
  </property>
</Properties>
</file>