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845F1">
      <w:pPr>
        <w:jc w:val="center"/>
        <w:rPr>
          <w:rFonts w:hint="eastAsia" w:ascii="黑体" w:hAnsi="黑体" w:eastAsia="黑体" w:cs="黑体"/>
        </w:rPr>
      </w:pPr>
      <w:r>
        <w:rPr>
          <w:rFonts w:hint="eastAsia" w:ascii="黑体" w:hAnsi="黑体" w:eastAsia="黑体" w:cs="黑体"/>
          <w:b/>
          <w:bCs/>
          <w:color w:val="3F3F3F"/>
          <w:kern w:val="0"/>
          <w:sz w:val="36"/>
          <w:szCs w:val="36"/>
        </w:rPr>
        <w:t>深圳市儿童医院设备采购需求参数表</w:t>
      </w:r>
    </w:p>
    <w:tbl>
      <w:tblPr>
        <w:tblStyle w:val="7"/>
        <w:tblW w:w="9960" w:type="dxa"/>
        <w:jc w:val="center"/>
        <w:tblLayout w:type="autofit"/>
        <w:tblCellMar>
          <w:top w:w="0" w:type="dxa"/>
          <w:left w:w="108" w:type="dxa"/>
          <w:bottom w:w="0" w:type="dxa"/>
          <w:right w:w="108" w:type="dxa"/>
        </w:tblCellMar>
      </w:tblPr>
      <w:tblGrid>
        <w:gridCol w:w="715"/>
        <w:gridCol w:w="1100"/>
        <w:gridCol w:w="8145"/>
      </w:tblGrid>
      <w:tr w14:paraId="5C055CF8">
        <w:tblPrEx>
          <w:tblCellMar>
            <w:top w:w="0" w:type="dxa"/>
            <w:left w:w="108" w:type="dxa"/>
            <w:bottom w:w="0" w:type="dxa"/>
            <w:right w:w="108" w:type="dxa"/>
          </w:tblCellMar>
        </w:tblPrEx>
        <w:trPr>
          <w:trHeight w:val="420" w:hRule="atLeast"/>
          <w:jc w:val="center"/>
        </w:trPr>
        <w:tc>
          <w:tcPr>
            <w:tcW w:w="715" w:type="dxa"/>
            <w:tcBorders>
              <w:top w:val="single" w:color="auto" w:sz="4" w:space="0"/>
              <w:left w:val="single" w:color="auto" w:sz="4" w:space="0"/>
              <w:bottom w:val="single" w:color="auto" w:sz="4" w:space="0"/>
              <w:right w:val="single" w:color="auto" w:sz="4" w:space="0"/>
            </w:tcBorders>
            <w:shd w:val="clear" w:color="000000" w:fill="FFFFFF"/>
            <w:vAlign w:val="center"/>
          </w:tcPr>
          <w:p w14:paraId="3CA1D4B6">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00"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28D7247A">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8145" w:type="dxa"/>
            <w:tcBorders>
              <w:top w:val="single" w:color="3F3F3F" w:sz="4" w:space="0"/>
              <w:left w:val="nil"/>
              <w:bottom w:val="single" w:color="3F3F3F" w:sz="4" w:space="0"/>
              <w:right w:val="single" w:color="3F3F3F" w:sz="4" w:space="0"/>
            </w:tcBorders>
            <w:shd w:val="clear" w:color="000000" w:fill="FFFFFF"/>
            <w:vAlign w:val="center"/>
          </w:tcPr>
          <w:p w14:paraId="168AFE42">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795C93C8">
        <w:tblPrEx>
          <w:tblCellMar>
            <w:top w:w="0" w:type="dxa"/>
            <w:left w:w="108" w:type="dxa"/>
            <w:bottom w:w="0" w:type="dxa"/>
            <w:right w:w="108" w:type="dxa"/>
          </w:tblCellMar>
        </w:tblPrEx>
        <w:trPr>
          <w:trHeight w:val="0" w:hRule="atLeast"/>
          <w:jc w:val="center"/>
        </w:trPr>
        <w:tc>
          <w:tcPr>
            <w:tcW w:w="715" w:type="dxa"/>
            <w:vMerge w:val="restart"/>
            <w:tcBorders>
              <w:top w:val="single" w:color="auto" w:sz="4" w:space="0"/>
              <w:left w:val="single" w:color="3F3F3F" w:sz="4" w:space="0"/>
              <w:right w:val="single" w:color="3F3F3F" w:sz="4" w:space="0"/>
            </w:tcBorders>
            <w:shd w:val="clear" w:color="000000" w:fill="FFFFFF"/>
            <w:vAlign w:val="center"/>
          </w:tcPr>
          <w:p w14:paraId="5D9A4C42">
            <w:pPr>
              <w:widowControl/>
              <w:jc w:val="center"/>
              <w:rPr>
                <w:rFonts w:ascii="宋体" w:hAnsi="宋体" w:cs="宋体"/>
                <w:b/>
                <w:bCs/>
                <w:color w:val="3F3F3F"/>
                <w:kern w:val="0"/>
                <w:sz w:val="22"/>
              </w:rPr>
            </w:pPr>
            <w:r>
              <w:rPr>
                <w:rFonts w:hint="eastAsia" w:ascii="宋体" w:hAnsi="宋体" w:cs="宋体"/>
                <w:color w:val="3F3F3F"/>
                <w:kern w:val="0"/>
                <w:sz w:val="20"/>
                <w:szCs w:val="20"/>
                <w:lang w:val="en-US" w:eastAsia="zh-CN"/>
              </w:rPr>
              <w:t>1</w:t>
            </w:r>
          </w:p>
        </w:tc>
        <w:tc>
          <w:tcPr>
            <w:tcW w:w="1100" w:type="dxa"/>
            <w:vMerge w:val="restart"/>
            <w:tcBorders>
              <w:top w:val="single" w:color="3F3F3F" w:sz="4" w:space="0"/>
              <w:left w:val="single" w:color="3F3F3F" w:sz="4" w:space="0"/>
              <w:right w:val="single" w:color="3F3F3F" w:sz="4" w:space="0"/>
            </w:tcBorders>
            <w:shd w:val="clear" w:color="000000" w:fill="FFFFFF"/>
            <w:vAlign w:val="center"/>
          </w:tcPr>
          <w:p w14:paraId="170C4D4F">
            <w:pPr>
              <w:widowControl/>
              <w:jc w:val="both"/>
              <w:rPr>
                <w:rFonts w:ascii="宋体" w:hAnsi="宋体" w:cs="宋体"/>
                <w:b/>
                <w:bCs/>
                <w:color w:val="3F3F3F"/>
                <w:kern w:val="0"/>
                <w:sz w:val="22"/>
              </w:rPr>
            </w:pPr>
            <w:r>
              <w:rPr>
                <w:rFonts w:hint="eastAsia" w:ascii="宋体" w:hAnsi="宋体" w:eastAsia="宋体" w:cs="宋体"/>
                <w:b/>
                <w:bCs/>
                <w:sz w:val="21"/>
                <w:szCs w:val="21"/>
              </w:rPr>
              <w:t>全自动内镜清洗消毒机</w:t>
            </w: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36BF7E85">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w:t>
            </w:r>
            <w:r>
              <w:rPr>
                <w:rFonts w:hint="eastAsia" w:ascii="宋体" w:hAnsi="宋体" w:eastAsia="宋体" w:cs="宋体"/>
                <w:color w:val="000000" w:themeColor="text1"/>
                <w:spacing w:val="0"/>
                <w:kern w:val="0"/>
                <w:sz w:val="21"/>
                <w:szCs w:val="21"/>
                <w14:textFill>
                  <w14:solidFill>
                    <w14:schemeClr w14:val="tx1"/>
                  </w14:solidFill>
                </w14:textFill>
              </w:rPr>
              <w:t>单缸双镜：单缸可同时洗消≥2条相同或不同品牌、不同型号的软式内镜。透明钢化玻璃上盖，使用电动脚踏自动完成槽盖开/闭功能。</w:t>
            </w:r>
            <w:r>
              <w:rPr>
                <w:rFonts w:hint="eastAsia" w:ascii="宋体" w:hAnsi="宋体" w:eastAsia="宋体" w:cs="宋体"/>
                <w:b/>
                <w:bCs/>
                <w:color w:val="000000" w:themeColor="text1"/>
                <w:spacing w:val="0"/>
                <w:sz w:val="21"/>
                <w:szCs w:val="21"/>
                <w:u w:val="none"/>
                <w14:textFill>
                  <w14:solidFill>
                    <w14:schemeClr w14:val="tx1"/>
                  </w14:solidFill>
                </w14:textFill>
              </w:rPr>
              <w:t>（提供</w:t>
            </w:r>
            <w:r>
              <w:rPr>
                <w:rFonts w:hint="eastAsia" w:ascii="宋体" w:hAnsi="宋体" w:eastAsia="宋体" w:cs="宋体"/>
                <w:b/>
                <w:bCs/>
                <w:color w:val="000000" w:themeColor="text1"/>
                <w:spacing w:val="0"/>
                <w:kern w:val="0"/>
                <w:sz w:val="21"/>
                <w:szCs w:val="21"/>
                <w:u w:val="none"/>
                <w14:textFill>
                  <w14:solidFill>
                    <w14:schemeClr w14:val="tx1"/>
                  </w14:solidFill>
                </w14:textFill>
              </w:rPr>
              <w:t>相同或不同品牌、不同型号的</w:t>
            </w:r>
            <w:r>
              <w:rPr>
                <w:rFonts w:hint="eastAsia" w:ascii="宋体" w:hAnsi="宋体" w:eastAsia="宋体" w:cs="宋体"/>
                <w:b/>
                <w:bCs/>
                <w:color w:val="000000" w:themeColor="text1"/>
                <w:spacing w:val="0"/>
                <w:sz w:val="21"/>
                <w:szCs w:val="21"/>
                <w:u w:val="none"/>
                <w14:textFill>
                  <w14:solidFill>
                    <w14:schemeClr w14:val="tx1"/>
                  </w14:solidFill>
                </w14:textFill>
              </w:rPr>
              <w:t>2条胃肠镜装载照片）</w:t>
            </w:r>
          </w:p>
        </w:tc>
      </w:tr>
      <w:bookmarkEnd w:id="0"/>
      <w:tr w14:paraId="3CD4E4E3">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62198BC0">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66C37EBD">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1996C17B">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2旋转喷淋：使用SUS304不锈钢喷淋臂对槽盖及内镜上表面进行360°高压清洗；槽侧壁高压喷射头可使盆内水流形成旋转对内镜侧表面进行高压冲洗。</w:t>
            </w:r>
          </w:p>
        </w:tc>
      </w:tr>
      <w:tr w14:paraId="3759C4E8">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2590497B">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15CB38AB">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49C58663">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3</w:t>
            </w:r>
            <w:r>
              <w:rPr>
                <w:rFonts w:hint="eastAsia" w:ascii="宋体" w:hAnsi="宋体" w:eastAsia="宋体" w:cs="宋体"/>
                <w:color w:val="000000" w:themeColor="text1"/>
                <w:spacing w:val="0"/>
                <w:kern w:val="0"/>
                <w:sz w:val="21"/>
                <w:szCs w:val="21"/>
                <w14:textFill>
                  <w14:solidFill>
                    <w14:schemeClr w14:val="tx1"/>
                  </w14:solidFill>
                </w14:textFill>
              </w:rPr>
              <w:t>管道接口：槽内壁设有可适用于两条内镜同时洗消的测漏管道、活检/送气管道，抬钳器/副送水管道至少6个接口。</w:t>
            </w:r>
            <w:r>
              <w:rPr>
                <w:rFonts w:hint="eastAsia" w:ascii="宋体" w:hAnsi="宋体" w:eastAsia="宋体" w:cs="宋体"/>
                <w:b/>
                <w:bCs/>
                <w:color w:val="000000" w:themeColor="text1"/>
                <w:spacing w:val="0"/>
                <w:sz w:val="21"/>
                <w:szCs w:val="21"/>
                <w:u w:val="none"/>
                <w14:textFill>
                  <w14:solidFill>
                    <w14:schemeClr w14:val="tx1"/>
                  </w14:solidFill>
                </w14:textFill>
              </w:rPr>
              <w:t>（提供槽内壁管道接口非连接灌流器状态下的实景照片）</w:t>
            </w:r>
          </w:p>
        </w:tc>
      </w:tr>
      <w:tr w14:paraId="342EE1FF">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0D48EED1">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20E13BFD">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311B2F84">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▲4</w:t>
            </w:r>
            <w:r>
              <w:rPr>
                <w:rFonts w:hint="eastAsia" w:ascii="宋体" w:hAnsi="宋体" w:eastAsia="宋体" w:cs="宋体"/>
                <w:color w:val="000000" w:themeColor="text1"/>
                <w:spacing w:val="0"/>
                <w:kern w:val="0"/>
                <w:sz w:val="21"/>
                <w:szCs w:val="21"/>
                <w14:textFill>
                  <w14:solidFill>
                    <w14:schemeClr w14:val="tx1"/>
                  </w14:solidFill>
                </w14:textFill>
              </w:rPr>
              <w:t>灌注监测：机器内置管道灌注监测功能，当内镜管道灌注泵无法工作、管道灌流器脱落、内镜管道堵塞均可语音报警并暂停工作。</w:t>
            </w:r>
          </w:p>
        </w:tc>
      </w:tr>
      <w:tr w14:paraId="6486CB3F">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090DA3D8">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5FBB1F57">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2F90662C">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5</w:t>
            </w:r>
            <w:r>
              <w:rPr>
                <w:rFonts w:hint="eastAsia" w:ascii="宋体" w:hAnsi="宋体" w:eastAsia="宋体" w:cs="宋体"/>
                <w:color w:val="000000" w:themeColor="text1"/>
                <w:spacing w:val="0"/>
                <w:kern w:val="0"/>
                <w:sz w:val="21"/>
                <w:szCs w:val="21"/>
                <w14:textFill>
                  <w14:solidFill>
                    <w14:schemeClr w14:val="tx1"/>
                  </w14:solidFill>
                </w14:textFill>
              </w:rPr>
              <w:t>双屏控制：彩色液晶触摸屏+平板玻璃触摸双操作界面，两个操作界面均可对机器进行控制。</w:t>
            </w:r>
          </w:p>
        </w:tc>
      </w:tr>
      <w:tr w14:paraId="31A7F082">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514E7A53">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52ACD68C">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633565E5">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6清洗追溯：机器自带RFID读卡器，可记录内镜身份编号，操作员身份编号并与洗消的过程进行绑定，实现内镜洗消的可追溯性。机器内置WIFI，可将洗消状态通过无线网络实时上传至相应追溯系统主机，主机与洗消机同步状态显示。洗消完成后可通过无线网络自动将洗消数据发送至追溯系统主机。做到了洗消工作站、内镜洗消机、数据追溯系统、医院网络的全面物联，无缝链接。</w:t>
            </w:r>
          </w:p>
        </w:tc>
      </w:tr>
      <w:tr w14:paraId="730D5579">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vAlign w:val="center"/>
          </w:tcPr>
          <w:p w14:paraId="3A71F287">
            <w:pPr>
              <w:widowControl/>
              <w:jc w:val="left"/>
              <w:rPr>
                <w:rFonts w:ascii="宋体" w:hAnsi="宋体" w:cs="宋体"/>
                <w:color w:val="3F3F3F"/>
                <w:kern w:val="0"/>
                <w:sz w:val="20"/>
                <w:szCs w:val="20"/>
              </w:rPr>
            </w:pPr>
          </w:p>
        </w:tc>
        <w:tc>
          <w:tcPr>
            <w:tcW w:w="1100" w:type="dxa"/>
            <w:vMerge w:val="continue"/>
            <w:tcBorders>
              <w:left w:val="single" w:color="3F3F3F" w:sz="4" w:space="0"/>
              <w:right w:val="single" w:color="3F3F3F" w:sz="4" w:space="0"/>
            </w:tcBorders>
            <w:vAlign w:val="center"/>
          </w:tcPr>
          <w:p w14:paraId="7863EB9C">
            <w:pPr>
              <w:widowControl/>
              <w:jc w:val="left"/>
              <w:rPr>
                <w:rFonts w:ascii="宋体" w:hAnsi="宋体" w:cs="宋体"/>
                <w:color w:val="3F3F3F"/>
                <w:kern w:val="0"/>
                <w:sz w:val="20"/>
                <w:szCs w:val="20"/>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3BE6CE13">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▲7</w:t>
            </w:r>
            <w:r>
              <w:rPr>
                <w:rFonts w:hint="eastAsia" w:ascii="宋体" w:hAnsi="宋体" w:eastAsia="宋体" w:cs="宋体"/>
                <w:color w:val="000000" w:themeColor="text1"/>
                <w:spacing w:val="0"/>
                <w:kern w:val="0"/>
                <w:sz w:val="21"/>
                <w:szCs w:val="21"/>
                <w14:textFill>
                  <w14:solidFill>
                    <w14:schemeClr w14:val="tx1"/>
                  </w14:solidFill>
                </w14:textFill>
              </w:rPr>
              <w:t>空气过滤：机器内置≤0.2μm孔径高效空气过滤系统，可对≥0.2μm微粒滤除率至少为99.9%，防止二次污染。</w:t>
            </w:r>
            <w:r>
              <w:rPr>
                <w:rFonts w:hint="eastAsia" w:ascii="宋体" w:hAnsi="宋体" w:eastAsia="宋体" w:cs="宋体"/>
                <w:b/>
                <w:bCs/>
                <w:color w:val="000000" w:themeColor="text1"/>
                <w:spacing w:val="0"/>
                <w:sz w:val="21"/>
                <w:szCs w:val="21"/>
                <w:u w:val="none"/>
                <w14:textFill>
                  <w14:solidFill>
                    <w14:schemeClr w14:val="tx1"/>
                  </w14:solidFill>
                </w14:textFill>
              </w:rPr>
              <w:t>（提供符合</w:t>
            </w:r>
            <w:r>
              <w:rPr>
                <w:rFonts w:hint="eastAsia" w:ascii="宋体" w:hAnsi="宋体" w:eastAsia="宋体" w:cs="宋体"/>
                <w:b/>
                <w:bCs/>
                <w:color w:val="000000" w:themeColor="text1"/>
                <w:spacing w:val="0"/>
                <w:sz w:val="21"/>
                <w:szCs w:val="21"/>
                <w:u w:val="none"/>
                <w:lang w:val="en-US" w:eastAsia="zh-CN"/>
                <w14:textFill>
                  <w14:solidFill>
                    <w14:schemeClr w14:val="tx1"/>
                  </w14:solidFill>
                </w14:textFill>
              </w:rPr>
              <w:t>GB39689-2014</w:t>
            </w:r>
            <w:r>
              <w:rPr>
                <w:rFonts w:hint="eastAsia" w:ascii="宋体" w:hAnsi="宋体" w:eastAsia="宋体" w:cs="宋体"/>
                <w:b/>
                <w:bCs/>
                <w:color w:val="000000" w:themeColor="text1"/>
                <w:spacing w:val="0"/>
                <w:sz w:val="21"/>
                <w:szCs w:val="21"/>
                <w:u w:val="none"/>
                <w14:textFill>
                  <w14:solidFill>
                    <w14:schemeClr w14:val="tx1"/>
                  </w14:solidFill>
                </w14:textFill>
              </w:rPr>
              <w:t>《内镜</w:t>
            </w:r>
            <w:r>
              <w:rPr>
                <w:rFonts w:hint="eastAsia" w:ascii="宋体" w:hAnsi="宋体" w:eastAsia="宋体" w:cs="宋体"/>
                <w:b/>
                <w:bCs/>
                <w:color w:val="000000" w:themeColor="text1"/>
                <w:spacing w:val="0"/>
                <w:sz w:val="21"/>
                <w:szCs w:val="21"/>
                <w:u w:val="none"/>
                <w:lang w:val="en-US" w:eastAsia="zh-CN"/>
                <w14:textFill>
                  <w14:solidFill>
                    <w14:schemeClr w14:val="tx1"/>
                  </w14:solidFill>
                </w14:textFill>
              </w:rPr>
              <w:t>自动清洗消毒机卫生要求</w:t>
            </w:r>
            <w:r>
              <w:rPr>
                <w:rFonts w:hint="eastAsia" w:ascii="宋体" w:hAnsi="宋体" w:eastAsia="宋体" w:cs="宋体"/>
                <w:b/>
                <w:bCs/>
                <w:color w:val="000000" w:themeColor="text1"/>
                <w:spacing w:val="0"/>
                <w:sz w:val="21"/>
                <w:szCs w:val="21"/>
                <w:u w:val="none"/>
                <w14:textFill>
                  <w14:solidFill>
                    <w14:schemeClr w14:val="tx1"/>
                  </w14:solidFill>
                </w14:textFill>
              </w:rPr>
              <w:t>》标准的高效空气过滤装置CMA或CNAS检测报告，附国家认监委官网查询截图）。</w:t>
            </w:r>
          </w:p>
        </w:tc>
      </w:tr>
      <w:tr w14:paraId="3C9A79A3">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shd w:val="clear" w:color="000000" w:fill="FFFFFF"/>
            <w:vAlign w:val="center"/>
          </w:tcPr>
          <w:p w14:paraId="59B3F284">
            <w:pPr>
              <w:widowControl/>
              <w:jc w:val="left"/>
              <w:rPr>
                <w:rFonts w:ascii="宋体" w:hAnsi="宋体" w:cs="宋体"/>
                <w:b/>
                <w:bCs/>
                <w:color w:val="3F3F3F"/>
                <w:kern w:val="0"/>
                <w:sz w:val="22"/>
              </w:rPr>
            </w:pPr>
          </w:p>
        </w:tc>
        <w:tc>
          <w:tcPr>
            <w:tcW w:w="1100" w:type="dxa"/>
            <w:vMerge w:val="continue"/>
            <w:tcBorders>
              <w:left w:val="single" w:color="3F3F3F" w:sz="4" w:space="0"/>
              <w:right w:val="single" w:color="3F3F3F" w:sz="4" w:space="0"/>
            </w:tcBorders>
            <w:shd w:val="clear" w:color="000000" w:fill="FFFFFF"/>
            <w:vAlign w:val="center"/>
          </w:tcPr>
          <w:p w14:paraId="1E08274D">
            <w:pPr>
              <w:widowControl/>
              <w:rPr>
                <w:rFonts w:ascii="宋体" w:hAnsi="宋体" w:cs="宋体"/>
                <w:b/>
                <w:bCs/>
                <w:color w:val="3F3F3F"/>
                <w:kern w:val="0"/>
                <w:sz w:val="22"/>
              </w:rPr>
            </w:pPr>
          </w:p>
        </w:tc>
        <w:tc>
          <w:tcPr>
            <w:tcW w:w="8145" w:type="dxa"/>
            <w:tcBorders>
              <w:top w:val="single" w:color="3F3F3F" w:sz="4" w:space="0"/>
              <w:left w:val="nil"/>
              <w:bottom w:val="single" w:color="3F3F3F" w:sz="4" w:space="0"/>
              <w:right w:val="single" w:color="3F3F3F" w:sz="4" w:space="0"/>
            </w:tcBorders>
            <w:shd w:val="clear" w:color="auto" w:fill="auto"/>
            <w:vAlign w:val="center"/>
          </w:tcPr>
          <w:p w14:paraId="2F0A1C5E">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8整机尺寸：≦高度980×宽度580×长度770（mm）</w:t>
            </w:r>
          </w:p>
        </w:tc>
      </w:tr>
      <w:tr w14:paraId="07E14DF7">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right w:val="single" w:color="3F3F3F" w:sz="4" w:space="0"/>
            </w:tcBorders>
            <w:shd w:val="clear" w:color="000000" w:fill="FFFFFF"/>
            <w:vAlign w:val="center"/>
          </w:tcPr>
          <w:p w14:paraId="1A87390F">
            <w:pPr>
              <w:widowControl/>
              <w:jc w:val="left"/>
              <w:rPr>
                <w:rFonts w:ascii="宋体" w:hAnsi="宋体" w:cs="宋体"/>
                <w:b/>
                <w:bCs/>
                <w:color w:val="3F3F3F"/>
                <w:kern w:val="0"/>
                <w:sz w:val="22"/>
              </w:rPr>
            </w:pPr>
          </w:p>
        </w:tc>
        <w:tc>
          <w:tcPr>
            <w:tcW w:w="1100" w:type="dxa"/>
            <w:vMerge w:val="continue"/>
            <w:tcBorders>
              <w:left w:val="single" w:color="3F3F3F" w:sz="4" w:space="0"/>
              <w:right w:val="single" w:color="3F3F3F" w:sz="4" w:space="0"/>
            </w:tcBorders>
            <w:shd w:val="clear" w:color="000000" w:fill="FFFFFF"/>
            <w:vAlign w:val="center"/>
          </w:tcPr>
          <w:p w14:paraId="689D448A">
            <w:pPr>
              <w:widowControl/>
              <w:rPr>
                <w:rFonts w:ascii="宋体" w:hAnsi="宋体" w:cs="宋体"/>
                <w:b/>
                <w:bCs/>
                <w:color w:val="3F3F3F"/>
                <w:kern w:val="0"/>
                <w:sz w:val="22"/>
              </w:rPr>
            </w:pPr>
          </w:p>
        </w:tc>
        <w:tc>
          <w:tcPr>
            <w:tcW w:w="8145" w:type="dxa"/>
            <w:tcBorders>
              <w:top w:val="single" w:color="3F3F3F" w:sz="4" w:space="0"/>
              <w:left w:val="nil"/>
              <w:bottom w:val="single" w:color="auto" w:sz="4" w:space="0"/>
              <w:right w:val="single" w:color="3F3F3F" w:sz="4" w:space="0"/>
            </w:tcBorders>
            <w:shd w:val="clear" w:color="auto" w:fill="auto"/>
            <w:vAlign w:val="center"/>
          </w:tcPr>
          <w:p w14:paraId="29222F81">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9电压参数：AC220V±10%，50HZ 300W</w:t>
            </w:r>
          </w:p>
        </w:tc>
      </w:tr>
      <w:tr w14:paraId="0DB597F5">
        <w:tblPrEx>
          <w:tblCellMar>
            <w:top w:w="0" w:type="dxa"/>
            <w:left w:w="108" w:type="dxa"/>
            <w:bottom w:w="0" w:type="dxa"/>
            <w:right w:w="108" w:type="dxa"/>
          </w:tblCellMar>
        </w:tblPrEx>
        <w:trPr>
          <w:trHeight w:val="0" w:hRule="atLeast"/>
          <w:jc w:val="center"/>
        </w:trPr>
        <w:tc>
          <w:tcPr>
            <w:tcW w:w="715" w:type="dxa"/>
            <w:vMerge w:val="continue"/>
            <w:tcBorders>
              <w:left w:val="single" w:color="3F3F3F" w:sz="4" w:space="0"/>
              <w:bottom w:val="single" w:color="auto" w:sz="4" w:space="0"/>
              <w:right w:val="single" w:color="3F3F3F" w:sz="4" w:space="0"/>
            </w:tcBorders>
            <w:shd w:val="clear" w:color="000000" w:fill="FFFFFF"/>
            <w:vAlign w:val="center"/>
          </w:tcPr>
          <w:p w14:paraId="0B88B9D0">
            <w:pPr>
              <w:widowControl/>
              <w:jc w:val="left"/>
              <w:rPr>
                <w:rFonts w:hint="eastAsia" w:ascii="宋体" w:hAnsi="宋体" w:cs="宋体"/>
                <w:b/>
                <w:bCs/>
                <w:color w:val="3F3F3F"/>
                <w:kern w:val="0"/>
                <w:sz w:val="22"/>
              </w:rPr>
            </w:pPr>
            <w:bookmarkStart w:id="1" w:name="_GoBack" w:colFirst="2" w:colLast="2"/>
          </w:p>
        </w:tc>
        <w:tc>
          <w:tcPr>
            <w:tcW w:w="1100" w:type="dxa"/>
            <w:vMerge w:val="continue"/>
            <w:tcBorders>
              <w:left w:val="single" w:color="3F3F3F" w:sz="4" w:space="0"/>
              <w:bottom w:val="single" w:color="auto" w:sz="4" w:space="0"/>
              <w:right w:val="single" w:color="3F3F3F" w:sz="4" w:space="0"/>
            </w:tcBorders>
            <w:shd w:val="clear" w:color="000000" w:fill="FFFFFF"/>
            <w:vAlign w:val="center"/>
          </w:tcPr>
          <w:p w14:paraId="2B547FE9">
            <w:pPr>
              <w:widowControl/>
              <w:rPr>
                <w:rFonts w:ascii="宋体" w:hAnsi="宋体" w:cs="宋体"/>
                <w:b/>
                <w:bCs/>
                <w:color w:val="3F3F3F"/>
                <w:kern w:val="0"/>
                <w:sz w:val="22"/>
              </w:rPr>
            </w:pPr>
          </w:p>
        </w:tc>
        <w:tc>
          <w:tcPr>
            <w:tcW w:w="8145" w:type="dxa"/>
            <w:tcBorders>
              <w:top w:val="single" w:color="auto" w:sz="4" w:space="0"/>
              <w:left w:val="single" w:color="auto" w:sz="4" w:space="0"/>
              <w:bottom w:val="single" w:color="auto" w:sz="4" w:space="0"/>
              <w:right w:val="single" w:color="auto" w:sz="4" w:space="0"/>
            </w:tcBorders>
            <w:shd w:val="clear" w:color="auto" w:fill="auto"/>
            <w:vAlign w:val="center"/>
          </w:tcPr>
          <w:p w14:paraId="7A53FB64">
            <w:pPr>
              <w:keepNext w:val="0"/>
              <w:keepLines w:val="0"/>
              <w:pageBreakBefore w:val="0"/>
              <w:widowControl/>
              <w:kinsoku/>
              <w:wordWrap/>
              <w:overflowPunct/>
              <w:topLinePunct w:val="0"/>
              <w:autoSpaceDE/>
              <w:autoSpaceDN/>
              <w:bidi w:val="0"/>
              <w:snapToGrid/>
              <w:spacing w:beforeAutospacing="0" w:afterAutospacing="0" w:line="240" w:lineRule="auto"/>
              <w:ind w:left="0" w:firstLine="0" w:firstLineChars="0"/>
              <w:jc w:val="left"/>
              <w:rPr>
                <w:rFonts w:hint="eastAsia" w:ascii="宋体" w:hAnsi="宋体" w:eastAsia="宋体" w:cs="宋体"/>
                <w:b/>
                <w:bCs/>
                <w:color w:val="000000" w:themeColor="text1"/>
                <w:spacing w:val="0"/>
                <w:sz w:val="21"/>
                <w:szCs w:val="21"/>
                <w14:textFill>
                  <w14:solidFill>
                    <w14:schemeClr w14:val="tx1"/>
                  </w14:solidFill>
                </w14:textFill>
              </w:rPr>
            </w:pPr>
            <w:r>
              <w:rPr>
                <w:rFonts w:hint="eastAsia" w:ascii="宋体" w:hAnsi="宋体" w:cs="宋体"/>
                <w:b/>
                <w:bCs/>
                <w:color w:val="3F3F3F"/>
                <w:kern w:val="0"/>
                <w:sz w:val="21"/>
                <w:szCs w:val="21"/>
                <w:lang w:val="en-US" w:eastAsia="zh-CN"/>
              </w:rPr>
              <w:t>★</w:t>
            </w:r>
            <w:r>
              <w:rPr>
                <w:rFonts w:hint="eastAsia" w:ascii="宋体" w:hAnsi="宋体" w:eastAsia="宋体" w:cs="宋体"/>
                <w:b/>
                <w:bCs/>
                <w:color w:val="3F3F3F"/>
                <w:kern w:val="0"/>
                <w:sz w:val="21"/>
                <w:szCs w:val="21"/>
                <w:lang w:val="en-US" w:eastAsia="zh-CN"/>
              </w:rPr>
              <w:t>配置清单</w:t>
            </w:r>
          </w:p>
          <w:p w14:paraId="7CD27AB3">
            <w:pPr>
              <w:keepNext w:val="0"/>
              <w:keepLines w:val="0"/>
              <w:pageBreakBefore w:val="0"/>
              <w:widowControl/>
              <w:kinsoku/>
              <w:wordWrap/>
              <w:overflowPunct/>
              <w:topLinePunct w:val="0"/>
              <w:autoSpaceDE/>
              <w:autoSpaceDN/>
              <w:bidi w:val="0"/>
              <w:snapToGrid/>
              <w:spacing w:beforeAutospacing="0" w:afterAutospacing="0" w:line="240" w:lineRule="auto"/>
              <w:ind w:left="0" w:firstLine="0" w:firstLineChars="0"/>
              <w:jc w:val="left"/>
              <w:rPr>
                <w:rFonts w:hint="eastAsia" w:ascii="宋体" w:hAnsi="宋体" w:eastAsia="宋体" w:cs="宋体"/>
                <w:b w:val="0"/>
                <w:bCs w:val="0"/>
                <w:color w:val="000000" w:themeColor="text1"/>
                <w:spacing w:val="0"/>
                <w:sz w:val="21"/>
                <w:szCs w:val="21"/>
                <w14:textFill>
                  <w14:solidFill>
                    <w14:schemeClr w14:val="tx1"/>
                  </w14:solidFill>
                </w14:textFill>
              </w:rPr>
            </w:pPr>
            <w:r>
              <w:rPr>
                <w:rFonts w:hint="eastAsia" w:ascii="宋体" w:hAnsi="宋体" w:eastAsia="宋体" w:cs="宋体"/>
                <w:b w:val="0"/>
                <w:bCs w:val="0"/>
                <w:color w:val="000000" w:themeColor="text1"/>
                <w:spacing w:val="0"/>
                <w:sz w:val="21"/>
                <w:szCs w:val="21"/>
                <w14:textFill>
                  <w14:solidFill>
                    <w14:schemeClr w14:val="tx1"/>
                  </w14:solidFill>
                </w14:textFill>
              </w:rPr>
              <w:t>1、主机：1台</w:t>
            </w:r>
          </w:p>
          <w:p w14:paraId="0E335D07">
            <w:pPr>
              <w:keepNext w:val="0"/>
              <w:keepLines w:val="0"/>
              <w:pageBreakBefore w:val="0"/>
              <w:widowControl/>
              <w:kinsoku/>
              <w:wordWrap/>
              <w:overflowPunct/>
              <w:topLinePunct w:val="0"/>
              <w:autoSpaceDE/>
              <w:autoSpaceDN/>
              <w:bidi w:val="0"/>
              <w:snapToGrid/>
              <w:spacing w:beforeAutospacing="0" w:afterAutospacing="0" w:line="240" w:lineRule="auto"/>
              <w:ind w:left="0" w:firstLine="0" w:firstLineChars="0"/>
              <w:jc w:val="left"/>
              <w:rPr>
                <w:rFonts w:hint="eastAsia" w:ascii="宋体" w:hAnsi="宋体" w:eastAsia="宋体" w:cs="宋体"/>
                <w:b w:val="0"/>
                <w:bCs w:val="0"/>
                <w:color w:val="000000" w:themeColor="text1"/>
                <w:spacing w:val="0"/>
                <w:sz w:val="21"/>
                <w:szCs w:val="21"/>
                <w14:textFill>
                  <w14:solidFill>
                    <w14:schemeClr w14:val="tx1"/>
                  </w14:solidFill>
                </w14:textFill>
              </w:rPr>
            </w:pPr>
            <w:r>
              <w:rPr>
                <w:rFonts w:hint="eastAsia" w:ascii="宋体" w:hAnsi="宋体" w:eastAsia="宋体" w:cs="宋体"/>
                <w:b w:val="0"/>
                <w:bCs w:val="0"/>
                <w:color w:val="000000" w:themeColor="text1"/>
                <w:spacing w:val="0"/>
                <w:sz w:val="21"/>
                <w:szCs w:val="21"/>
                <w14:textFill>
                  <w14:solidFill>
                    <w14:schemeClr w14:val="tx1"/>
                  </w14:solidFill>
                </w14:textFill>
              </w:rPr>
              <w:t>2、管道灌流器：2套</w:t>
            </w:r>
          </w:p>
          <w:p w14:paraId="74909216">
            <w:pPr>
              <w:keepNext w:val="0"/>
              <w:keepLines w:val="0"/>
              <w:pageBreakBefore w:val="0"/>
              <w:widowControl/>
              <w:kinsoku/>
              <w:wordWrap/>
              <w:overflowPunct/>
              <w:topLinePunct w:val="0"/>
              <w:autoSpaceDE/>
              <w:autoSpaceDN/>
              <w:bidi w:val="0"/>
              <w:snapToGrid/>
              <w:spacing w:beforeAutospacing="0" w:afterAutospacing="0" w:line="240" w:lineRule="auto"/>
              <w:ind w:left="0" w:firstLine="0" w:firstLineChars="0"/>
              <w:jc w:val="left"/>
              <w:rPr>
                <w:rFonts w:hint="eastAsia" w:ascii="宋体" w:hAnsi="宋体" w:eastAsia="宋体" w:cs="宋体"/>
                <w:b w:val="0"/>
                <w:bCs w:val="0"/>
                <w:color w:val="000000" w:themeColor="text1"/>
                <w:spacing w:val="0"/>
                <w:sz w:val="21"/>
                <w:szCs w:val="21"/>
                <w14:textFill>
                  <w14:solidFill>
                    <w14:schemeClr w14:val="tx1"/>
                  </w14:solidFill>
                </w14:textFill>
              </w:rPr>
            </w:pPr>
            <w:r>
              <w:rPr>
                <w:rFonts w:hint="eastAsia" w:ascii="宋体" w:hAnsi="宋体" w:eastAsia="宋体" w:cs="宋体"/>
                <w:b w:val="0"/>
                <w:bCs w:val="0"/>
                <w:color w:val="000000" w:themeColor="text1"/>
                <w:spacing w:val="0"/>
                <w:sz w:val="21"/>
                <w:szCs w:val="21"/>
                <w14:textFill>
                  <w14:solidFill>
                    <w14:schemeClr w14:val="tx1"/>
                  </w14:solidFill>
                </w14:textFill>
              </w:rPr>
              <w:t>3、供水连接管：1根</w:t>
            </w:r>
          </w:p>
          <w:p w14:paraId="36D93D9D">
            <w:pPr>
              <w:keepNext w:val="0"/>
              <w:keepLines w:val="0"/>
              <w:pageBreakBefore w:val="0"/>
              <w:widowControl/>
              <w:kinsoku/>
              <w:wordWrap/>
              <w:overflowPunct/>
              <w:topLinePunct w:val="0"/>
              <w:autoSpaceDE/>
              <w:autoSpaceDN/>
              <w:bidi w:val="0"/>
              <w:snapToGrid/>
              <w:spacing w:beforeAutospacing="0" w:afterAutospacing="0" w:line="240" w:lineRule="auto"/>
              <w:ind w:left="0" w:firstLine="0" w:firstLineChars="0"/>
              <w:jc w:val="left"/>
              <w:rPr>
                <w:rFonts w:hint="eastAsia" w:ascii="宋体" w:hAnsi="宋体" w:eastAsia="宋体" w:cs="宋体"/>
                <w:sz w:val="21"/>
                <w:szCs w:val="21"/>
              </w:rPr>
            </w:pPr>
            <w:r>
              <w:rPr>
                <w:rFonts w:hint="eastAsia" w:ascii="宋体" w:hAnsi="宋体" w:eastAsia="宋体" w:cs="宋体"/>
                <w:b w:val="0"/>
                <w:bCs w:val="0"/>
                <w:color w:val="000000" w:themeColor="text1"/>
                <w:spacing w:val="0"/>
                <w:sz w:val="21"/>
                <w:szCs w:val="21"/>
                <w14:textFill>
                  <w14:solidFill>
                    <w14:schemeClr w14:val="tx1"/>
                  </w14:solidFill>
                </w14:textFill>
              </w:rPr>
              <w:t>4、排水连接管：1根</w:t>
            </w:r>
          </w:p>
        </w:tc>
      </w:tr>
    </w:tbl>
    <w:p w14:paraId="557B0C1E">
      <w:pPr>
        <w:spacing w:line="360" w:lineRule="exact"/>
        <w:jc w:val="left"/>
        <w:rPr>
          <w:rFonts w:ascii="微软雅黑" w:hAnsi="微软雅黑" w:eastAsia="微软雅黑" w:cs="宋体"/>
          <w:color w:val="3F3F3F"/>
          <w:kern w:val="0"/>
          <w:sz w:val="20"/>
          <w:szCs w:val="20"/>
        </w:rPr>
        <w:sectPr>
          <w:pgSz w:w="11906" w:h="16838"/>
          <w:pgMar w:top="1440" w:right="1080" w:bottom="1440" w:left="1080" w:header="851" w:footer="992" w:gutter="0"/>
          <w:cols w:space="425" w:num="1"/>
          <w:docGrid w:type="lines" w:linePitch="312" w:charSpace="0"/>
        </w:sectPr>
      </w:pPr>
    </w:p>
    <w:p w14:paraId="02515805">
      <w:pPr>
        <w:pStyle w:val="2"/>
        <w:jc w:val="center"/>
        <w:rPr>
          <w:kern w:val="0"/>
        </w:rPr>
      </w:pPr>
      <w:r>
        <w:rPr>
          <w:rFonts w:hint="eastAsia"/>
          <w:kern w:val="0"/>
        </w:rPr>
        <w:t>设备配套耗材试剂情况</w:t>
      </w:r>
    </w:p>
    <w:p w14:paraId="1B4297A6">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74949236">
      <w:pPr>
        <w:jc w:val="left"/>
        <w:rPr>
          <w:rFonts w:ascii="宋体" w:hAnsi="宋体" w:cs="宋体"/>
          <w:b/>
          <w:bCs/>
          <w:kern w:val="0"/>
          <w:sz w:val="24"/>
          <w:szCs w:val="24"/>
        </w:rPr>
      </w:pPr>
    </w:p>
    <w:p w14:paraId="506D4B77">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1CB3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25ACFAB1">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775BD154">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7F83ADFE">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494B1A76">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270C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3EA8B66F">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31B6BD25">
            <w:pPr>
              <w:spacing w:line="480" w:lineRule="auto"/>
              <w:jc w:val="center"/>
              <w:rPr>
                <w:rFonts w:ascii="仿宋_GB2312" w:hAnsi="Times New Roman" w:eastAsia="仿宋_GB2312"/>
                <w:b/>
                <w:sz w:val="28"/>
                <w:szCs w:val="21"/>
              </w:rPr>
            </w:pPr>
            <w:r>
              <w:rPr>
                <w:rFonts w:hint="eastAsia" w:ascii="宋体" w:hAnsi="宋体"/>
                <w:sz w:val="24"/>
                <w:szCs w:val="24"/>
                <w:lang w:eastAsia="zh-CN"/>
              </w:rPr>
              <w:t>0.2μ</w:t>
            </w:r>
            <w:r>
              <w:rPr>
                <w:rFonts w:hint="eastAsia" w:ascii="宋体" w:hAnsi="宋体"/>
                <w:sz w:val="24"/>
                <w:szCs w:val="24"/>
                <w:lang w:val="en-US" w:eastAsia="zh-CN"/>
              </w:rPr>
              <w:t>mPET</w:t>
            </w:r>
            <w:r>
              <w:rPr>
                <w:rFonts w:hint="eastAsia" w:ascii="宋体" w:hAnsi="宋体"/>
                <w:sz w:val="24"/>
                <w:szCs w:val="24"/>
                <w:lang w:eastAsia="zh-CN"/>
              </w:rPr>
              <w:t>空气过滤器</w:t>
            </w:r>
          </w:p>
        </w:tc>
        <w:tc>
          <w:tcPr>
            <w:tcW w:w="1985" w:type="dxa"/>
            <w:vAlign w:val="center"/>
          </w:tcPr>
          <w:p w14:paraId="556E8DD5">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个</w:t>
            </w:r>
          </w:p>
        </w:tc>
        <w:tc>
          <w:tcPr>
            <w:tcW w:w="2126" w:type="dxa"/>
            <w:vAlign w:val="center"/>
          </w:tcPr>
          <w:p w14:paraId="11C19B49">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1500.00</w:t>
            </w:r>
          </w:p>
        </w:tc>
      </w:tr>
      <w:tr w14:paraId="01424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33FA56AC">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2</w:t>
            </w:r>
          </w:p>
        </w:tc>
        <w:tc>
          <w:tcPr>
            <w:tcW w:w="5094" w:type="dxa"/>
            <w:vAlign w:val="center"/>
          </w:tcPr>
          <w:p w14:paraId="4A21990E">
            <w:pPr>
              <w:spacing w:line="480" w:lineRule="auto"/>
              <w:jc w:val="center"/>
              <w:rPr>
                <w:rFonts w:hint="default" w:ascii="宋体" w:hAnsi="宋体"/>
                <w:sz w:val="24"/>
                <w:szCs w:val="24"/>
                <w:lang w:val="en-US" w:eastAsia="zh-CN"/>
              </w:rPr>
            </w:pPr>
            <w:r>
              <w:rPr>
                <w:rFonts w:hint="eastAsia" w:ascii="宋体" w:hAnsi="宋体"/>
                <w:sz w:val="24"/>
                <w:szCs w:val="24"/>
                <w:lang w:val="en-US" w:eastAsia="zh-CN"/>
              </w:rPr>
              <w:t>银离子滤芯</w:t>
            </w:r>
          </w:p>
        </w:tc>
        <w:tc>
          <w:tcPr>
            <w:tcW w:w="1985" w:type="dxa"/>
            <w:vAlign w:val="center"/>
          </w:tcPr>
          <w:p w14:paraId="64FD6325">
            <w:pPr>
              <w:spacing w:line="480" w:lineRule="auto"/>
              <w:jc w:val="center"/>
              <w:rPr>
                <w:rFonts w:hint="default" w:ascii="宋体" w:hAnsi="宋体"/>
                <w:sz w:val="24"/>
                <w:szCs w:val="24"/>
                <w:lang w:val="en-US" w:eastAsia="zh-CN"/>
              </w:rPr>
            </w:pPr>
            <w:r>
              <w:rPr>
                <w:rFonts w:hint="eastAsia" w:ascii="宋体" w:hAnsi="宋体"/>
                <w:sz w:val="24"/>
                <w:szCs w:val="24"/>
                <w:lang w:val="en-US" w:eastAsia="zh-CN"/>
              </w:rPr>
              <w:t>条</w:t>
            </w:r>
          </w:p>
        </w:tc>
        <w:tc>
          <w:tcPr>
            <w:tcW w:w="2126" w:type="dxa"/>
            <w:vAlign w:val="center"/>
          </w:tcPr>
          <w:p w14:paraId="07980D22">
            <w:pPr>
              <w:spacing w:line="480" w:lineRule="auto"/>
              <w:jc w:val="center"/>
              <w:rPr>
                <w:rFonts w:hint="default" w:ascii="宋体" w:hAnsi="宋体"/>
                <w:sz w:val="24"/>
                <w:szCs w:val="24"/>
                <w:lang w:val="en-US" w:eastAsia="zh-CN"/>
              </w:rPr>
            </w:pPr>
            <w:r>
              <w:rPr>
                <w:rFonts w:hint="eastAsia" w:ascii="宋体" w:hAnsi="宋体"/>
                <w:sz w:val="24"/>
                <w:szCs w:val="24"/>
                <w:lang w:val="en-US" w:eastAsia="zh-CN"/>
              </w:rPr>
              <w:t>800.00</w:t>
            </w:r>
          </w:p>
        </w:tc>
      </w:tr>
    </w:tbl>
    <w:p w14:paraId="6E4B30A7">
      <w:pPr>
        <w:jc w:val="left"/>
        <w:rPr>
          <w:rFonts w:ascii="Times New Roman" w:hAnsi="Times New Roman"/>
          <w:szCs w:val="21"/>
        </w:rPr>
      </w:pPr>
    </w:p>
    <w:p w14:paraId="6DD27696">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1EB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4BD8BC6E">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012A3754">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75007608">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5E70E547">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2BEC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2A7D44FB">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155FF656">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0C86B15E">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c>
          <w:tcPr>
            <w:tcW w:w="2126" w:type="dxa"/>
            <w:vAlign w:val="center"/>
          </w:tcPr>
          <w:p w14:paraId="7F9559CA">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r>
    </w:tbl>
    <w:p w14:paraId="7F4E171D">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B7D8A">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lZWExNGI1MzNlMmEwZTU2ZDA1OGNlYTY2MGRlN2EifQ=="/>
  </w:docVars>
  <w:rsids>
    <w:rsidRoot w:val="00180716"/>
    <w:rsid w:val="00031B84"/>
    <w:rsid w:val="0007571F"/>
    <w:rsid w:val="00086401"/>
    <w:rsid w:val="000B3A24"/>
    <w:rsid w:val="000E0A0A"/>
    <w:rsid w:val="00100D1E"/>
    <w:rsid w:val="0012370B"/>
    <w:rsid w:val="00153A42"/>
    <w:rsid w:val="0015678E"/>
    <w:rsid w:val="00180716"/>
    <w:rsid w:val="0018661F"/>
    <w:rsid w:val="00195D84"/>
    <w:rsid w:val="001B0A84"/>
    <w:rsid w:val="001D5E72"/>
    <w:rsid w:val="00206936"/>
    <w:rsid w:val="002617DE"/>
    <w:rsid w:val="002738F1"/>
    <w:rsid w:val="002C0BFD"/>
    <w:rsid w:val="002C6C45"/>
    <w:rsid w:val="002D02F7"/>
    <w:rsid w:val="002D59FE"/>
    <w:rsid w:val="003141BC"/>
    <w:rsid w:val="0031707A"/>
    <w:rsid w:val="003407BA"/>
    <w:rsid w:val="0036311E"/>
    <w:rsid w:val="003938A4"/>
    <w:rsid w:val="003B5D40"/>
    <w:rsid w:val="003D4CEF"/>
    <w:rsid w:val="003E15A0"/>
    <w:rsid w:val="00437E27"/>
    <w:rsid w:val="00447FAF"/>
    <w:rsid w:val="004607A8"/>
    <w:rsid w:val="0046248D"/>
    <w:rsid w:val="004777CE"/>
    <w:rsid w:val="00485E99"/>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70CB8"/>
    <w:rsid w:val="00A75EBB"/>
    <w:rsid w:val="00AA10B5"/>
    <w:rsid w:val="00AA2A2D"/>
    <w:rsid w:val="00AB43D9"/>
    <w:rsid w:val="00AB686E"/>
    <w:rsid w:val="00AF2364"/>
    <w:rsid w:val="00B16C5C"/>
    <w:rsid w:val="00B36BC4"/>
    <w:rsid w:val="00B37A82"/>
    <w:rsid w:val="00BE5B4B"/>
    <w:rsid w:val="00C046E8"/>
    <w:rsid w:val="00C532E9"/>
    <w:rsid w:val="00C70023"/>
    <w:rsid w:val="00C70D64"/>
    <w:rsid w:val="00C717A1"/>
    <w:rsid w:val="00CA1F88"/>
    <w:rsid w:val="00D14837"/>
    <w:rsid w:val="00D2285F"/>
    <w:rsid w:val="00D5527C"/>
    <w:rsid w:val="00D577BE"/>
    <w:rsid w:val="00D650DC"/>
    <w:rsid w:val="00D736F6"/>
    <w:rsid w:val="00D73D7E"/>
    <w:rsid w:val="00D85A9B"/>
    <w:rsid w:val="00D90205"/>
    <w:rsid w:val="00DA2A6D"/>
    <w:rsid w:val="00DB3248"/>
    <w:rsid w:val="00DE4279"/>
    <w:rsid w:val="00E13D8B"/>
    <w:rsid w:val="00E43D98"/>
    <w:rsid w:val="00E52F79"/>
    <w:rsid w:val="00E84839"/>
    <w:rsid w:val="00E87DEE"/>
    <w:rsid w:val="00EA0AF4"/>
    <w:rsid w:val="00EA3933"/>
    <w:rsid w:val="00F128E8"/>
    <w:rsid w:val="00F176BB"/>
    <w:rsid w:val="00F3782E"/>
    <w:rsid w:val="00F40917"/>
    <w:rsid w:val="00F47DA3"/>
    <w:rsid w:val="00F749F5"/>
    <w:rsid w:val="00F84832"/>
    <w:rsid w:val="00FD02B5"/>
    <w:rsid w:val="13DD188A"/>
    <w:rsid w:val="13E1587A"/>
    <w:rsid w:val="179F4F74"/>
    <w:rsid w:val="1CE8421E"/>
    <w:rsid w:val="1E1C67B1"/>
    <w:rsid w:val="20527BD7"/>
    <w:rsid w:val="23A15290"/>
    <w:rsid w:val="2A282186"/>
    <w:rsid w:val="2D445D6A"/>
    <w:rsid w:val="2EF144EF"/>
    <w:rsid w:val="304944C6"/>
    <w:rsid w:val="35EE3756"/>
    <w:rsid w:val="398A3BE4"/>
    <w:rsid w:val="49322328"/>
    <w:rsid w:val="49B82666"/>
    <w:rsid w:val="4F8661CA"/>
    <w:rsid w:val="566570D8"/>
    <w:rsid w:val="58F86605"/>
    <w:rsid w:val="61BF4C76"/>
    <w:rsid w:val="67680BA7"/>
    <w:rsid w:val="68A12A4C"/>
    <w:rsid w:val="6E4730C5"/>
    <w:rsid w:val="732A1122"/>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qFormat/>
    <w:uiPriority w:val="9"/>
    <w:rPr>
      <w:b/>
      <w:bCs/>
      <w:kern w:val="44"/>
      <w:sz w:val="44"/>
      <w:szCs w:val="44"/>
    </w:rPr>
  </w:style>
  <w:style w:type="character" w:customStyle="1" w:styleId="12">
    <w:name w:val="批注文字 字符"/>
    <w:link w:val="3"/>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 w:type="paragraph" w:customStyle="1" w:styleId="16">
    <w:name w:val="文档正文"/>
    <w:basedOn w:val="1"/>
    <w:autoRedefine/>
    <w:qFormat/>
    <w:uiPriority w:val="0"/>
    <w:pPr>
      <w:adjustRightInd w:val="0"/>
      <w:spacing w:line="500" w:lineRule="exact"/>
      <w:ind w:firstLine="567"/>
      <w:textAlignment w:val="baseline"/>
    </w:pPr>
    <w:rPr>
      <w:rFonts w:ascii="仿宋_GB2312" w:eastAsia="仿宋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1209</Words>
  <Characters>1381</Characters>
  <Lines>11</Lines>
  <Paragraphs>3</Paragraphs>
  <TotalTime>3</TotalTime>
  <ScaleCrop>false</ScaleCrop>
  <LinksUpToDate>false</LinksUpToDate>
  <CharactersWithSpaces>1437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2023-08-22T03:46:00Z</dcterms:created>
  <dc:creator>Sky123.Org</dc:creator>
  <cp:lastModifiedBy> </cp:lastModifiedBy>
  <cp:lastPrinted>2020-06-15T03:32:00Z</cp:lastPrinted>
  <dcterms:modified xsi:type="dcterms:W3CDTF">2025-06-09T17:21:38Z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762EC1699B2C4BE597EE333242EB68B5_13</vt:lpwstr>
  </property>
  <property fmtid="{D5CDD505-2E9C-101B-9397-08002B2CF9AE}" pid="4" name="KSOTemplateDocerSaveRecord">
    <vt:lpwstr>eyJoZGlkIjoiMzFjNjI1NjQxOWZmMjYxOTRjODg5YzhlODVjOTYwNjciLCJ1c2VySWQiOiIyNzA3NjAzOTkifQ==</vt:lpwstr>
  </property>
</Properties>
</file>