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E899796">
      <w:pPr>
        <w:jc w:val="center"/>
        <w:rPr>
          <w:rFonts w:hint="eastAsia" w:ascii="黑体" w:hAnsi="黑体" w:eastAsia="黑体" w:cs="黑体"/>
        </w:rPr>
      </w:pPr>
      <w:r>
        <w:rPr>
          <w:rFonts w:hint="eastAsia" w:ascii="黑体" w:hAnsi="黑体" w:eastAsia="黑体" w:cs="黑体"/>
          <w:b/>
          <w:bCs/>
          <w:color w:val="3F3F3F"/>
          <w:kern w:val="0"/>
          <w:sz w:val="36"/>
          <w:szCs w:val="36"/>
        </w:rPr>
        <w:t>深圳市儿童医院设备采购需求参数表</w:t>
      </w:r>
    </w:p>
    <w:tbl>
      <w:tblPr>
        <w:tblStyle w:val="7"/>
        <w:tblW w:w="9960" w:type="dxa"/>
        <w:jc w:val="center"/>
        <w:tblLayout w:type="autofit"/>
        <w:tblCellMar>
          <w:top w:w="0" w:type="dxa"/>
          <w:left w:w="108" w:type="dxa"/>
          <w:bottom w:w="0" w:type="dxa"/>
          <w:right w:w="108" w:type="dxa"/>
        </w:tblCellMar>
      </w:tblPr>
      <w:tblGrid>
        <w:gridCol w:w="735"/>
        <w:gridCol w:w="1200"/>
        <w:gridCol w:w="8025"/>
      </w:tblGrid>
      <w:tr w14:paraId="3C46FD3F">
        <w:trPr>
          <w:trHeight w:val="420" w:hRule="atLeast"/>
          <w:jc w:val="center"/>
        </w:trPr>
        <w:tc>
          <w:tcPr>
            <w:tcW w:w="735" w:type="dxa"/>
            <w:tcBorders>
              <w:top w:val="single" w:color="auto" w:sz="4" w:space="0"/>
              <w:left w:val="single" w:color="auto" w:sz="4" w:space="0"/>
              <w:bottom w:val="single" w:color="auto" w:sz="4" w:space="0"/>
              <w:right w:val="single" w:color="auto" w:sz="4" w:space="0"/>
            </w:tcBorders>
            <w:shd w:val="clear" w:color="000000" w:fill="FFFFFF"/>
            <w:vAlign w:val="center"/>
          </w:tcPr>
          <w:p w14:paraId="77889AE0">
            <w:pPr>
              <w:widowControl/>
              <w:jc w:val="left"/>
              <w:rPr>
                <w:rFonts w:ascii="宋体" w:hAnsi="宋体" w:cs="宋体"/>
                <w:b/>
                <w:bCs/>
                <w:color w:val="3F3F3F"/>
                <w:kern w:val="0"/>
                <w:sz w:val="22"/>
              </w:rPr>
            </w:pPr>
            <w:r>
              <w:rPr>
                <w:rFonts w:hint="eastAsia" w:ascii="宋体" w:hAnsi="宋体" w:cs="宋体"/>
                <w:b/>
                <w:bCs/>
                <w:color w:val="3F3F3F"/>
                <w:kern w:val="0"/>
                <w:sz w:val="22"/>
              </w:rPr>
              <w:t>序号</w:t>
            </w:r>
          </w:p>
        </w:tc>
        <w:tc>
          <w:tcPr>
            <w:tcW w:w="1200" w:type="dxa"/>
            <w:tcBorders>
              <w:top w:val="single" w:color="auto" w:sz="4" w:space="0"/>
              <w:left w:val="single" w:color="auto" w:sz="4" w:space="0"/>
              <w:bottom w:val="single" w:color="auto" w:sz="4" w:space="0"/>
              <w:right w:val="single" w:color="auto" w:sz="4" w:space="0"/>
            </w:tcBorders>
            <w:shd w:val="clear" w:color="000000" w:fill="FFFFFF"/>
            <w:vAlign w:val="center"/>
          </w:tcPr>
          <w:p w14:paraId="5E2E3BC6">
            <w:pPr>
              <w:widowControl/>
              <w:jc w:val="center"/>
              <w:rPr>
                <w:rFonts w:ascii="宋体" w:hAnsi="宋体" w:cs="宋体"/>
                <w:b/>
                <w:bCs/>
                <w:color w:val="3F3F3F"/>
                <w:kern w:val="0"/>
                <w:sz w:val="22"/>
              </w:rPr>
            </w:pPr>
            <w:r>
              <w:rPr>
                <w:rFonts w:hint="eastAsia" w:ascii="宋体" w:hAnsi="宋体" w:cs="宋体"/>
                <w:b/>
                <w:bCs/>
                <w:color w:val="3F3F3F"/>
                <w:kern w:val="0"/>
                <w:sz w:val="22"/>
              </w:rPr>
              <w:t>项目名称</w:t>
            </w:r>
          </w:p>
        </w:tc>
        <w:tc>
          <w:tcPr>
            <w:tcW w:w="8025" w:type="dxa"/>
            <w:tcBorders>
              <w:top w:val="single" w:color="auto" w:sz="4" w:space="0"/>
              <w:left w:val="single" w:color="auto" w:sz="4" w:space="0"/>
              <w:bottom w:val="single" w:color="auto" w:sz="4" w:space="0"/>
              <w:right w:val="single" w:color="auto" w:sz="4" w:space="0"/>
            </w:tcBorders>
            <w:shd w:val="clear" w:color="000000" w:fill="FFFFFF"/>
            <w:vAlign w:val="center"/>
          </w:tcPr>
          <w:p w14:paraId="713A05E7">
            <w:pPr>
              <w:widowControl/>
              <w:jc w:val="center"/>
              <w:rPr>
                <w:rFonts w:ascii="宋体" w:hAnsi="宋体" w:cs="宋体"/>
                <w:b/>
                <w:bCs/>
                <w:color w:val="3F3F3F"/>
                <w:kern w:val="0"/>
                <w:sz w:val="22"/>
              </w:rPr>
            </w:pPr>
            <w:r>
              <w:rPr>
                <w:rFonts w:hint="eastAsia" w:ascii="宋体" w:hAnsi="宋体" w:cs="宋体"/>
                <w:b/>
                <w:bCs/>
                <w:color w:val="3F3F3F"/>
                <w:kern w:val="0"/>
                <w:sz w:val="22"/>
              </w:rPr>
              <w:t>招标事项及要求</w:t>
            </w:r>
          </w:p>
        </w:tc>
      </w:tr>
      <w:tr w14:paraId="789B1968">
        <w:tblPrEx>
          <w:tblCellMar>
            <w:top w:w="0" w:type="dxa"/>
            <w:left w:w="108" w:type="dxa"/>
            <w:bottom w:w="0" w:type="dxa"/>
            <w:right w:w="108" w:type="dxa"/>
          </w:tblCellMar>
        </w:tblPrEx>
        <w:trPr>
          <w:trHeight w:val="0" w:hRule="atLeast"/>
          <w:jc w:val="center"/>
        </w:trPr>
        <w:tc>
          <w:tcPr>
            <w:tcW w:w="735" w:type="dxa"/>
            <w:vMerge w:val="restart"/>
            <w:tcBorders>
              <w:top w:val="single" w:color="auto" w:sz="4" w:space="0"/>
              <w:left w:val="single" w:color="auto" w:sz="4" w:space="0"/>
              <w:right w:val="single" w:color="auto" w:sz="4" w:space="0"/>
            </w:tcBorders>
            <w:shd w:val="clear" w:color="000000" w:fill="FFFFFF"/>
            <w:vAlign w:val="center"/>
          </w:tcPr>
          <w:p w14:paraId="1F042F07">
            <w:pPr>
              <w:widowControl/>
              <w:jc w:val="left"/>
              <w:rPr>
                <w:rFonts w:ascii="宋体" w:hAnsi="宋体" w:cs="宋体"/>
                <w:b/>
                <w:bCs/>
                <w:color w:val="3F3F3F"/>
                <w:kern w:val="0"/>
                <w:sz w:val="22"/>
              </w:rPr>
            </w:pPr>
            <w:r>
              <w:rPr>
                <w:rFonts w:hint="eastAsia" w:ascii="宋体" w:hAnsi="宋体" w:cs="宋体"/>
                <w:color w:val="3F3F3F"/>
                <w:kern w:val="0"/>
                <w:sz w:val="20"/>
                <w:szCs w:val="20"/>
              </w:rPr>
              <w:t>1</w:t>
            </w:r>
          </w:p>
        </w:tc>
        <w:tc>
          <w:tcPr>
            <w:tcW w:w="1200" w:type="dxa"/>
            <w:vMerge w:val="restart"/>
            <w:tcBorders>
              <w:top w:val="single" w:color="auto" w:sz="4" w:space="0"/>
              <w:left w:val="single" w:color="auto" w:sz="4" w:space="0"/>
              <w:right w:val="single" w:color="auto" w:sz="4" w:space="0"/>
            </w:tcBorders>
            <w:shd w:val="clear" w:color="000000" w:fill="FFFFFF"/>
            <w:vAlign w:val="center"/>
          </w:tcPr>
          <w:p w14:paraId="239165A1">
            <w:pPr>
              <w:widowControl/>
              <w:jc w:val="center"/>
              <w:rPr>
                <w:rFonts w:ascii="宋体" w:hAnsi="宋体" w:cs="宋体"/>
                <w:b/>
                <w:bCs/>
                <w:color w:val="3F3F3F"/>
                <w:kern w:val="0"/>
                <w:sz w:val="22"/>
              </w:rPr>
            </w:pPr>
            <w:r>
              <w:rPr>
                <w:rFonts w:hint="eastAsia" w:ascii="宋体" w:hAnsi="宋体" w:eastAsia="宋体" w:cs="宋体"/>
                <w:b/>
                <w:bCs/>
                <w:color w:val="3F3F3F"/>
                <w:kern w:val="0"/>
                <w:sz w:val="21"/>
                <w:szCs w:val="21"/>
              </w:rPr>
              <w:t>内镜清洗消毒工作站</w:t>
            </w:r>
            <w:bookmarkStart w:id="0" w:name="_GoBack"/>
            <w:bookmarkEnd w:id="0"/>
          </w:p>
        </w:tc>
        <w:tc>
          <w:tcPr>
            <w:tcW w:w="8025" w:type="dxa"/>
            <w:tcBorders>
              <w:top w:val="single" w:color="auto" w:sz="4" w:space="0"/>
              <w:left w:val="single" w:color="auto" w:sz="4" w:space="0"/>
              <w:bottom w:val="single" w:color="auto" w:sz="4" w:space="0"/>
              <w:right w:val="single" w:color="auto" w:sz="4" w:space="0"/>
            </w:tcBorders>
            <w:shd w:val="clear" w:color="auto" w:fill="auto"/>
            <w:vAlign w:val="center"/>
          </w:tcPr>
          <w:p w14:paraId="58C1D696">
            <w:pPr>
              <w:keepNext w:val="0"/>
              <w:keepLines w:val="0"/>
              <w:pageBreakBefore w:val="0"/>
              <w:widowControl/>
              <w:kinsoku/>
              <w:wordWrap/>
              <w:overflowPunct/>
              <w:topLinePunct w:val="0"/>
              <w:autoSpaceDE/>
              <w:autoSpaceDN/>
              <w:bidi w:val="0"/>
              <w:adjustRightInd/>
              <w:snapToGrid/>
              <w:spacing w:beforeAutospacing="0" w:afterAutospacing="0" w:line="240" w:lineRule="auto"/>
              <w:ind w:left="0" w:leftChars="0" w:firstLine="0" w:firstLineChars="0"/>
              <w:jc w:val="left"/>
              <w:textAlignment w:val="auto"/>
              <w:rPr>
                <w:rFonts w:hint="eastAsia" w:ascii="宋体" w:hAnsi="宋体" w:eastAsia="宋体" w:cs="宋体"/>
                <w:color w:val="000000" w:themeColor="text1"/>
                <w:spacing w:val="0"/>
                <w:kern w:val="2"/>
                <w:sz w:val="21"/>
                <w:szCs w:val="21"/>
                <w:lang w:val="en-US" w:eastAsia="zh-CN" w:bidi="ar-SA"/>
                <w14:textFill>
                  <w14:solidFill>
                    <w14:schemeClr w14:val="tx1"/>
                  </w14:solidFill>
                </w14:textFill>
              </w:rPr>
            </w:pPr>
            <w:r>
              <w:rPr>
                <w:rFonts w:hint="eastAsia" w:ascii="宋体" w:hAnsi="宋体" w:eastAsia="宋体" w:cs="宋体"/>
                <w:color w:val="000000" w:themeColor="text1"/>
                <w:spacing w:val="0"/>
                <w:sz w:val="21"/>
                <w:szCs w:val="21"/>
                <w14:textFill>
                  <w14:solidFill>
                    <w14:schemeClr w14:val="tx1"/>
                  </w14:solidFill>
                </w14:textFill>
              </w:rPr>
              <w:t>▲1.洗消主体和背板：由洗消槽、干燥台、柜体、背板四部分组成，洗消槽使用高分子聚甲基丙烯酸甲酯板一次压铸成型，表面平整光滑，无锋角接缝。可通过常用消毒剂戊二醛、邻苯二甲醛、过氧乙酸、酸性氧化电位水及强碱性NaOH化学试剂的耐腐蚀测试，持续浸泡≥720小时无可视变化(提供第三方检测机构出具官网可查证的耐上述化学溶液的腐蚀测试报告）</w:t>
            </w:r>
          </w:p>
        </w:tc>
      </w:tr>
      <w:tr w14:paraId="48E7D25A">
        <w:tblPrEx>
          <w:tblCellMar>
            <w:top w:w="0" w:type="dxa"/>
            <w:left w:w="108" w:type="dxa"/>
            <w:bottom w:w="0" w:type="dxa"/>
            <w:right w:w="108" w:type="dxa"/>
          </w:tblCellMar>
        </w:tblPrEx>
        <w:trPr>
          <w:trHeight w:val="0" w:hRule="atLeast"/>
          <w:jc w:val="center"/>
        </w:trPr>
        <w:tc>
          <w:tcPr>
            <w:tcW w:w="735" w:type="dxa"/>
            <w:vMerge w:val="continue"/>
            <w:tcBorders>
              <w:left w:val="single" w:color="auto" w:sz="4" w:space="0"/>
              <w:right w:val="single" w:color="auto" w:sz="4" w:space="0"/>
            </w:tcBorders>
            <w:vAlign w:val="center"/>
          </w:tcPr>
          <w:p w14:paraId="1D7C66D9">
            <w:pPr>
              <w:widowControl/>
              <w:jc w:val="left"/>
              <w:rPr>
                <w:rFonts w:ascii="宋体" w:hAnsi="宋体" w:cs="宋体"/>
                <w:color w:val="3F3F3F"/>
                <w:kern w:val="0"/>
                <w:sz w:val="20"/>
                <w:szCs w:val="20"/>
              </w:rPr>
            </w:pPr>
          </w:p>
        </w:tc>
        <w:tc>
          <w:tcPr>
            <w:tcW w:w="1200" w:type="dxa"/>
            <w:vMerge w:val="continue"/>
            <w:tcBorders>
              <w:left w:val="single" w:color="auto" w:sz="4" w:space="0"/>
              <w:right w:val="single" w:color="auto" w:sz="4" w:space="0"/>
            </w:tcBorders>
            <w:vAlign w:val="center"/>
          </w:tcPr>
          <w:p w14:paraId="75528372">
            <w:pPr>
              <w:widowControl/>
              <w:jc w:val="left"/>
              <w:rPr>
                <w:rFonts w:ascii="宋体" w:hAnsi="宋体" w:cs="宋体"/>
                <w:color w:val="3F3F3F"/>
                <w:kern w:val="0"/>
                <w:sz w:val="20"/>
                <w:szCs w:val="20"/>
              </w:rPr>
            </w:pPr>
          </w:p>
        </w:tc>
        <w:tc>
          <w:tcPr>
            <w:tcW w:w="8025" w:type="dxa"/>
            <w:tcBorders>
              <w:top w:val="single" w:color="auto" w:sz="4" w:space="0"/>
              <w:left w:val="single" w:color="auto" w:sz="4" w:space="0"/>
              <w:bottom w:val="single" w:color="auto" w:sz="4" w:space="0"/>
              <w:right w:val="single" w:color="auto" w:sz="4" w:space="0"/>
            </w:tcBorders>
            <w:shd w:val="clear" w:color="auto" w:fill="auto"/>
            <w:vAlign w:val="center"/>
          </w:tcPr>
          <w:p w14:paraId="3C51BB6A">
            <w:pPr>
              <w:keepNext w:val="0"/>
              <w:keepLines w:val="0"/>
              <w:pageBreakBefore w:val="0"/>
              <w:widowControl/>
              <w:kinsoku/>
              <w:wordWrap/>
              <w:overflowPunct/>
              <w:topLinePunct w:val="0"/>
              <w:autoSpaceDE/>
              <w:autoSpaceDN/>
              <w:bidi w:val="0"/>
              <w:adjustRightInd/>
              <w:snapToGrid/>
              <w:spacing w:beforeAutospacing="0" w:afterAutospacing="0" w:line="240" w:lineRule="auto"/>
              <w:ind w:left="0" w:leftChars="0" w:firstLine="0" w:firstLineChars="0"/>
              <w:jc w:val="left"/>
              <w:textAlignment w:val="auto"/>
              <w:rPr>
                <w:rFonts w:hint="eastAsia" w:ascii="宋体" w:hAnsi="宋体" w:eastAsia="宋体" w:cs="宋体"/>
                <w:color w:val="000000" w:themeColor="text1"/>
                <w:spacing w:val="0"/>
                <w:kern w:val="0"/>
                <w:sz w:val="21"/>
                <w:szCs w:val="21"/>
                <w:lang w:val="en-US" w:eastAsia="zh-CN" w:bidi="ar-SA"/>
                <w14:textFill>
                  <w14:solidFill>
                    <w14:schemeClr w14:val="tx1"/>
                  </w14:solidFill>
                </w14:textFill>
              </w:rPr>
            </w:pPr>
            <w:r>
              <w:rPr>
                <w:rFonts w:hint="eastAsia" w:ascii="宋体" w:hAnsi="宋体" w:eastAsia="宋体" w:cs="宋体"/>
                <w:color w:val="000000" w:themeColor="text1"/>
                <w:spacing w:val="0"/>
                <w:sz w:val="21"/>
                <w:szCs w:val="21"/>
                <w14:textFill>
                  <w14:solidFill>
                    <w14:schemeClr w14:val="tx1"/>
                  </w14:solidFill>
                </w14:textFill>
              </w:rPr>
              <w:t>▲</w:t>
            </w:r>
            <w:r>
              <w:rPr>
                <w:rFonts w:hint="eastAsia" w:ascii="宋体" w:hAnsi="宋体" w:cs="宋体"/>
                <w:color w:val="000000" w:themeColor="text1"/>
                <w:spacing w:val="0"/>
                <w:sz w:val="21"/>
                <w:szCs w:val="21"/>
                <w:lang w:val="en-US" w:eastAsia="zh-CN"/>
                <w14:textFill>
                  <w14:solidFill>
                    <w14:schemeClr w14:val="tx1"/>
                  </w14:solidFill>
                </w14:textFill>
              </w:rPr>
              <w:t>2</w:t>
            </w:r>
            <w:r>
              <w:rPr>
                <w:rFonts w:hint="eastAsia" w:ascii="宋体" w:hAnsi="宋体" w:eastAsia="宋体" w:cs="宋体"/>
                <w:color w:val="000000" w:themeColor="text1"/>
                <w:spacing w:val="0"/>
                <w:sz w:val="21"/>
                <w:szCs w:val="21"/>
                <w14:textFill>
                  <w14:solidFill>
                    <w14:schemeClr w14:val="tx1"/>
                  </w14:solidFill>
                </w14:textFill>
              </w:rPr>
              <w:t>.空气过滤器：机器内置≤0.2μm孔径高效空气过滤器，对≥0.2µm的微粒滤除率至少为99.9%，自带放水阀门。</w:t>
            </w:r>
            <w:r>
              <w:rPr>
                <w:rFonts w:hint="eastAsia" w:ascii="宋体" w:hAnsi="宋体" w:eastAsia="宋体" w:cs="宋体"/>
                <w:b/>
                <w:bCs/>
                <w:color w:val="000000" w:themeColor="text1"/>
                <w:spacing w:val="0"/>
                <w:sz w:val="21"/>
                <w:szCs w:val="21"/>
                <w:u w:val="none"/>
                <w14:textFill>
                  <w14:solidFill>
                    <w14:schemeClr w14:val="tx1"/>
                  </w14:solidFill>
                </w14:textFill>
              </w:rPr>
              <w:t>（提供符合YY/T0992-2023《内镜清洗工作站》国家标准的空气过滤器过滤效果的CMA</w:t>
            </w:r>
            <w:r>
              <w:rPr>
                <w:rFonts w:hint="eastAsia" w:ascii="宋体" w:hAnsi="宋体" w:eastAsia="宋体" w:cs="宋体"/>
                <w:b/>
                <w:bCs/>
                <w:color w:val="000000" w:themeColor="text1"/>
                <w:spacing w:val="0"/>
                <w:sz w:val="21"/>
                <w:szCs w:val="21"/>
                <w:u w:val="none"/>
                <w:lang w:eastAsia="zh-CN"/>
                <w14:textFill>
                  <w14:solidFill>
                    <w14:schemeClr w14:val="tx1"/>
                  </w14:solidFill>
                </w14:textFill>
              </w:rPr>
              <w:t>或</w:t>
            </w:r>
            <w:r>
              <w:rPr>
                <w:rFonts w:hint="eastAsia" w:ascii="宋体" w:hAnsi="宋体" w:eastAsia="宋体" w:cs="宋体"/>
                <w:b/>
                <w:bCs/>
                <w:color w:val="000000" w:themeColor="text1"/>
                <w:spacing w:val="0"/>
                <w:sz w:val="21"/>
                <w:szCs w:val="21"/>
                <w:u w:val="none"/>
                <w:lang w:val="en-US" w:eastAsia="zh-CN"/>
                <w14:textFill>
                  <w14:solidFill>
                    <w14:schemeClr w14:val="tx1"/>
                  </w14:solidFill>
                </w14:textFill>
              </w:rPr>
              <w:t>CNAS</w:t>
            </w:r>
            <w:r>
              <w:rPr>
                <w:rFonts w:hint="eastAsia" w:ascii="宋体" w:hAnsi="宋体" w:eastAsia="宋体" w:cs="宋体"/>
                <w:b/>
                <w:bCs/>
                <w:color w:val="000000" w:themeColor="text1"/>
                <w:spacing w:val="0"/>
                <w:sz w:val="21"/>
                <w:szCs w:val="21"/>
                <w:u w:val="none"/>
                <w14:textFill>
                  <w14:solidFill>
                    <w14:schemeClr w14:val="tx1"/>
                  </w14:solidFill>
                </w14:textFill>
              </w:rPr>
              <w:t>检测报告,附国家认监委官网检测报告查询截图）</w:t>
            </w:r>
            <w:r>
              <w:rPr>
                <w:rFonts w:hint="eastAsia" w:ascii="宋体" w:hAnsi="宋体" w:eastAsia="宋体" w:cs="宋体"/>
                <w:color w:val="000000" w:themeColor="text1"/>
                <w:spacing w:val="0"/>
                <w:sz w:val="21"/>
                <w:szCs w:val="21"/>
                <w:u w:val="none"/>
                <w14:textFill>
                  <w14:solidFill>
                    <w14:schemeClr w14:val="tx1"/>
                  </w14:solidFill>
                </w14:textFill>
              </w:rPr>
              <w:t>。</w:t>
            </w:r>
          </w:p>
        </w:tc>
      </w:tr>
      <w:tr w14:paraId="040C9C1B">
        <w:tblPrEx>
          <w:tblCellMar>
            <w:top w:w="0" w:type="dxa"/>
            <w:left w:w="108" w:type="dxa"/>
            <w:bottom w:w="0" w:type="dxa"/>
            <w:right w:w="108" w:type="dxa"/>
          </w:tblCellMar>
        </w:tblPrEx>
        <w:trPr>
          <w:trHeight w:val="0" w:hRule="atLeast"/>
          <w:jc w:val="center"/>
        </w:trPr>
        <w:tc>
          <w:tcPr>
            <w:tcW w:w="735" w:type="dxa"/>
            <w:vMerge w:val="continue"/>
            <w:tcBorders>
              <w:left w:val="single" w:color="auto" w:sz="4" w:space="0"/>
              <w:right w:val="single" w:color="auto" w:sz="4" w:space="0"/>
            </w:tcBorders>
            <w:vAlign w:val="center"/>
          </w:tcPr>
          <w:p w14:paraId="69D7B20F">
            <w:pPr>
              <w:widowControl/>
              <w:jc w:val="left"/>
              <w:rPr>
                <w:rFonts w:ascii="宋体" w:hAnsi="宋体" w:cs="宋体"/>
                <w:color w:val="3F3F3F"/>
                <w:kern w:val="0"/>
                <w:sz w:val="20"/>
                <w:szCs w:val="20"/>
              </w:rPr>
            </w:pPr>
          </w:p>
        </w:tc>
        <w:tc>
          <w:tcPr>
            <w:tcW w:w="1200" w:type="dxa"/>
            <w:vMerge w:val="continue"/>
            <w:tcBorders>
              <w:left w:val="single" w:color="auto" w:sz="4" w:space="0"/>
              <w:right w:val="single" w:color="auto" w:sz="4" w:space="0"/>
            </w:tcBorders>
            <w:vAlign w:val="center"/>
          </w:tcPr>
          <w:p w14:paraId="6EBF5F1B">
            <w:pPr>
              <w:widowControl/>
              <w:jc w:val="left"/>
              <w:rPr>
                <w:rFonts w:ascii="宋体" w:hAnsi="宋体" w:cs="宋体"/>
                <w:color w:val="3F3F3F"/>
                <w:kern w:val="0"/>
                <w:sz w:val="20"/>
                <w:szCs w:val="20"/>
              </w:rPr>
            </w:pPr>
          </w:p>
        </w:tc>
        <w:tc>
          <w:tcPr>
            <w:tcW w:w="8025" w:type="dxa"/>
            <w:tcBorders>
              <w:top w:val="single" w:color="auto" w:sz="4" w:space="0"/>
              <w:left w:val="single" w:color="auto" w:sz="4" w:space="0"/>
              <w:bottom w:val="single" w:color="auto" w:sz="4" w:space="0"/>
              <w:right w:val="single" w:color="auto" w:sz="4" w:space="0"/>
            </w:tcBorders>
            <w:shd w:val="clear" w:color="auto" w:fill="auto"/>
            <w:vAlign w:val="center"/>
          </w:tcPr>
          <w:p w14:paraId="6A8D1200">
            <w:pPr>
              <w:keepNext w:val="0"/>
              <w:keepLines w:val="0"/>
              <w:pageBreakBefore w:val="0"/>
              <w:widowControl/>
              <w:kinsoku/>
              <w:wordWrap/>
              <w:overflowPunct/>
              <w:topLinePunct w:val="0"/>
              <w:autoSpaceDE/>
              <w:autoSpaceDN/>
              <w:bidi w:val="0"/>
              <w:adjustRightInd/>
              <w:snapToGrid/>
              <w:spacing w:beforeAutospacing="0" w:afterAutospacing="0" w:line="240" w:lineRule="auto"/>
              <w:ind w:left="0" w:leftChars="0" w:firstLine="0" w:firstLineChars="0"/>
              <w:jc w:val="left"/>
              <w:textAlignment w:val="auto"/>
              <w:rPr>
                <w:rFonts w:hint="eastAsia" w:ascii="宋体" w:hAnsi="宋体" w:eastAsia="宋体" w:cs="宋体"/>
                <w:color w:val="000000" w:themeColor="text1"/>
                <w:spacing w:val="0"/>
                <w:kern w:val="0"/>
                <w:sz w:val="21"/>
                <w:szCs w:val="21"/>
                <w:lang w:val="en-US" w:eastAsia="zh-CN" w:bidi="ar-SA"/>
                <w14:textFill>
                  <w14:solidFill>
                    <w14:schemeClr w14:val="tx1"/>
                  </w14:solidFill>
                </w14:textFill>
              </w:rPr>
            </w:pPr>
            <w:r>
              <w:rPr>
                <w:rFonts w:hint="eastAsia" w:ascii="宋体" w:hAnsi="宋体" w:eastAsia="宋体" w:cs="宋体"/>
                <w:color w:val="000000" w:themeColor="text1"/>
                <w:spacing w:val="0"/>
                <w:sz w:val="21"/>
                <w:szCs w:val="21"/>
                <w14:textFill>
                  <w14:solidFill>
                    <w14:schemeClr w14:val="tx1"/>
                  </w14:solidFill>
                </w14:textFill>
              </w:rPr>
              <w:t>▲</w:t>
            </w:r>
            <w:r>
              <w:rPr>
                <w:rFonts w:hint="eastAsia" w:ascii="宋体" w:hAnsi="宋体" w:cs="宋体"/>
                <w:color w:val="000000" w:themeColor="text1"/>
                <w:spacing w:val="0"/>
                <w:sz w:val="21"/>
                <w:szCs w:val="21"/>
                <w:lang w:val="en-US" w:eastAsia="zh-CN"/>
                <w14:textFill>
                  <w14:solidFill>
                    <w14:schemeClr w14:val="tx1"/>
                  </w14:solidFill>
                </w14:textFill>
              </w:rPr>
              <w:t>3</w:t>
            </w:r>
            <w:r>
              <w:rPr>
                <w:rFonts w:hint="eastAsia" w:ascii="宋体" w:hAnsi="宋体" w:eastAsia="宋体" w:cs="宋体"/>
                <w:color w:val="000000" w:themeColor="text1"/>
                <w:spacing w:val="0"/>
                <w:sz w:val="21"/>
                <w:szCs w:val="21"/>
                <w14:textFill>
                  <w14:solidFill>
                    <w14:schemeClr w14:val="tx1"/>
                  </w14:solidFill>
                </w14:textFill>
              </w:rPr>
              <w:t>.水质处理器：采用ABS材质≥10英寸双筒过滤器，</w:t>
            </w:r>
            <w:r>
              <w:rPr>
                <w:rFonts w:hint="eastAsia" w:ascii="宋体" w:hAnsi="宋体" w:eastAsia="宋体" w:cs="宋体"/>
                <w:color w:val="000000" w:themeColor="text1"/>
                <w:spacing w:val="0"/>
                <w:sz w:val="21"/>
                <w:szCs w:val="21"/>
                <w:lang w:val="en-US" w:eastAsia="zh-CN"/>
                <w14:textFill>
                  <w14:solidFill>
                    <w14:schemeClr w14:val="tx1"/>
                  </w14:solidFill>
                </w14:textFill>
              </w:rPr>
              <w:t>2个</w:t>
            </w:r>
            <w:r>
              <w:rPr>
                <w:rFonts w:hint="eastAsia" w:ascii="宋体" w:hAnsi="宋体" w:eastAsia="宋体" w:cs="宋体"/>
                <w:color w:val="000000" w:themeColor="text1"/>
                <w:spacing w:val="0"/>
                <w:sz w:val="21"/>
                <w:szCs w:val="21"/>
                <w14:textFill>
                  <w14:solidFill>
                    <w14:schemeClr w14:val="tx1"/>
                  </w14:solidFill>
                </w14:textFill>
              </w:rPr>
              <w:t>过滤桶一次注塑成型，中间无管件连接，过滤器配蓝色银离子抗菌滤芯，可去除水中的杂质，抑制细菌。</w:t>
            </w:r>
            <w:r>
              <w:rPr>
                <w:rFonts w:hint="eastAsia" w:ascii="宋体" w:hAnsi="宋体" w:eastAsia="宋体" w:cs="宋体"/>
                <w:b/>
                <w:bCs/>
                <w:color w:val="000000" w:themeColor="text1"/>
                <w:spacing w:val="0"/>
                <w:sz w:val="21"/>
                <w:szCs w:val="21"/>
                <w:u w:val="none"/>
                <w14:textFill>
                  <w14:solidFill>
                    <w14:schemeClr w14:val="tx1"/>
                  </w14:solidFill>
                </w14:textFill>
              </w:rPr>
              <w:t>（提供银离子滤芯第三方检测机构出具官网可查证的抑菌测试报告）</w:t>
            </w:r>
          </w:p>
        </w:tc>
      </w:tr>
      <w:tr w14:paraId="63592671">
        <w:tblPrEx>
          <w:tblCellMar>
            <w:top w:w="0" w:type="dxa"/>
            <w:left w:w="108" w:type="dxa"/>
            <w:bottom w:w="0" w:type="dxa"/>
            <w:right w:w="108" w:type="dxa"/>
          </w:tblCellMar>
        </w:tblPrEx>
        <w:trPr>
          <w:trHeight w:val="0" w:hRule="atLeast"/>
          <w:jc w:val="center"/>
        </w:trPr>
        <w:tc>
          <w:tcPr>
            <w:tcW w:w="735" w:type="dxa"/>
            <w:vMerge w:val="continue"/>
            <w:tcBorders>
              <w:left w:val="single" w:color="auto" w:sz="4" w:space="0"/>
              <w:right w:val="single" w:color="auto" w:sz="4" w:space="0"/>
            </w:tcBorders>
            <w:vAlign w:val="center"/>
          </w:tcPr>
          <w:p w14:paraId="5268B375">
            <w:pPr>
              <w:widowControl/>
              <w:jc w:val="left"/>
              <w:rPr>
                <w:rFonts w:ascii="宋体" w:hAnsi="宋体" w:cs="宋体"/>
                <w:color w:val="3F3F3F"/>
                <w:kern w:val="0"/>
                <w:sz w:val="20"/>
                <w:szCs w:val="20"/>
              </w:rPr>
            </w:pPr>
          </w:p>
        </w:tc>
        <w:tc>
          <w:tcPr>
            <w:tcW w:w="1200" w:type="dxa"/>
            <w:vMerge w:val="continue"/>
            <w:tcBorders>
              <w:left w:val="single" w:color="auto" w:sz="4" w:space="0"/>
              <w:right w:val="single" w:color="auto" w:sz="4" w:space="0"/>
            </w:tcBorders>
            <w:vAlign w:val="center"/>
          </w:tcPr>
          <w:p w14:paraId="5C44F05D">
            <w:pPr>
              <w:widowControl/>
              <w:jc w:val="left"/>
              <w:rPr>
                <w:rFonts w:ascii="宋体" w:hAnsi="宋体" w:cs="宋体"/>
                <w:color w:val="3F3F3F"/>
                <w:kern w:val="0"/>
                <w:sz w:val="20"/>
                <w:szCs w:val="20"/>
              </w:rPr>
            </w:pPr>
          </w:p>
        </w:tc>
        <w:tc>
          <w:tcPr>
            <w:tcW w:w="8025" w:type="dxa"/>
            <w:tcBorders>
              <w:top w:val="single" w:color="auto" w:sz="4" w:space="0"/>
              <w:left w:val="single" w:color="auto" w:sz="4" w:space="0"/>
              <w:bottom w:val="single" w:color="auto" w:sz="4" w:space="0"/>
              <w:right w:val="single" w:color="auto" w:sz="4" w:space="0"/>
            </w:tcBorders>
            <w:shd w:val="clear" w:color="auto" w:fill="auto"/>
            <w:vAlign w:val="center"/>
          </w:tcPr>
          <w:p w14:paraId="2A3216B6">
            <w:pPr>
              <w:keepNext w:val="0"/>
              <w:keepLines w:val="0"/>
              <w:pageBreakBefore w:val="0"/>
              <w:widowControl/>
              <w:kinsoku/>
              <w:wordWrap/>
              <w:overflowPunct/>
              <w:topLinePunct w:val="0"/>
              <w:autoSpaceDE/>
              <w:autoSpaceDN/>
              <w:bidi w:val="0"/>
              <w:adjustRightInd/>
              <w:snapToGrid/>
              <w:spacing w:beforeAutospacing="0" w:afterAutospacing="0" w:line="240" w:lineRule="auto"/>
              <w:ind w:left="0" w:leftChars="0" w:firstLine="0" w:firstLineChars="0"/>
              <w:jc w:val="left"/>
              <w:textAlignment w:val="auto"/>
              <w:rPr>
                <w:rFonts w:hint="eastAsia" w:ascii="宋体" w:hAnsi="宋体" w:eastAsia="宋体" w:cs="宋体"/>
                <w:color w:val="000000" w:themeColor="text1"/>
                <w:spacing w:val="0"/>
                <w:kern w:val="0"/>
                <w:sz w:val="21"/>
                <w:szCs w:val="21"/>
                <w:lang w:val="en-US" w:eastAsia="zh-CN" w:bidi="ar-SA"/>
                <w14:textFill>
                  <w14:solidFill>
                    <w14:schemeClr w14:val="tx1"/>
                  </w14:solidFill>
                </w14:textFill>
              </w:rPr>
            </w:pPr>
            <w:r>
              <w:rPr>
                <w:rFonts w:hint="eastAsia" w:ascii="宋体" w:hAnsi="宋体" w:cs="宋体"/>
                <w:color w:val="000000" w:themeColor="text1"/>
                <w:spacing w:val="0"/>
                <w:sz w:val="21"/>
                <w:szCs w:val="21"/>
                <w:lang w:val="en-US" w:eastAsia="zh-CN"/>
                <w14:textFill>
                  <w14:solidFill>
                    <w14:schemeClr w14:val="tx1"/>
                  </w14:solidFill>
                </w14:textFill>
              </w:rPr>
              <w:t>4</w:t>
            </w:r>
            <w:r>
              <w:rPr>
                <w:rFonts w:hint="eastAsia" w:ascii="宋体" w:hAnsi="宋体" w:eastAsia="宋体" w:cs="宋体"/>
                <w:color w:val="000000" w:themeColor="text1"/>
                <w:spacing w:val="0"/>
                <w:sz w:val="21"/>
                <w:szCs w:val="21"/>
                <w14:textFill>
                  <w14:solidFill>
                    <w14:schemeClr w14:val="tx1"/>
                  </w14:solidFill>
                </w14:textFill>
              </w:rPr>
              <w:t>.内镜清洗槽设计规格：双槽规格：（软镜）≦1100mm×750mm干燥台规格：≦1800mm×750mm。超声台≦750mm×750mm</w:t>
            </w:r>
          </w:p>
        </w:tc>
      </w:tr>
      <w:tr w14:paraId="3F366B42">
        <w:tblPrEx>
          <w:tblCellMar>
            <w:top w:w="0" w:type="dxa"/>
            <w:left w:w="108" w:type="dxa"/>
            <w:bottom w:w="0" w:type="dxa"/>
            <w:right w:w="108" w:type="dxa"/>
          </w:tblCellMar>
        </w:tblPrEx>
        <w:trPr>
          <w:trHeight w:val="0" w:hRule="atLeast"/>
          <w:jc w:val="center"/>
        </w:trPr>
        <w:tc>
          <w:tcPr>
            <w:tcW w:w="735" w:type="dxa"/>
            <w:vMerge w:val="continue"/>
            <w:tcBorders>
              <w:left w:val="single" w:color="auto" w:sz="4" w:space="0"/>
              <w:right w:val="single" w:color="auto" w:sz="4" w:space="0"/>
            </w:tcBorders>
            <w:vAlign w:val="center"/>
          </w:tcPr>
          <w:p w14:paraId="59B6A163">
            <w:pPr>
              <w:widowControl/>
              <w:jc w:val="left"/>
              <w:rPr>
                <w:rFonts w:ascii="宋体" w:hAnsi="宋体" w:cs="宋体"/>
                <w:color w:val="3F3F3F"/>
                <w:kern w:val="0"/>
                <w:sz w:val="20"/>
                <w:szCs w:val="20"/>
              </w:rPr>
            </w:pPr>
          </w:p>
        </w:tc>
        <w:tc>
          <w:tcPr>
            <w:tcW w:w="1200" w:type="dxa"/>
            <w:vMerge w:val="continue"/>
            <w:tcBorders>
              <w:left w:val="single" w:color="auto" w:sz="4" w:space="0"/>
              <w:right w:val="single" w:color="auto" w:sz="4" w:space="0"/>
            </w:tcBorders>
            <w:vAlign w:val="center"/>
          </w:tcPr>
          <w:p w14:paraId="68B88807">
            <w:pPr>
              <w:widowControl/>
              <w:jc w:val="left"/>
              <w:rPr>
                <w:rFonts w:ascii="宋体" w:hAnsi="宋体" w:cs="宋体"/>
                <w:color w:val="3F3F3F"/>
                <w:kern w:val="0"/>
                <w:sz w:val="20"/>
                <w:szCs w:val="20"/>
              </w:rPr>
            </w:pPr>
          </w:p>
        </w:tc>
        <w:tc>
          <w:tcPr>
            <w:tcW w:w="8025" w:type="dxa"/>
            <w:tcBorders>
              <w:top w:val="single" w:color="auto" w:sz="4" w:space="0"/>
              <w:left w:val="single" w:color="auto" w:sz="4" w:space="0"/>
              <w:bottom w:val="single" w:color="auto" w:sz="4" w:space="0"/>
              <w:right w:val="single" w:color="auto" w:sz="4" w:space="0"/>
            </w:tcBorders>
            <w:shd w:val="clear" w:color="auto" w:fill="auto"/>
            <w:vAlign w:val="center"/>
          </w:tcPr>
          <w:p w14:paraId="3B383876">
            <w:pPr>
              <w:keepNext w:val="0"/>
              <w:keepLines w:val="0"/>
              <w:pageBreakBefore w:val="0"/>
              <w:widowControl/>
              <w:kinsoku/>
              <w:wordWrap/>
              <w:overflowPunct/>
              <w:topLinePunct w:val="0"/>
              <w:autoSpaceDE/>
              <w:autoSpaceDN/>
              <w:bidi w:val="0"/>
              <w:adjustRightInd/>
              <w:snapToGrid/>
              <w:spacing w:beforeAutospacing="0" w:afterAutospacing="0" w:line="240" w:lineRule="auto"/>
              <w:ind w:left="0" w:leftChars="0" w:firstLine="0" w:firstLineChars="0"/>
              <w:jc w:val="left"/>
              <w:textAlignment w:val="auto"/>
              <w:rPr>
                <w:rFonts w:hint="eastAsia" w:ascii="宋体" w:hAnsi="宋体" w:eastAsia="宋体" w:cs="宋体"/>
                <w:color w:val="000000" w:themeColor="text1"/>
                <w:spacing w:val="0"/>
                <w:kern w:val="0"/>
                <w:sz w:val="21"/>
                <w:szCs w:val="21"/>
                <w:lang w:val="en-US" w:eastAsia="zh-CN" w:bidi="ar-SA"/>
                <w14:textFill>
                  <w14:solidFill>
                    <w14:schemeClr w14:val="tx1"/>
                  </w14:solidFill>
                </w14:textFill>
              </w:rPr>
            </w:pPr>
            <w:r>
              <w:rPr>
                <w:rFonts w:hint="eastAsia" w:ascii="宋体" w:hAnsi="宋体" w:cs="宋体"/>
                <w:color w:val="000000" w:themeColor="text1"/>
                <w:spacing w:val="0"/>
                <w:sz w:val="21"/>
                <w:szCs w:val="21"/>
                <w:lang w:val="en-US" w:eastAsia="zh-CN"/>
                <w14:textFill>
                  <w14:solidFill>
                    <w14:schemeClr w14:val="tx1"/>
                  </w14:solidFill>
                </w14:textFill>
              </w:rPr>
              <w:t>5</w:t>
            </w:r>
            <w:r>
              <w:rPr>
                <w:rFonts w:hint="eastAsia" w:ascii="宋体" w:hAnsi="宋体" w:eastAsia="宋体" w:cs="宋体"/>
                <w:color w:val="000000" w:themeColor="text1"/>
                <w:spacing w:val="0"/>
                <w:sz w:val="21"/>
                <w:szCs w:val="21"/>
                <w14:textFill>
                  <w14:solidFill>
                    <w14:schemeClr w14:val="tx1"/>
                  </w14:solidFill>
                </w14:textFill>
              </w:rPr>
              <w:t>.清洗消毒槽柜体：柜体框架 SUS304 不锈钢材质，底部放置PVC底板，可防止因潮湿而引起的变形现象发生。柜门采用彩色钢化玻璃。</w:t>
            </w:r>
          </w:p>
        </w:tc>
      </w:tr>
      <w:tr w14:paraId="0325B722">
        <w:tblPrEx>
          <w:tblCellMar>
            <w:top w:w="0" w:type="dxa"/>
            <w:left w:w="108" w:type="dxa"/>
            <w:bottom w:w="0" w:type="dxa"/>
            <w:right w:w="108" w:type="dxa"/>
          </w:tblCellMar>
        </w:tblPrEx>
        <w:trPr>
          <w:trHeight w:val="0" w:hRule="atLeast"/>
          <w:jc w:val="center"/>
        </w:trPr>
        <w:tc>
          <w:tcPr>
            <w:tcW w:w="735" w:type="dxa"/>
            <w:vMerge w:val="continue"/>
            <w:tcBorders>
              <w:left w:val="single" w:color="auto" w:sz="4" w:space="0"/>
              <w:right w:val="single" w:color="auto" w:sz="4" w:space="0"/>
            </w:tcBorders>
            <w:vAlign w:val="center"/>
          </w:tcPr>
          <w:p w14:paraId="66990FB4">
            <w:pPr>
              <w:widowControl/>
              <w:jc w:val="left"/>
              <w:rPr>
                <w:rFonts w:ascii="宋体" w:hAnsi="宋体" w:cs="宋体"/>
                <w:color w:val="3F3F3F"/>
                <w:kern w:val="0"/>
                <w:sz w:val="20"/>
                <w:szCs w:val="20"/>
              </w:rPr>
            </w:pPr>
          </w:p>
        </w:tc>
        <w:tc>
          <w:tcPr>
            <w:tcW w:w="1200" w:type="dxa"/>
            <w:vMerge w:val="continue"/>
            <w:tcBorders>
              <w:left w:val="single" w:color="auto" w:sz="4" w:space="0"/>
              <w:right w:val="single" w:color="auto" w:sz="4" w:space="0"/>
            </w:tcBorders>
            <w:vAlign w:val="center"/>
          </w:tcPr>
          <w:p w14:paraId="733298FC">
            <w:pPr>
              <w:widowControl/>
              <w:jc w:val="left"/>
              <w:rPr>
                <w:rFonts w:ascii="宋体" w:hAnsi="宋体" w:cs="宋体"/>
                <w:color w:val="3F3F3F"/>
                <w:kern w:val="0"/>
                <w:sz w:val="20"/>
                <w:szCs w:val="20"/>
              </w:rPr>
            </w:pPr>
          </w:p>
        </w:tc>
        <w:tc>
          <w:tcPr>
            <w:tcW w:w="8025" w:type="dxa"/>
            <w:tcBorders>
              <w:top w:val="single" w:color="auto" w:sz="4" w:space="0"/>
              <w:left w:val="single" w:color="auto" w:sz="4" w:space="0"/>
              <w:bottom w:val="single" w:color="auto" w:sz="4" w:space="0"/>
              <w:right w:val="single" w:color="auto" w:sz="4" w:space="0"/>
            </w:tcBorders>
            <w:shd w:val="clear" w:color="auto" w:fill="auto"/>
            <w:vAlign w:val="center"/>
          </w:tcPr>
          <w:p w14:paraId="09013D36">
            <w:pPr>
              <w:keepNext w:val="0"/>
              <w:keepLines w:val="0"/>
              <w:pageBreakBefore w:val="0"/>
              <w:widowControl/>
              <w:kinsoku/>
              <w:wordWrap/>
              <w:overflowPunct/>
              <w:topLinePunct w:val="0"/>
              <w:autoSpaceDE/>
              <w:autoSpaceDN/>
              <w:bidi w:val="0"/>
              <w:adjustRightInd/>
              <w:snapToGrid/>
              <w:spacing w:beforeAutospacing="0" w:afterAutospacing="0" w:line="240" w:lineRule="auto"/>
              <w:ind w:left="0" w:leftChars="0" w:firstLine="0" w:firstLineChars="0"/>
              <w:jc w:val="left"/>
              <w:textAlignment w:val="auto"/>
              <w:rPr>
                <w:rFonts w:hint="eastAsia" w:ascii="宋体" w:hAnsi="宋体" w:eastAsia="宋体" w:cs="宋体"/>
                <w:color w:val="000000" w:themeColor="text1"/>
                <w:spacing w:val="0"/>
                <w:kern w:val="0"/>
                <w:sz w:val="21"/>
                <w:szCs w:val="21"/>
                <w:lang w:val="en-US" w:eastAsia="zh-CN" w:bidi="ar-SA"/>
                <w14:textFill>
                  <w14:solidFill>
                    <w14:schemeClr w14:val="tx1"/>
                  </w14:solidFill>
                </w14:textFill>
              </w:rPr>
            </w:pPr>
            <w:r>
              <w:rPr>
                <w:rFonts w:hint="eastAsia" w:ascii="宋体" w:hAnsi="宋体" w:cs="宋体"/>
                <w:color w:val="000000" w:themeColor="text1"/>
                <w:spacing w:val="0"/>
                <w:sz w:val="21"/>
                <w:szCs w:val="21"/>
                <w:lang w:val="en-US" w:eastAsia="zh-CN"/>
                <w14:textFill>
                  <w14:solidFill>
                    <w14:schemeClr w14:val="tx1"/>
                  </w14:solidFill>
                </w14:textFill>
              </w:rPr>
              <w:t>6</w:t>
            </w:r>
            <w:r>
              <w:rPr>
                <w:rFonts w:hint="eastAsia" w:ascii="宋体" w:hAnsi="宋体" w:eastAsia="宋体" w:cs="宋体"/>
                <w:color w:val="000000" w:themeColor="text1"/>
                <w:spacing w:val="0"/>
                <w:sz w:val="21"/>
                <w:szCs w:val="21"/>
                <w14:textFill>
                  <w14:solidFill>
                    <w14:schemeClr w14:val="tx1"/>
                  </w14:solidFill>
                </w14:textFill>
              </w:rPr>
              <w:t>.高压气枪：枪体用聚丙烯塑料材质注塑成型，具备压力调节阀门，可根据使用需求调整气压。</w:t>
            </w:r>
          </w:p>
        </w:tc>
      </w:tr>
      <w:tr w14:paraId="07413491">
        <w:tblPrEx>
          <w:tblCellMar>
            <w:top w:w="0" w:type="dxa"/>
            <w:left w:w="108" w:type="dxa"/>
            <w:bottom w:w="0" w:type="dxa"/>
            <w:right w:w="108" w:type="dxa"/>
          </w:tblCellMar>
        </w:tblPrEx>
        <w:trPr>
          <w:trHeight w:val="0" w:hRule="atLeast"/>
          <w:jc w:val="center"/>
        </w:trPr>
        <w:tc>
          <w:tcPr>
            <w:tcW w:w="735" w:type="dxa"/>
            <w:vMerge w:val="continue"/>
            <w:tcBorders>
              <w:left w:val="single" w:color="auto" w:sz="4" w:space="0"/>
              <w:right w:val="single" w:color="auto" w:sz="4" w:space="0"/>
            </w:tcBorders>
            <w:vAlign w:val="center"/>
          </w:tcPr>
          <w:p w14:paraId="2A603C96">
            <w:pPr>
              <w:widowControl/>
              <w:jc w:val="left"/>
              <w:rPr>
                <w:rFonts w:ascii="宋体" w:hAnsi="宋体" w:cs="宋体"/>
                <w:color w:val="3F3F3F"/>
                <w:kern w:val="0"/>
                <w:sz w:val="20"/>
                <w:szCs w:val="20"/>
              </w:rPr>
            </w:pPr>
          </w:p>
        </w:tc>
        <w:tc>
          <w:tcPr>
            <w:tcW w:w="1200" w:type="dxa"/>
            <w:vMerge w:val="continue"/>
            <w:tcBorders>
              <w:left w:val="single" w:color="auto" w:sz="4" w:space="0"/>
              <w:right w:val="single" w:color="auto" w:sz="4" w:space="0"/>
            </w:tcBorders>
            <w:vAlign w:val="center"/>
          </w:tcPr>
          <w:p w14:paraId="26316A0E">
            <w:pPr>
              <w:widowControl/>
              <w:jc w:val="left"/>
              <w:rPr>
                <w:rFonts w:ascii="宋体" w:hAnsi="宋体" w:cs="宋体"/>
                <w:color w:val="3F3F3F"/>
                <w:kern w:val="0"/>
                <w:sz w:val="20"/>
                <w:szCs w:val="20"/>
              </w:rPr>
            </w:pPr>
          </w:p>
        </w:tc>
        <w:tc>
          <w:tcPr>
            <w:tcW w:w="8025" w:type="dxa"/>
            <w:tcBorders>
              <w:top w:val="single" w:color="auto" w:sz="4" w:space="0"/>
              <w:left w:val="single" w:color="auto" w:sz="4" w:space="0"/>
              <w:bottom w:val="single" w:color="auto" w:sz="4" w:space="0"/>
              <w:right w:val="single" w:color="auto" w:sz="4" w:space="0"/>
            </w:tcBorders>
            <w:shd w:val="clear" w:color="auto" w:fill="auto"/>
            <w:vAlign w:val="center"/>
          </w:tcPr>
          <w:p w14:paraId="0A10F476">
            <w:pPr>
              <w:keepNext w:val="0"/>
              <w:keepLines w:val="0"/>
              <w:pageBreakBefore w:val="0"/>
              <w:widowControl/>
              <w:kinsoku/>
              <w:wordWrap/>
              <w:overflowPunct/>
              <w:topLinePunct w:val="0"/>
              <w:autoSpaceDE/>
              <w:autoSpaceDN/>
              <w:bidi w:val="0"/>
              <w:adjustRightInd/>
              <w:snapToGrid/>
              <w:spacing w:beforeAutospacing="0" w:afterAutospacing="0" w:line="240" w:lineRule="auto"/>
              <w:ind w:left="0" w:leftChars="0" w:firstLine="0" w:firstLineChars="0"/>
              <w:jc w:val="left"/>
              <w:textAlignment w:val="auto"/>
              <w:rPr>
                <w:rFonts w:hint="eastAsia" w:ascii="宋体" w:hAnsi="宋体" w:eastAsia="宋体" w:cs="宋体"/>
                <w:color w:val="000000" w:themeColor="text1"/>
                <w:spacing w:val="0"/>
                <w:kern w:val="0"/>
                <w:sz w:val="21"/>
                <w:szCs w:val="21"/>
                <w:lang w:val="en-US" w:eastAsia="zh-CN" w:bidi="ar-SA"/>
                <w14:textFill>
                  <w14:solidFill>
                    <w14:schemeClr w14:val="tx1"/>
                  </w14:solidFill>
                </w14:textFill>
              </w:rPr>
            </w:pPr>
            <w:r>
              <w:rPr>
                <w:rFonts w:hint="eastAsia" w:ascii="宋体" w:hAnsi="宋体" w:cs="宋体"/>
                <w:color w:val="000000" w:themeColor="text1"/>
                <w:spacing w:val="0"/>
                <w:sz w:val="21"/>
                <w:szCs w:val="21"/>
                <w:lang w:val="en-US" w:eastAsia="zh-CN"/>
                <w14:textFill>
                  <w14:solidFill>
                    <w14:schemeClr w14:val="tx1"/>
                  </w14:solidFill>
                </w14:textFill>
              </w:rPr>
              <w:t>7</w:t>
            </w:r>
            <w:r>
              <w:rPr>
                <w:rFonts w:hint="eastAsia" w:ascii="宋体" w:hAnsi="宋体" w:eastAsia="宋体" w:cs="宋体"/>
                <w:color w:val="000000" w:themeColor="text1"/>
                <w:spacing w:val="0"/>
                <w:sz w:val="21"/>
                <w:szCs w:val="21"/>
                <w14:textFill>
                  <w14:solidFill>
                    <w14:schemeClr w14:val="tx1"/>
                  </w14:solidFill>
                </w14:textFill>
              </w:rPr>
              <w:t>.不锈钢专用水龙头：主体USU304不锈钢材质，旋转式设计，表面镀烙防锈处理。</w:t>
            </w:r>
          </w:p>
        </w:tc>
      </w:tr>
      <w:tr w14:paraId="1B0A65E9">
        <w:tblPrEx>
          <w:tblCellMar>
            <w:top w:w="0" w:type="dxa"/>
            <w:left w:w="108" w:type="dxa"/>
            <w:bottom w:w="0" w:type="dxa"/>
            <w:right w:w="108" w:type="dxa"/>
          </w:tblCellMar>
        </w:tblPrEx>
        <w:trPr>
          <w:trHeight w:val="0" w:hRule="atLeast"/>
          <w:jc w:val="center"/>
        </w:trPr>
        <w:tc>
          <w:tcPr>
            <w:tcW w:w="735" w:type="dxa"/>
            <w:vMerge w:val="continue"/>
            <w:tcBorders>
              <w:left w:val="single" w:color="auto" w:sz="4" w:space="0"/>
              <w:right w:val="single" w:color="auto" w:sz="4" w:space="0"/>
            </w:tcBorders>
            <w:shd w:val="clear" w:color="000000" w:fill="FFFFFF"/>
            <w:vAlign w:val="center"/>
          </w:tcPr>
          <w:p w14:paraId="45BFCEB1">
            <w:pPr>
              <w:widowControl/>
              <w:jc w:val="left"/>
              <w:rPr>
                <w:rFonts w:ascii="宋体" w:hAnsi="宋体" w:cs="宋体"/>
                <w:b/>
                <w:bCs/>
                <w:color w:val="3F3F3F"/>
                <w:kern w:val="0"/>
                <w:sz w:val="22"/>
              </w:rPr>
            </w:pPr>
          </w:p>
        </w:tc>
        <w:tc>
          <w:tcPr>
            <w:tcW w:w="1200" w:type="dxa"/>
            <w:vMerge w:val="continue"/>
            <w:tcBorders>
              <w:left w:val="single" w:color="auto" w:sz="4" w:space="0"/>
              <w:right w:val="single" w:color="auto" w:sz="4" w:space="0"/>
            </w:tcBorders>
            <w:shd w:val="clear" w:color="000000" w:fill="FFFFFF"/>
            <w:vAlign w:val="center"/>
          </w:tcPr>
          <w:p w14:paraId="7A2DE3A2">
            <w:pPr>
              <w:widowControl/>
              <w:rPr>
                <w:rFonts w:ascii="宋体" w:hAnsi="宋体" w:cs="宋体"/>
                <w:b/>
                <w:bCs/>
                <w:color w:val="3F3F3F"/>
                <w:kern w:val="0"/>
                <w:sz w:val="22"/>
              </w:rPr>
            </w:pPr>
          </w:p>
        </w:tc>
        <w:tc>
          <w:tcPr>
            <w:tcW w:w="8025" w:type="dxa"/>
            <w:tcBorders>
              <w:top w:val="single" w:color="auto" w:sz="4" w:space="0"/>
              <w:left w:val="single" w:color="auto" w:sz="4" w:space="0"/>
              <w:bottom w:val="single" w:color="auto" w:sz="4" w:space="0"/>
              <w:right w:val="single" w:color="auto" w:sz="4" w:space="0"/>
            </w:tcBorders>
            <w:shd w:val="clear" w:color="auto" w:fill="auto"/>
            <w:vAlign w:val="center"/>
          </w:tcPr>
          <w:p w14:paraId="6BF69101">
            <w:pPr>
              <w:keepNext w:val="0"/>
              <w:keepLines w:val="0"/>
              <w:pageBreakBefore w:val="0"/>
              <w:widowControl/>
              <w:kinsoku/>
              <w:wordWrap/>
              <w:overflowPunct/>
              <w:topLinePunct w:val="0"/>
              <w:autoSpaceDE/>
              <w:autoSpaceDN/>
              <w:bidi w:val="0"/>
              <w:adjustRightInd/>
              <w:snapToGrid/>
              <w:spacing w:beforeAutospacing="0" w:afterAutospacing="0" w:line="240" w:lineRule="auto"/>
              <w:ind w:left="0" w:leftChars="0" w:firstLine="0" w:firstLineChars="0"/>
              <w:jc w:val="left"/>
              <w:textAlignment w:val="auto"/>
              <w:rPr>
                <w:rFonts w:hint="eastAsia" w:ascii="宋体" w:hAnsi="宋体" w:eastAsia="宋体" w:cs="宋体"/>
                <w:color w:val="000000" w:themeColor="text1"/>
                <w:spacing w:val="0"/>
                <w:kern w:val="2"/>
                <w:sz w:val="21"/>
                <w:szCs w:val="21"/>
                <w:lang w:val="en-US" w:eastAsia="zh-CN" w:bidi="ar-SA"/>
                <w14:textFill>
                  <w14:solidFill>
                    <w14:schemeClr w14:val="tx1"/>
                  </w14:solidFill>
                </w14:textFill>
              </w:rPr>
            </w:pPr>
            <w:r>
              <w:rPr>
                <w:rFonts w:hint="eastAsia" w:ascii="宋体" w:hAnsi="宋体" w:cs="宋体"/>
                <w:color w:val="000000" w:themeColor="text1"/>
                <w:spacing w:val="0"/>
                <w:sz w:val="21"/>
                <w:szCs w:val="21"/>
                <w:lang w:val="en-US" w:eastAsia="zh-CN"/>
                <w14:textFill>
                  <w14:solidFill>
                    <w14:schemeClr w14:val="tx1"/>
                  </w14:solidFill>
                </w14:textFill>
              </w:rPr>
              <w:t>8</w:t>
            </w:r>
            <w:r>
              <w:rPr>
                <w:rFonts w:hint="eastAsia" w:ascii="宋体" w:hAnsi="宋体" w:eastAsia="宋体" w:cs="宋体"/>
                <w:color w:val="000000" w:themeColor="text1"/>
                <w:spacing w:val="0"/>
                <w:sz w:val="21"/>
                <w:szCs w:val="21"/>
                <w14:textFill>
                  <w14:solidFill>
                    <w14:schemeClr w14:val="tx1"/>
                  </w14:solidFill>
                </w14:textFill>
              </w:rPr>
              <w:t>.酶液/消毒液管道循环灌流装置为非外挂式，主机与控制部分分离设计。平板玻璃触摸开关，蓝色液晶显示屏，可分别控制注液与注气。注液时间可控范围≦99分钟，注气时间可控范围≧99秒,灌液途中或注液完毕可进行注气或单独注气、注液。</w:t>
            </w:r>
          </w:p>
        </w:tc>
      </w:tr>
      <w:tr w14:paraId="6F39FE8C">
        <w:tblPrEx>
          <w:tblCellMar>
            <w:top w:w="0" w:type="dxa"/>
            <w:left w:w="108" w:type="dxa"/>
            <w:bottom w:w="0" w:type="dxa"/>
            <w:right w:w="108" w:type="dxa"/>
          </w:tblCellMar>
        </w:tblPrEx>
        <w:trPr>
          <w:trHeight w:val="0" w:hRule="atLeast"/>
          <w:jc w:val="center"/>
        </w:trPr>
        <w:tc>
          <w:tcPr>
            <w:tcW w:w="735" w:type="dxa"/>
            <w:vMerge w:val="continue"/>
            <w:tcBorders>
              <w:left w:val="single" w:color="auto" w:sz="4" w:space="0"/>
              <w:right w:val="single" w:color="auto" w:sz="4" w:space="0"/>
            </w:tcBorders>
            <w:shd w:val="clear" w:color="000000" w:fill="FFFFFF"/>
            <w:vAlign w:val="center"/>
          </w:tcPr>
          <w:p w14:paraId="11B8F266">
            <w:pPr>
              <w:widowControl/>
              <w:jc w:val="left"/>
              <w:rPr>
                <w:rFonts w:ascii="宋体" w:hAnsi="宋体" w:cs="宋体"/>
                <w:b/>
                <w:bCs/>
                <w:color w:val="3F3F3F"/>
                <w:kern w:val="0"/>
                <w:sz w:val="22"/>
              </w:rPr>
            </w:pPr>
          </w:p>
        </w:tc>
        <w:tc>
          <w:tcPr>
            <w:tcW w:w="1200" w:type="dxa"/>
            <w:vMerge w:val="continue"/>
            <w:tcBorders>
              <w:left w:val="single" w:color="auto" w:sz="4" w:space="0"/>
              <w:right w:val="single" w:color="auto" w:sz="4" w:space="0"/>
            </w:tcBorders>
            <w:shd w:val="clear" w:color="000000" w:fill="FFFFFF"/>
            <w:vAlign w:val="center"/>
          </w:tcPr>
          <w:p w14:paraId="5066E597">
            <w:pPr>
              <w:widowControl/>
              <w:jc w:val="center"/>
              <w:rPr>
                <w:rFonts w:ascii="宋体" w:hAnsi="宋体" w:cs="宋体"/>
                <w:b/>
                <w:bCs/>
                <w:color w:val="3F3F3F"/>
                <w:kern w:val="0"/>
                <w:sz w:val="22"/>
              </w:rPr>
            </w:pPr>
          </w:p>
        </w:tc>
        <w:tc>
          <w:tcPr>
            <w:tcW w:w="8025" w:type="dxa"/>
            <w:tcBorders>
              <w:top w:val="single" w:color="auto" w:sz="4" w:space="0"/>
              <w:left w:val="single" w:color="auto" w:sz="4" w:space="0"/>
              <w:bottom w:val="single" w:color="auto" w:sz="4" w:space="0"/>
              <w:right w:val="single" w:color="auto" w:sz="4" w:space="0"/>
            </w:tcBorders>
            <w:shd w:val="clear" w:color="auto" w:fill="auto"/>
            <w:vAlign w:val="center"/>
          </w:tcPr>
          <w:p w14:paraId="051080D0">
            <w:pPr>
              <w:keepNext w:val="0"/>
              <w:keepLines w:val="0"/>
              <w:pageBreakBefore w:val="0"/>
              <w:widowControl/>
              <w:kinsoku/>
              <w:wordWrap/>
              <w:overflowPunct/>
              <w:topLinePunct w:val="0"/>
              <w:autoSpaceDE/>
              <w:autoSpaceDN/>
              <w:bidi w:val="0"/>
              <w:adjustRightInd/>
              <w:snapToGrid/>
              <w:spacing w:beforeAutospacing="0" w:afterAutospacing="0" w:line="240" w:lineRule="auto"/>
              <w:ind w:left="0" w:leftChars="0" w:firstLine="0" w:firstLineChars="0"/>
              <w:jc w:val="left"/>
              <w:textAlignment w:val="auto"/>
              <w:rPr>
                <w:rFonts w:hint="eastAsia" w:ascii="宋体" w:hAnsi="宋体" w:eastAsia="宋体" w:cs="宋体"/>
                <w:color w:val="000000" w:themeColor="text1"/>
                <w:spacing w:val="0"/>
                <w:kern w:val="2"/>
                <w:sz w:val="21"/>
                <w:szCs w:val="21"/>
                <w:lang w:val="en-US" w:eastAsia="zh-CN" w:bidi="ar-SA"/>
                <w14:textFill>
                  <w14:solidFill>
                    <w14:schemeClr w14:val="tx1"/>
                  </w14:solidFill>
                </w14:textFill>
              </w:rPr>
            </w:pPr>
            <w:r>
              <w:rPr>
                <w:rFonts w:hint="eastAsia" w:ascii="宋体" w:hAnsi="宋体" w:cs="宋体"/>
                <w:color w:val="000000" w:themeColor="text1"/>
                <w:spacing w:val="0"/>
                <w:sz w:val="21"/>
                <w:szCs w:val="21"/>
                <w:lang w:val="en-US" w:eastAsia="zh-CN"/>
                <w14:textFill>
                  <w14:solidFill>
                    <w14:schemeClr w14:val="tx1"/>
                  </w14:solidFill>
                </w14:textFill>
              </w:rPr>
              <w:t>9</w:t>
            </w:r>
            <w:r>
              <w:rPr>
                <w:rFonts w:hint="eastAsia" w:ascii="宋体" w:hAnsi="宋体" w:eastAsia="宋体" w:cs="宋体"/>
                <w:color w:val="000000" w:themeColor="text1"/>
                <w:spacing w:val="0"/>
                <w:sz w:val="21"/>
                <w:szCs w:val="21"/>
                <w14:textFill>
                  <w14:solidFill>
                    <w14:schemeClr w14:val="tx1"/>
                  </w14:solidFill>
                </w14:textFill>
              </w:rPr>
              <w:t>.超声波清洗机</w:t>
            </w:r>
            <w:r>
              <w:rPr>
                <w:rFonts w:hint="eastAsia" w:ascii="宋体" w:hAnsi="宋体" w:cs="宋体"/>
                <w:color w:val="000000" w:themeColor="text1"/>
                <w:spacing w:val="0"/>
                <w:sz w:val="21"/>
                <w:szCs w:val="21"/>
                <w:lang w:eastAsia="zh-CN"/>
                <w14:textFill>
                  <w14:solidFill>
                    <w14:schemeClr w14:val="tx1"/>
                  </w14:solidFill>
                </w14:textFill>
              </w:rPr>
              <w:t>：</w:t>
            </w:r>
            <w:r>
              <w:rPr>
                <w:rFonts w:hint="eastAsia" w:ascii="宋体" w:hAnsi="宋体" w:eastAsia="宋体" w:cs="宋体"/>
                <w:color w:val="000000" w:themeColor="text1"/>
                <w:spacing w:val="0"/>
                <w:sz w:val="21"/>
                <w:szCs w:val="21"/>
                <w14:textFill>
                  <w14:solidFill>
                    <w14:schemeClr w14:val="tx1"/>
                  </w14:solidFill>
                </w14:textFill>
              </w:rPr>
              <w:t>外壳、内胆和盖子采用SUS304材质，具备脱气功能，超声频率40KHz，定时范围：0-99分钟,，内容积≥10L，配编织不锈钢网篮。</w:t>
            </w:r>
          </w:p>
        </w:tc>
      </w:tr>
      <w:tr w14:paraId="218C646F">
        <w:tblPrEx>
          <w:tblCellMar>
            <w:top w:w="0" w:type="dxa"/>
            <w:left w:w="108" w:type="dxa"/>
            <w:bottom w:w="0" w:type="dxa"/>
            <w:right w:w="108" w:type="dxa"/>
          </w:tblCellMar>
        </w:tblPrEx>
        <w:trPr>
          <w:trHeight w:val="0" w:hRule="atLeast"/>
          <w:jc w:val="center"/>
        </w:trPr>
        <w:tc>
          <w:tcPr>
            <w:tcW w:w="735" w:type="dxa"/>
            <w:vMerge w:val="continue"/>
            <w:tcBorders>
              <w:left w:val="single" w:color="auto" w:sz="4" w:space="0"/>
              <w:right w:val="single" w:color="auto" w:sz="4" w:space="0"/>
            </w:tcBorders>
            <w:shd w:val="clear" w:color="000000" w:fill="FFFFFF"/>
            <w:vAlign w:val="center"/>
          </w:tcPr>
          <w:p w14:paraId="2F0E4D5B">
            <w:pPr>
              <w:widowControl/>
              <w:jc w:val="left"/>
              <w:rPr>
                <w:rFonts w:ascii="宋体" w:hAnsi="宋体" w:cs="宋体"/>
                <w:b/>
                <w:bCs/>
                <w:color w:val="3F3F3F"/>
                <w:kern w:val="0"/>
                <w:sz w:val="22"/>
              </w:rPr>
            </w:pPr>
          </w:p>
        </w:tc>
        <w:tc>
          <w:tcPr>
            <w:tcW w:w="1200" w:type="dxa"/>
            <w:vMerge w:val="continue"/>
            <w:tcBorders>
              <w:left w:val="single" w:color="auto" w:sz="4" w:space="0"/>
              <w:right w:val="single" w:color="auto" w:sz="4" w:space="0"/>
            </w:tcBorders>
            <w:shd w:val="clear" w:color="000000" w:fill="FFFFFF"/>
            <w:vAlign w:val="center"/>
          </w:tcPr>
          <w:p w14:paraId="6A65A184">
            <w:pPr>
              <w:widowControl/>
              <w:rPr>
                <w:rFonts w:ascii="宋体" w:hAnsi="宋体" w:cs="宋体"/>
                <w:b/>
                <w:bCs/>
                <w:color w:val="3F3F3F"/>
                <w:kern w:val="0"/>
                <w:sz w:val="22"/>
              </w:rPr>
            </w:pPr>
          </w:p>
        </w:tc>
        <w:tc>
          <w:tcPr>
            <w:tcW w:w="8025" w:type="dxa"/>
            <w:tcBorders>
              <w:top w:val="single" w:color="auto" w:sz="4" w:space="0"/>
              <w:left w:val="single" w:color="auto" w:sz="4" w:space="0"/>
              <w:bottom w:val="single" w:color="auto" w:sz="4" w:space="0"/>
              <w:right w:val="single" w:color="auto" w:sz="4" w:space="0"/>
            </w:tcBorders>
            <w:shd w:val="clear" w:color="auto" w:fill="auto"/>
            <w:vAlign w:val="center"/>
          </w:tcPr>
          <w:p w14:paraId="23E5B0E4">
            <w:pPr>
              <w:keepNext w:val="0"/>
              <w:keepLines w:val="0"/>
              <w:pageBreakBefore w:val="0"/>
              <w:widowControl/>
              <w:kinsoku/>
              <w:wordWrap/>
              <w:overflowPunct/>
              <w:topLinePunct w:val="0"/>
              <w:autoSpaceDE/>
              <w:autoSpaceDN/>
              <w:bidi w:val="0"/>
              <w:adjustRightInd/>
              <w:snapToGrid/>
              <w:spacing w:beforeAutospacing="0" w:afterAutospacing="0" w:line="240" w:lineRule="auto"/>
              <w:ind w:left="0" w:leftChars="0" w:firstLine="0" w:firstLineChars="0"/>
              <w:jc w:val="left"/>
              <w:textAlignment w:val="auto"/>
              <w:rPr>
                <w:rFonts w:hint="eastAsia" w:ascii="宋体" w:hAnsi="宋体" w:eastAsia="宋体" w:cs="宋体"/>
                <w:color w:val="000000" w:themeColor="text1"/>
                <w:spacing w:val="0"/>
                <w:kern w:val="2"/>
                <w:sz w:val="21"/>
                <w:szCs w:val="21"/>
                <w:lang w:val="en-US" w:eastAsia="zh-CN" w:bidi="ar-SA"/>
                <w14:textFill>
                  <w14:solidFill>
                    <w14:schemeClr w14:val="tx1"/>
                  </w14:solidFill>
                </w14:textFill>
              </w:rPr>
            </w:pPr>
            <w:r>
              <w:rPr>
                <w:rFonts w:hint="eastAsia" w:ascii="宋体" w:hAnsi="宋体" w:eastAsia="宋体" w:cs="宋体"/>
                <w:color w:val="000000" w:themeColor="text1"/>
                <w:spacing w:val="0"/>
                <w:sz w:val="21"/>
                <w:szCs w:val="21"/>
                <w14:textFill>
                  <w14:solidFill>
                    <w14:schemeClr w14:val="tx1"/>
                  </w14:solidFill>
                </w14:textFill>
              </w:rPr>
              <w:t>1</w:t>
            </w:r>
            <w:r>
              <w:rPr>
                <w:rFonts w:hint="eastAsia" w:ascii="宋体" w:hAnsi="宋体" w:cs="宋体"/>
                <w:color w:val="000000" w:themeColor="text1"/>
                <w:spacing w:val="0"/>
                <w:sz w:val="21"/>
                <w:szCs w:val="21"/>
                <w:lang w:val="en-US" w:eastAsia="zh-CN"/>
                <w14:textFill>
                  <w14:solidFill>
                    <w14:schemeClr w14:val="tx1"/>
                  </w14:solidFill>
                </w14:textFill>
              </w:rPr>
              <w:t>0.</w:t>
            </w:r>
            <w:r>
              <w:rPr>
                <w:rFonts w:hint="eastAsia" w:ascii="宋体" w:hAnsi="宋体" w:eastAsia="宋体" w:cs="宋体"/>
                <w:color w:val="000000" w:themeColor="text1"/>
                <w:spacing w:val="0"/>
                <w:sz w:val="21"/>
                <w:szCs w:val="21"/>
                <w14:textFill>
                  <w14:solidFill>
                    <w14:schemeClr w14:val="tx1"/>
                  </w14:solidFill>
                </w14:textFill>
              </w:rPr>
              <w:t>所有洗消槽、内镜洗消机均配备追溯采集装置，保证洗消过程规范、完整、数据可追溯。</w:t>
            </w:r>
          </w:p>
        </w:tc>
      </w:tr>
      <w:tr w14:paraId="4B3FD043">
        <w:tblPrEx>
          <w:tblCellMar>
            <w:top w:w="0" w:type="dxa"/>
            <w:left w:w="108" w:type="dxa"/>
            <w:bottom w:w="0" w:type="dxa"/>
            <w:right w:w="108" w:type="dxa"/>
          </w:tblCellMar>
        </w:tblPrEx>
        <w:trPr>
          <w:trHeight w:val="0" w:hRule="atLeast"/>
          <w:jc w:val="center"/>
        </w:trPr>
        <w:tc>
          <w:tcPr>
            <w:tcW w:w="735" w:type="dxa"/>
            <w:vMerge w:val="continue"/>
            <w:tcBorders>
              <w:left w:val="single" w:color="auto" w:sz="4" w:space="0"/>
              <w:right w:val="single" w:color="auto" w:sz="4" w:space="0"/>
            </w:tcBorders>
            <w:shd w:val="clear" w:color="000000" w:fill="FFFFFF"/>
            <w:vAlign w:val="center"/>
          </w:tcPr>
          <w:p w14:paraId="6099A4A6">
            <w:pPr>
              <w:widowControl/>
              <w:jc w:val="left"/>
              <w:rPr>
                <w:rFonts w:ascii="宋体" w:hAnsi="宋体" w:cs="宋体"/>
                <w:b/>
                <w:bCs/>
                <w:color w:val="3F3F3F"/>
                <w:kern w:val="0"/>
                <w:sz w:val="22"/>
              </w:rPr>
            </w:pPr>
          </w:p>
        </w:tc>
        <w:tc>
          <w:tcPr>
            <w:tcW w:w="1200" w:type="dxa"/>
            <w:vMerge w:val="continue"/>
            <w:tcBorders>
              <w:left w:val="single" w:color="auto" w:sz="4" w:space="0"/>
              <w:right w:val="single" w:color="auto" w:sz="4" w:space="0"/>
            </w:tcBorders>
            <w:shd w:val="clear" w:color="000000" w:fill="FFFFFF"/>
            <w:vAlign w:val="center"/>
          </w:tcPr>
          <w:p w14:paraId="723106C6">
            <w:pPr>
              <w:widowControl/>
              <w:rPr>
                <w:rFonts w:ascii="宋体" w:hAnsi="宋体" w:cs="宋体"/>
                <w:b/>
                <w:bCs/>
                <w:color w:val="3F3F3F"/>
                <w:kern w:val="0"/>
                <w:sz w:val="22"/>
              </w:rPr>
            </w:pPr>
          </w:p>
        </w:tc>
        <w:tc>
          <w:tcPr>
            <w:tcW w:w="8025" w:type="dxa"/>
            <w:tcBorders>
              <w:top w:val="single" w:color="auto" w:sz="4" w:space="0"/>
              <w:left w:val="single" w:color="auto" w:sz="4" w:space="0"/>
              <w:bottom w:val="single" w:color="auto" w:sz="4" w:space="0"/>
              <w:right w:val="single" w:color="auto" w:sz="4" w:space="0"/>
            </w:tcBorders>
            <w:shd w:val="clear" w:color="auto" w:fill="auto"/>
            <w:vAlign w:val="center"/>
          </w:tcPr>
          <w:p w14:paraId="62621264">
            <w:pPr>
              <w:keepNext w:val="0"/>
              <w:keepLines w:val="0"/>
              <w:pageBreakBefore w:val="0"/>
              <w:widowControl/>
              <w:kinsoku/>
              <w:wordWrap/>
              <w:overflowPunct/>
              <w:topLinePunct w:val="0"/>
              <w:autoSpaceDE/>
              <w:autoSpaceDN/>
              <w:bidi w:val="0"/>
              <w:adjustRightInd/>
              <w:snapToGrid/>
              <w:spacing w:beforeAutospacing="0" w:afterAutospacing="0" w:line="240" w:lineRule="auto"/>
              <w:ind w:left="0" w:leftChars="0" w:firstLine="0" w:firstLineChars="0"/>
              <w:jc w:val="left"/>
              <w:textAlignment w:val="auto"/>
              <w:rPr>
                <w:rFonts w:hint="eastAsia" w:ascii="宋体" w:hAnsi="宋体" w:eastAsia="宋体" w:cs="宋体"/>
                <w:color w:val="000000" w:themeColor="text1"/>
                <w:spacing w:val="0"/>
                <w:kern w:val="0"/>
                <w:sz w:val="21"/>
                <w:szCs w:val="21"/>
                <w:lang w:val="en-US" w:eastAsia="zh-CN" w:bidi="ar-SA"/>
                <w14:textFill>
                  <w14:solidFill>
                    <w14:schemeClr w14:val="tx1"/>
                  </w14:solidFill>
                </w14:textFill>
              </w:rPr>
            </w:pPr>
            <w:r>
              <w:rPr>
                <w:rFonts w:hint="eastAsia" w:ascii="宋体" w:hAnsi="宋体" w:eastAsia="宋体" w:cs="宋体"/>
                <w:color w:val="000000" w:themeColor="text1"/>
                <w:spacing w:val="0"/>
                <w:sz w:val="21"/>
                <w:szCs w:val="21"/>
                <w14:textFill>
                  <w14:solidFill>
                    <w14:schemeClr w14:val="tx1"/>
                  </w14:solidFill>
                </w14:textFill>
              </w:rPr>
              <w:t>11</w:t>
            </w:r>
            <w:r>
              <w:rPr>
                <w:rFonts w:hint="eastAsia" w:ascii="宋体" w:hAnsi="宋体" w:cs="宋体"/>
                <w:color w:val="000000" w:themeColor="text1"/>
                <w:spacing w:val="0"/>
                <w:sz w:val="21"/>
                <w:szCs w:val="21"/>
                <w:lang w:eastAsia="zh-CN"/>
                <w14:textFill>
                  <w14:solidFill>
                    <w14:schemeClr w14:val="tx1"/>
                  </w14:solidFill>
                </w14:textFill>
              </w:rPr>
              <w:t>.</w:t>
            </w:r>
            <w:r>
              <w:rPr>
                <w:rFonts w:hint="eastAsia" w:ascii="宋体" w:hAnsi="宋体" w:eastAsia="宋体" w:cs="宋体"/>
                <w:color w:val="000000" w:themeColor="text1"/>
                <w:spacing w:val="0"/>
                <w:kern w:val="0"/>
                <w:sz w:val="21"/>
                <w:szCs w:val="21"/>
                <w14:textFill>
                  <w14:solidFill>
                    <w14:schemeClr w14:val="tx1"/>
                  </w14:solidFill>
                </w14:textFill>
              </w:rPr>
              <w:t>采用≥10英寸Pad平板作为智能控制和显示端，Android操作系统，具有全触摸高清显示屏、无需鼠标键盘等外接设施。</w:t>
            </w:r>
          </w:p>
        </w:tc>
      </w:tr>
      <w:tr w14:paraId="5E7FE363">
        <w:tblPrEx>
          <w:tblCellMar>
            <w:top w:w="0" w:type="dxa"/>
            <w:left w:w="108" w:type="dxa"/>
            <w:bottom w:w="0" w:type="dxa"/>
            <w:right w:w="108" w:type="dxa"/>
          </w:tblCellMar>
        </w:tblPrEx>
        <w:trPr>
          <w:trHeight w:val="0" w:hRule="atLeast"/>
          <w:jc w:val="center"/>
        </w:trPr>
        <w:tc>
          <w:tcPr>
            <w:tcW w:w="735" w:type="dxa"/>
            <w:vMerge w:val="continue"/>
            <w:tcBorders>
              <w:left w:val="single" w:color="auto" w:sz="4" w:space="0"/>
              <w:right w:val="single" w:color="auto" w:sz="4" w:space="0"/>
            </w:tcBorders>
            <w:shd w:val="clear" w:color="000000" w:fill="FFFFFF"/>
            <w:vAlign w:val="center"/>
          </w:tcPr>
          <w:p w14:paraId="72734195">
            <w:pPr>
              <w:widowControl/>
              <w:jc w:val="left"/>
              <w:rPr>
                <w:rFonts w:ascii="宋体" w:hAnsi="宋体" w:cs="宋体"/>
                <w:b/>
                <w:bCs/>
                <w:color w:val="3F3F3F"/>
                <w:kern w:val="0"/>
                <w:sz w:val="22"/>
              </w:rPr>
            </w:pPr>
          </w:p>
        </w:tc>
        <w:tc>
          <w:tcPr>
            <w:tcW w:w="1200" w:type="dxa"/>
            <w:vMerge w:val="continue"/>
            <w:tcBorders>
              <w:left w:val="single" w:color="auto" w:sz="4" w:space="0"/>
              <w:right w:val="single" w:color="auto" w:sz="4" w:space="0"/>
            </w:tcBorders>
            <w:shd w:val="clear" w:color="000000" w:fill="FFFFFF"/>
            <w:vAlign w:val="center"/>
          </w:tcPr>
          <w:p w14:paraId="2B380387">
            <w:pPr>
              <w:widowControl/>
              <w:rPr>
                <w:rFonts w:ascii="宋体" w:hAnsi="宋体" w:cs="宋体"/>
                <w:b/>
                <w:bCs/>
                <w:color w:val="3F3F3F"/>
                <w:kern w:val="0"/>
                <w:sz w:val="22"/>
              </w:rPr>
            </w:pPr>
          </w:p>
        </w:tc>
        <w:tc>
          <w:tcPr>
            <w:tcW w:w="8025" w:type="dxa"/>
            <w:tcBorders>
              <w:top w:val="single" w:color="auto" w:sz="4" w:space="0"/>
              <w:left w:val="single" w:color="auto" w:sz="4" w:space="0"/>
              <w:bottom w:val="single" w:color="auto" w:sz="4" w:space="0"/>
              <w:right w:val="single" w:color="auto" w:sz="4" w:space="0"/>
            </w:tcBorders>
            <w:shd w:val="clear" w:color="auto" w:fill="auto"/>
            <w:vAlign w:val="center"/>
          </w:tcPr>
          <w:p w14:paraId="675A8B4E">
            <w:pPr>
              <w:keepNext w:val="0"/>
              <w:keepLines w:val="0"/>
              <w:pageBreakBefore w:val="0"/>
              <w:widowControl/>
              <w:kinsoku/>
              <w:wordWrap/>
              <w:overflowPunct/>
              <w:topLinePunct w:val="0"/>
              <w:autoSpaceDE/>
              <w:autoSpaceDN/>
              <w:bidi w:val="0"/>
              <w:adjustRightInd/>
              <w:snapToGrid/>
              <w:spacing w:beforeAutospacing="0" w:afterAutospacing="0" w:line="240" w:lineRule="auto"/>
              <w:ind w:left="0" w:leftChars="0" w:firstLine="0" w:firstLineChars="0"/>
              <w:jc w:val="left"/>
              <w:textAlignment w:val="auto"/>
              <w:rPr>
                <w:rFonts w:hint="eastAsia" w:ascii="宋体" w:hAnsi="宋体" w:eastAsia="宋体" w:cs="宋体"/>
                <w:color w:val="000000" w:themeColor="text1"/>
                <w:spacing w:val="0"/>
                <w:kern w:val="0"/>
                <w:sz w:val="21"/>
                <w:szCs w:val="21"/>
                <w:highlight w:val="none"/>
                <w:lang w:val="en-US" w:eastAsia="zh-CN" w:bidi="ar-SA"/>
                <w14:textFill>
                  <w14:solidFill>
                    <w14:schemeClr w14:val="tx1"/>
                  </w14:solidFill>
                </w14:textFill>
              </w:rPr>
            </w:pPr>
            <w:r>
              <w:rPr>
                <w:rFonts w:hint="eastAsia" w:ascii="宋体" w:hAnsi="宋体" w:eastAsia="宋体" w:cs="宋体"/>
                <w:color w:val="000000" w:themeColor="text1"/>
                <w:spacing w:val="0"/>
                <w:sz w:val="21"/>
                <w:szCs w:val="21"/>
                <w14:textFill>
                  <w14:solidFill>
                    <w14:schemeClr w14:val="tx1"/>
                  </w14:solidFill>
                </w14:textFill>
              </w:rPr>
              <w:t>▲12</w:t>
            </w:r>
            <w:r>
              <w:rPr>
                <w:rFonts w:hint="eastAsia" w:ascii="宋体" w:hAnsi="宋体" w:cs="宋体"/>
                <w:color w:val="000000" w:themeColor="text1"/>
                <w:spacing w:val="0"/>
                <w:sz w:val="21"/>
                <w:szCs w:val="21"/>
                <w:lang w:val="en-US" w:eastAsia="zh-CN"/>
                <w14:textFill>
                  <w14:solidFill>
                    <w14:schemeClr w14:val="tx1"/>
                  </w14:solidFill>
                </w14:textFill>
              </w:rPr>
              <w:t>.</w:t>
            </w:r>
            <w:r>
              <w:rPr>
                <w:rFonts w:hint="eastAsia" w:ascii="宋体" w:hAnsi="宋体" w:eastAsia="宋体" w:cs="宋体"/>
                <w:color w:val="000000" w:themeColor="text1"/>
                <w:spacing w:val="0"/>
                <w:sz w:val="21"/>
                <w:szCs w:val="21"/>
                <w:highlight w:val="none"/>
                <w14:textFill>
                  <w14:solidFill>
                    <w14:schemeClr w14:val="tx1"/>
                  </w14:solidFill>
                </w14:textFill>
              </w:rPr>
              <w:t>系统使用过程中，洗消数据均通过无线实时显示至Pad智能控制端，软件内容包含：①内镜信息；②操作人员；③操作流程起止时间；④病人姓名；⑤诊疗日期等信息。</w:t>
            </w:r>
            <w:r>
              <w:rPr>
                <w:rFonts w:hint="eastAsia" w:ascii="宋体" w:hAnsi="宋体" w:eastAsia="宋体" w:cs="宋体"/>
                <w:color w:val="auto"/>
                <w:spacing w:val="0"/>
                <w:sz w:val="21"/>
                <w:szCs w:val="21"/>
                <w:highlight w:val="none"/>
              </w:rPr>
              <w:t>(投标时提供内镜清洗工作站追溯系统含上述①、②、③、④、⑤项且检测结果的具备CMA或CNAS资质检测机构出具含上述内容的检测报告作为证明材料)。</w:t>
            </w:r>
          </w:p>
        </w:tc>
      </w:tr>
      <w:tr w14:paraId="74CE6AB1">
        <w:tblPrEx>
          <w:tblCellMar>
            <w:top w:w="0" w:type="dxa"/>
            <w:left w:w="108" w:type="dxa"/>
            <w:bottom w:w="0" w:type="dxa"/>
            <w:right w:w="108" w:type="dxa"/>
          </w:tblCellMar>
        </w:tblPrEx>
        <w:trPr>
          <w:trHeight w:val="0" w:hRule="atLeast"/>
          <w:jc w:val="center"/>
        </w:trPr>
        <w:tc>
          <w:tcPr>
            <w:tcW w:w="735" w:type="dxa"/>
            <w:vMerge w:val="continue"/>
            <w:tcBorders>
              <w:left w:val="single" w:color="auto" w:sz="4" w:space="0"/>
              <w:right w:val="single" w:color="auto" w:sz="4" w:space="0"/>
            </w:tcBorders>
            <w:shd w:val="clear" w:color="000000" w:fill="FFFFFF"/>
            <w:vAlign w:val="center"/>
          </w:tcPr>
          <w:p w14:paraId="5AE70F38">
            <w:pPr>
              <w:widowControl/>
              <w:jc w:val="left"/>
              <w:rPr>
                <w:rFonts w:hint="eastAsia" w:ascii="宋体" w:hAnsi="宋体" w:cs="宋体"/>
                <w:b/>
                <w:bCs/>
                <w:color w:val="3F3F3F"/>
                <w:kern w:val="0"/>
                <w:sz w:val="22"/>
              </w:rPr>
            </w:pPr>
          </w:p>
        </w:tc>
        <w:tc>
          <w:tcPr>
            <w:tcW w:w="1200" w:type="dxa"/>
            <w:vMerge w:val="continue"/>
            <w:tcBorders>
              <w:left w:val="single" w:color="auto" w:sz="4" w:space="0"/>
              <w:right w:val="single" w:color="auto" w:sz="4" w:space="0"/>
            </w:tcBorders>
            <w:shd w:val="clear" w:color="000000" w:fill="FFFFFF"/>
            <w:vAlign w:val="center"/>
          </w:tcPr>
          <w:p w14:paraId="5413F5A0">
            <w:pPr>
              <w:widowControl/>
              <w:rPr>
                <w:rFonts w:ascii="宋体" w:hAnsi="宋体" w:cs="宋体"/>
                <w:b/>
                <w:bCs/>
                <w:color w:val="3F3F3F"/>
                <w:kern w:val="0"/>
                <w:sz w:val="22"/>
              </w:rPr>
            </w:pPr>
          </w:p>
        </w:tc>
        <w:tc>
          <w:tcPr>
            <w:tcW w:w="8025" w:type="dxa"/>
            <w:tcBorders>
              <w:top w:val="single" w:color="auto" w:sz="4" w:space="0"/>
              <w:left w:val="single" w:color="auto" w:sz="4" w:space="0"/>
              <w:bottom w:val="single" w:color="auto" w:sz="4" w:space="0"/>
              <w:right w:val="single" w:color="auto" w:sz="4" w:space="0"/>
            </w:tcBorders>
            <w:shd w:val="clear" w:color="auto" w:fill="auto"/>
            <w:vAlign w:val="center"/>
          </w:tcPr>
          <w:p w14:paraId="1F9C7CC8">
            <w:pPr>
              <w:keepNext w:val="0"/>
              <w:keepLines w:val="0"/>
              <w:pageBreakBefore w:val="0"/>
              <w:widowControl/>
              <w:kinsoku/>
              <w:wordWrap/>
              <w:overflowPunct/>
              <w:topLinePunct w:val="0"/>
              <w:autoSpaceDE/>
              <w:autoSpaceDN/>
              <w:bidi w:val="0"/>
              <w:adjustRightInd/>
              <w:snapToGrid/>
              <w:spacing w:beforeAutospacing="0" w:afterAutospacing="0" w:line="240" w:lineRule="auto"/>
              <w:ind w:left="0" w:leftChars="0" w:firstLine="0" w:firstLineChars="0"/>
              <w:jc w:val="left"/>
              <w:textAlignment w:val="auto"/>
              <w:rPr>
                <w:rFonts w:hint="eastAsia" w:ascii="宋体" w:hAnsi="宋体" w:eastAsia="宋体" w:cs="宋体"/>
                <w:color w:val="000000" w:themeColor="text1"/>
                <w:spacing w:val="0"/>
                <w:kern w:val="0"/>
                <w:sz w:val="21"/>
                <w:szCs w:val="21"/>
                <w:lang w:val="en-US" w:eastAsia="zh-CN" w:bidi="ar-SA"/>
                <w14:textFill>
                  <w14:solidFill>
                    <w14:schemeClr w14:val="tx1"/>
                  </w14:solidFill>
                </w14:textFill>
              </w:rPr>
            </w:pPr>
            <w:r>
              <w:rPr>
                <w:rFonts w:hint="eastAsia" w:ascii="宋体" w:hAnsi="宋体" w:cs="宋体"/>
                <w:color w:val="000000" w:themeColor="text1"/>
                <w:spacing w:val="0"/>
                <w:sz w:val="21"/>
                <w:szCs w:val="21"/>
                <w:lang w:val="en-US" w:eastAsia="zh-CN"/>
                <w14:textFill>
                  <w14:solidFill>
                    <w14:schemeClr w14:val="tx1"/>
                  </w14:solidFill>
                </w14:textFill>
              </w:rPr>
              <w:t>13.</w:t>
            </w:r>
            <w:r>
              <w:rPr>
                <w:rFonts w:hint="eastAsia" w:ascii="宋体" w:hAnsi="宋体" w:eastAsia="宋体" w:cs="宋体"/>
                <w:color w:val="000000" w:themeColor="text1"/>
                <w:spacing w:val="0"/>
                <w:sz w:val="21"/>
                <w:szCs w:val="21"/>
                <w14:textFill>
                  <w14:solidFill>
                    <w14:schemeClr w14:val="tx1"/>
                  </w14:solidFill>
                </w14:textFill>
              </w:rPr>
              <w:t>软件具备可追踪内镜库存数量，维修内镜数量、内镜损坏部位、维修金额、维修经手人、出入库时间等各项信息。</w:t>
            </w:r>
          </w:p>
        </w:tc>
      </w:tr>
      <w:tr w14:paraId="321F9783">
        <w:tblPrEx>
          <w:tblCellMar>
            <w:top w:w="0" w:type="dxa"/>
            <w:left w:w="108" w:type="dxa"/>
            <w:bottom w:w="0" w:type="dxa"/>
            <w:right w:w="108" w:type="dxa"/>
          </w:tblCellMar>
        </w:tblPrEx>
        <w:trPr>
          <w:trHeight w:val="0" w:hRule="atLeast"/>
          <w:jc w:val="center"/>
        </w:trPr>
        <w:tc>
          <w:tcPr>
            <w:tcW w:w="735" w:type="dxa"/>
            <w:vMerge w:val="continue"/>
            <w:tcBorders>
              <w:left w:val="single" w:color="auto" w:sz="4" w:space="0"/>
              <w:right w:val="single" w:color="auto" w:sz="4" w:space="0"/>
            </w:tcBorders>
            <w:shd w:val="clear" w:color="000000" w:fill="FFFFFF"/>
            <w:vAlign w:val="center"/>
          </w:tcPr>
          <w:p w14:paraId="4D66E9C6">
            <w:pPr>
              <w:widowControl/>
              <w:jc w:val="left"/>
              <w:rPr>
                <w:rFonts w:hint="eastAsia" w:ascii="宋体" w:hAnsi="宋体" w:cs="宋体"/>
                <w:b/>
                <w:bCs/>
                <w:color w:val="3F3F3F"/>
                <w:kern w:val="0"/>
                <w:sz w:val="22"/>
              </w:rPr>
            </w:pPr>
          </w:p>
        </w:tc>
        <w:tc>
          <w:tcPr>
            <w:tcW w:w="1200" w:type="dxa"/>
            <w:vMerge w:val="continue"/>
            <w:tcBorders>
              <w:left w:val="single" w:color="auto" w:sz="4" w:space="0"/>
              <w:right w:val="single" w:color="auto" w:sz="4" w:space="0"/>
            </w:tcBorders>
            <w:shd w:val="clear" w:color="000000" w:fill="FFFFFF"/>
            <w:vAlign w:val="center"/>
          </w:tcPr>
          <w:p w14:paraId="192983ED">
            <w:pPr>
              <w:widowControl/>
              <w:rPr>
                <w:rFonts w:ascii="宋体" w:hAnsi="宋体" w:cs="宋体"/>
                <w:b/>
                <w:bCs/>
                <w:color w:val="3F3F3F"/>
                <w:kern w:val="0"/>
                <w:sz w:val="22"/>
              </w:rPr>
            </w:pPr>
          </w:p>
        </w:tc>
        <w:tc>
          <w:tcPr>
            <w:tcW w:w="8025" w:type="dxa"/>
            <w:tcBorders>
              <w:top w:val="single" w:color="auto" w:sz="4" w:space="0"/>
              <w:left w:val="single" w:color="auto" w:sz="4" w:space="0"/>
              <w:bottom w:val="single" w:color="auto" w:sz="4" w:space="0"/>
              <w:right w:val="single" w:color="auto" w:sz="4" w:space="0"/>
            </w:tcBorders>
            <w:shd w:val="clear" w:color="auto" w:fill="auto"/>
            <w:vAlign w:val="center"/>
          </w:tcPr>
          <w:p w14:paraId="2F661056">
            <w:pPr>
              <w:keepNext w:val="0"/>
              <w:keepLines w:val="0"/>
              <w:pageBreakBefore w:val="0"/>
              <w:widowControl/>
              <w:kinsoku/>
              <w:wordWrap/>
              <w:overflowPunct/>
              <w:topLinePunct w:val="0"/>
              <w:autoSpaceDE/>
              <w:autoSpaceDN/>
              <w:bidi w:val="0"/>
              <w:adjustRightInd/>
              <w:snapToGrid/>
              <w:spacing w:beforeAutospacing="0" w:afterAutospacing="0" w:line="240" w:lineRule="auto"/>
              <w:ind w:left="0" w:leftChars="0" w:firstLine="0" w:firstLineChars="0"/>
              <w:jc w:val="left"/>
              <w:textAlignment w:val="auto"/>
              <w:rPr>
                <w:rFonts w:hint="eastAsia" w:ascii="宋体" w:hAnsi="宋体" w:eastAsia="宋体" w:cs="宋体"/>
                <w:color w:val="000000" w:themeColor="text1"/>
                <w:spacing w:val="0"/>
                <w:kern w:val="0"/>
                <w:sz w:val="21"/>
                <w:szCs w:val="21"/>
                <w:lang w:val="en-US" w:eastAsia="zh-CN" w:bidi="ar-SA"/>
                <w14:textFill>
                  <w14:solidFill>
                    <w14:schemeClr w14:val="tx1"/>
                  </w14:solidFill>
                </w14:textFill>
              </w:rPr>
            </w:pPr>
            <w:r>
              <w:rPr>
                <w:rFonts w:hint="eastAsia" w:ascii="宋体" w:hAnsi="宋体" w:cs="宋体"/>
                <w:color w:val="000000" w:themeColor="text1"/>
                <w:spacing w:val="0"/>
                <w:sz w:val="21"/>
                <w:szCs w:val="21"/>
                <w:lang w:val="en-US" w:eastAsia="zh-CN"/>
                <w14:textFill>
                  <w14:solidFill>
                    <w14:schemeClr w14:val="tx1"/>
                  </w14:solidFill>
                </w14:textFill>
              </w:rPr>
              <w:t>14.</w:t>
            </w:r>
            <w:r>
              <w:rPr>
                <w:rFonts w:hint="eastAsia" w:ascii="宋体" w:hAnsi="宋体" w:eastAsia="宋体" w:cs="宋体"/>
                <w:color w:val="000000" w:themeColor="text1"/>
                <w:spacing w:val="0"/>
                <w:sz w:val="21"/>
                <w:szCs w:val="21"/>
                <w14:textFill>
                  <w14:solidFill>
                    <w14:schemeClr w14:val="tx1"/>
                  </w14:solidFill>
                </w14:textFill>
              </w:rPr>
              <w:t>软件具备内镜测漏管理功能，可记录测漏人员、测漏时间、内镜类型、内镜信息、内镜编号、故障位置等。并可并配合工作站实时显示测漏压力，精确显示压力值。</w:t>
            </w:r>
          </w:p>
        </w:tc>
      </w:tr>
      <w:tr w14:paraId="02B5AE48">
        <w:tblPrEx>
          <w:tblCellMar>
            <w:top w:w="0" w:type="dxa"/>
            <w:left w:w="108" w:type="dxa"/>
            <w:bottom w:w="0" w:type="dxa"/>
            <w:right w:w="108" w:type="dxa"/>
          </w:tblCellMar>
        </w:tblPrEx>
        <w:trPr>
          <w:trHeight w:val="0" w:hRule="atLeast"/>
          <w:jc w:val="center"/>
        </w:trPr>
        <w:tc>
          <w:tcPr>
            <w:tcW w:w="735" w:type="dxa"/>
            <w:vMerge w:val="continue"/>
            <w:tcBorders>
              <w:left w:val="single" w:color="auto" w:sz="4" w:space="0"/>
              <w:right w:val="single" w:color="auto" w:sz="4" w:space="0"/>
            </w:tcBorders>
            <w:shd w:val="clear" w:color="000000" w:fill="FFFFFF"/>
            <w:vAlign w:val="center"/>
          </w:tcPr>
          <w:p w14:paraId="67ADDAC1">
            <w:pPr>
              <w:widowControl/>
              <w:jc w:val="left"/>
              <w:rPr>
                <w:rFonts w:hint="eastAsia" w:ascii="宋体" w:hAnsi="宋体" w:cs="宋体"/>
                <w:b/>
                <w:bCs/>
                <w:color w:val="3F3F3F"/>
                <w:kern w:val="0"/>
                <w:sz w:val="22"/>
              </w:rPr>
            </w:pPr>
          </w:p>
        </w:tc>
        <w:tc>
          <w:tcPr>
            <w:tcW w:w="1200" w:type="dxa"/>
            <w:vMerge w:val="continue"/>
            <w:tcBorders>
              <w:left w:val="single" w:color="auto" w:sz="4" w:space="0"/>
              <w:right w:val="single" w:color="auto" w:sz="4" w:space="0"/>
            </w:tcBorders>
            <w:shd w:val="clear" w:color="000000" w:fill="FFFFFF"/>
            <w:vAlign w:val="center"/>
          </w:tcPr>
          <w:p w14:paraId="1C684316">
            <w:pPr>
              <w:widowControl/>
              <w:rPr>
                <w:rFonts w:ascii="宋体" w:hAnsi="宋体" w:cs="宋体"/>
                <w:b/>
                <w:bCs/>
                <w:color w:val="3F3F3F"/>
                <w:kern w:val="0"/>
                <w:sz w:val="22"/>
              </w:rPr>
            </w:pPr>
          </w:p>
        </w:tc>
        <w:tc>
          <w:tcPr>
            <w:tcW w:w="8025" w:type="dxa"/>
            <w:tcBorders>
              <w:top w:val="single" w:color="auto" w:sz="4" w:space="0"/>
              <w:left w:val="single" w:color="auto" w:sz="4" w:space="0"/>
              <w:bottom w:val="single" w:color="auto" w:sz="4" w:space="0"/>
              <w:right w:val="single" w:color="auto" w:sz="4" w:space="0"/>
            </w:tcBorders>
            <w:shd w:val="clear" w:color="auto" w:fill="auto"/>
            <w:vAlign w:val="center"/>
          </w:tcPr>
          <w:p w14:paraId="653DF02F">
            <w:pPr>
              <w:keepNext w:val="0"/>
              <w:keepLines w:val="0"/>
              <w:pageBreakBefore w:val="0"/>
              <w:widowControl/>
              <w:kinsoku/>
              <w:wordWrap/>
              <w:overflowPunct/>
              <w:topLinePunct w:val="0"/>
              <w:autoSpaceDE/>
              <w:autoSpaceDN/>
              <w:bidi w:val="0"/>
              <w:adjustRightInd/>
              <w:snapToGrid/>
              <w:spacing w:beforeAutospacing="0" w:afterAutospacing="0" w:line="240" w:lineRule="auto"/>
              <w:ind w:left="0" w:leftChars="0" w:firstLine="0" w:firstLineChars="0"/>
              <w:jc w:val="left"/>
              <w:textAlignment w:val="auto"/>
              <w:rPr>
                <w:rFonts w:hint="eastAsia" w:ascii="宋体" w:hAnsi="宋体" w:eastAsia="宋体" w:cs="宋体"/>
                <w:color w:val="000000" w:themeColor="text1"/>
                <w:spacing w:val="0"/>
                <w:kern w:val="0"/>
                <w:sz w:val="21"/>
                <w:szCs w:val="21"/>
                <w:lang w:val="en-US" w:eastAsia="zh-CN" w:bidi="ar-SA"/>
                <w14:textFill>
                  <w14:solidFill>
                    <w14:schemeClr w14:val="tx1"/>
                  </w14:solidFill>
                </w14:textFill>
              </w:rPr>
            </w:pPr>
            <w:r>
              <w:rPr>
                <w:rFonts w:hint="eastAsia" w:ascii="宋体" w:hAnsi="宋体" w:eastAsia="宋体" w:cs="宋体"/>
                <w:color w:val="000000" w:themeColor="text1"/>
                <w:spacing w:val="0"/>
                <w:sz w:val="21"/>
                <w:szCs w:val="21"/>
                <w14:textFill>
                  <w14:solidFill>
                    <w14:schemeClr w14:val="tx1"/>
                  </w14:solidFill>
                </w14:textFill>
              </w:rPr>
              <w:t>▲</w:t>
            </w:r>
            <w:r>
              <w:rPr>
                <w:rFonts w:hint="eastAsia" w:ascii="宋体" w:hAnsi="宋体" w:cs="宋体"/>
                <w:color w:val="000000" w:themeColor="text1"/>
                <w:spacing w:val="0"/>
                <w:sz w:val="21"/>
                <w:szCs w:val="21"/>
                <w:lang w:val="en-US" w:eastAsia="zh-CN"/>
                <w14:textFill>
                  <w14:solidFill>
                    <w14:schemeClr w14:val="tx1"/>
                  </w14:solidFill>
                </w14:textFill>
              </w:rPr>
              <w:t>15.</w:t>
            </w:r>
            <w:r>
              <w:rPr>
                <w:rFonts w:hint="eastAsia" w:ascii="宋体" w:hAnsi="宋体" w:eastAsia="宋体" w:cs="宋体"/>
                <w:color w:val="000000" w:themeColor="text1"/>
                <w:spacing w:val="0"/>
                <w:sz w:val="21"/>
                <w:szCs w:val="21"/>
                <w14:textFill>
                  <w14:solidFill>
                    <w14:schemeClr w14:val="tx1"/>
                  </w14:solidFill>
                </w14:textFill>
              </w:rPr>
              <w:t>软件具备消毒液检测记录功能：可记录消毒液的检测时间、更换时间、检测人员、是否合格、并将每次检测消毒液的试纸状态以图片形式存入系统，可使用智能Pad控制端或任意手机扫二维码进入操作界面完成此功能。</w:t>
            </w:r>
            <w:r>
              <w:rPr>
                <w:rFonts w:hint="eastAsia" w:ascii="宋体" w:hAnsi="宋体" w:eastAsia="宋体" w:cs="宋体"/>
                <w:b/>
                <w:bCs/>
                <w:color w:val="000000" w:themeColor="text1"/>
                <w:spacing w:val="0"/>
                <w:sz w:val="21"/>
                <w:szCs w:val="21"/>
                <w:u w:val="none"/>
                <w14:textFill>
                  <w14:solidFill>
                    <w14:schemeClr w14:val="tx1"/>
                  </w14:solidFill>
                </w14:textFill>
              </w:rPr>
              <w:t>（提供此功能二维码图片可现场扫码进入显示上述内容的动态操作界面）</w:t>
            </w:r>
          </w:p>
        </w:tc>
      </w:tr>
      <w:tr w14:paraId="0A48C3DA">
        <w:tblPrEx>
          <w:tblCellMar>
            <w:top w:w="0" w:type="dxa"/>
            <w:left w:w="108" w:type="dxa"/>
            <w:bottom w:w="0" w:type="dxa"/>
            <w:right w:w="108" w:type="dxa"/>
          </w:tblCellMar>
        </w:tblPrEx>
        <w:trPr>
          <w:trHeight w:val="0" w:hRule="atLeast"/>
          <w:jc w:val="center"/>
        </w:trPr>
        <w:tc>
          <w:tcPr>
            <w:tcW w:w="735" w:type="dxa"/>
            <w:vMerge w:val="continue"/>
            <w:tcBorders>
              <w:left w:val="single" w:color="auto" w:sz="4" w:space="0"/>
              <w:right w:val="single" w:color="auto" w:sz="4" w:space="0"/>
            </w:tcBorders>
            <w:shd w:val="clear" w:color="000000" w:fill="FFFFFF"/>
            <w:vAlign w:val="center"/>
          </w:tcPr>
          <w:p w14:paraId="34773DEC">
            <w:pPr>
              <w:widowControl/>
              <w:jc w:val="left"/>
              <w:rPr>
                <w:rFonts w:hint="eastAsia" w:ascii="宋体" w:hAnsi="宋体" w:cs="宋体"/>
                <w:b/>
                <w:bCs/>
                <w:color w:val="3F3F3F"/>
                <w:kern w:val="0"/>
                <w:sz w:val="22"/>
              </w:rPr>
            </w:pPr>
          </w:p>
        </w:tc>
        <w:tc>
          <w:tcPr>
            <w:tcW w:w="1200" w:type="dxa"/>
            <w:vMerge w:val="continue"/>
            <w:tcBorders>
              <w:left w:val="single" w:color="auto" w:sz="4" w:space="0"/>
              <w:right w:val="single" w:color="auto" w:sz="4" w:space="0"/>
            </w:tcBorders>
            <w:shd w:val="clear" w:color="000000" w:fill="FFFFFF"/>
            <w:vAlign w:val="center"/>
          </w:tcPr>
          <w:p w14:paraId="69465140">
            <w:pPr>
              <w:widowControl/>
              <w:rPr>
                <w:rFonts w:ascii="宋体" w:hAnsi="宋体" w:cs="宋体"/>
                <w:b/>
                <w:bCs/>
                <w:color w:val="3F3F3F"/>
                <w:kern w:val="0"/>
                <w:sz w:val="22"/>
              </w:rPr>
            </w:pPr>
          </w:p>
        </w:tc>
        <w:tc>
          <w:tcPr>
            <w:tcW w:w="8025" w:type="dxa"/>
            <w:tcBorders>
              <w:top w:val="single" w:color="auto" w:sz="4" w:space="0"/>
              <w:left w:val="single" w:color="auto" w:sz="4" w:space="0"/>
              <w:bottom w:val="single" w:color="auto" w:sz="4" w:space="0"/>
              <w:right w:val="single" w:color="auto" w:sz="4" w:space="0"/>
            </w:tcBorders>
            <w:shd w:val="clear" w:color="auto" w:fill="auto"/>
            <w:vAlign w:val="center"/>
          </w:tcPr>
          <w:p w14:paraId="3CCB9485">
            <w:pPr>
              <w:keepNext w:val="0"/>
              <w:keepLines w:val="0"/>
              <w:pageBreakBefore w:val="0"/>
              <w:widowControl/>
              <w:kinsoku/>
              <w:wordWrap/>
              <w:overflowPunct/>
              <w:topLinePunct w:val="0"/>
              <w:autoSpaceDE/>
              <w:autoSpaceDN/>
              <w:bidi w:val="0"/>
              <w:adjustRightInd/>
              <w:snapToGrid/>
              <w:spacing w:beforeAutospacing="0" w:afterAutospacing="0" w:line="240" w:lineRule="auto"/>
              <w:ind w:left="0" w:leftChars="0" w:firstLine="0" w:firstLineChars="0"/>
              <w:jc w:val="left"/>
              <w:textAlignment w:val="auto"/>
              <w:rPr>
                <w:rFonts w:hint="eastAsia" w:ascii="宋体" w:hAnsi="宋体" w:eastAsia="宋体" w:cs="宋体"/>
                <w:color w:val="000000" w:themeColor="text1"/>
                <w:spacing w:val="0"/>
                <w:kern w:val="2"/>
                <w:sz w:val="21"/>
                <w:szCs w:val="21"/>
                <w:lang w:val="en-US" w:eastAsia="zh-CN" w:bidi="ar-SA"/>
                <w14:textFill>
                  <w14:solidFill>
                    <w14:schemeClr w14:val="tx1"/>
                  </w14:solidFill>
                </w14:textFill>
              </w:rPr>
            </w:pPr>
            <w:r>
              <w:rPr>
                <w:rFonts w:hint="eastAsia" w:ascii="宋体" w:hAnsi="宋体" w:cs="宋体"/>
                <w:color w:val="000000" w:themeColor="text1"/>
                <w:spacing w:val="0"/>
                <w:sz w:val="21"/>
                <w:szCs w:val="21"/>
                <w:lang w:val="en-US" w:eastAsia="zh-CN"/>
                <w14:textFill>
                  <w14:solidFill>
                    <w14:schemeClr w14:val="tx1"/>
                  </w14:solidFill>
                </w14:textFill>
              </w:rPr>
              <w:t>16.</w:t>
            </w:r>
            <w:r>
              <w:rPr>
                <w:rFonts w:hint="eastAsia" w:ascii="宋体" w:hAnsi="宋体" w:eastAsia="宋体" w:cs="宋体"/>
                <w:color w:val="000000" w:themeColor="text1"/>
                <w:spacing w:val="0"/>
                <w:kern w:val="0"/>
                <w:sz w:val="21"/>
                <w:szCs w:val="21"/>
                <w14:textFill>
                  <w14:solidFill>
                    <w14:schemeClr w14:val="tx1"/>
                  </w14:solidFill>
                </w14:textFill>
              </w:rPr>
              <w:t>具备消毒液过期警告功能：可自动监测多个消毒槽和洗消机内消毒液的使用时间、使用次数，当到达使用周期一半时，系统通过颜色转换提醒洗消人员进行每镜一测，当使用周期已满，可语音提醒洗消人员进行更换。</w:t>
            </w:r>
          </w:p>
        </w:tc>
      </w:tr>
      <w:tr w14:paraId="6141346D">
        <w:tblPrEx>
          <w:tblCellMar>
            <w:top w:w="0" w:type="dxa"/>
            <w:left w:w="108" w:type="dxa"/>
            <w:bottom w:w="0" w:type="dxa"/>
            <w:right w:w="108" w:type="dxa"/>
          </w:tblCellMar>
        </w:tblPrEx>
        <w:trPr>
          <w:trHeight w:val="0" w:hRule="atLeast"/>
          <w:jc w:val="center"/>
        </w:trPr>
        <w:tc>
          <w:tcPr>
            <w:tcW w:w="735" w:type="dxa"/>
            <w:vMerge w:val="continue"/>
            <w:tcBorders>
              <w:left w:val="single" w:color="auto" w:sz="4" w:space="0"/>
              <w:right w:val="single" w:color="auto" w:sz="4" w:space="0"/>
            </w:tcBorders>
            <w:shd w:val="clear" w:color="000000" w:fill="FFFFFF"/>
            <w:vAlign w:val="center"/>
          </w:tcPr>
          <w:p w14:paraId="31CAB120">
            <w:pPr>
              <w:widowControl/>
              <w:jc w:val="left"/>
              <w:rPr>
                <w:rFonts w:hint="eastAsia" w:ascii="宋体" w:hAnsi="宋体" w:cs="宋体"/>
                <w:b/>
                <w:bCs/>
                <w:color w:val="3F3F3F"/>
                <w:kern w:val="0"/>
                <w:sz w:val="22"/>
              </w:rPr>
            </w:pPr>
          </w:p>
        </w:tc>
        <w:tc>
          <w:tcPr>
            <w:tcW w:w="1200" w:type="dxa"/>
            <w:vMerge w:val="continue"/>
            <w:tcBorders>
              <w:left w:val="single" w:color="auto" w:sz="4" w:space="0"/>
              <w:right w:val="single" w:color="auto" w:sz="4" w:space="0"/>
            </w:tcBorders>
            <w:shd w:val="clear" w:color="000000" w:fill="FFFFFF"/>
            <w:vAlign w:val="center"/>
          </w:tcPr>
          <w:p w14:paraId="7584EE17">
            <w:pPr>
              <w:widowControl/>
              <w:rPr>
                <w:rFonts w:ascii="宋体" w:hAnsi="宋体" w:cs="宋体"/>
                <w:b/>
                <w:bCs/>
                <w:color w:val="3F3F3F"/>
                <w:kern w:val="0"/>
                <w:sz w:val="22"/>
              </w:rPr>
            </w:pPr>
          </w:p>
        </w:tc>
        <w:tc>
          <w:tcPr>
            <w:tcW w:w="8025" w:type="dxa"/>
            <w:tcBorders>
              <w:top w:val="single" w:color="auto" w:sz="4" w:space="0"/>
              <w:left w:val="single" w:color="auto" w:sz="4" w:space="0"/>
              <w:bottom w:val="single" w:color="auto" w:sz="4" w:space="0"/>
              <w:right w:val="single" w:color="auto" w:sz="4" w:space="0"/>
            </w:tcBorders>
            <w:shd w:val="clear" w:color="auto" w:fill="auto"/>
            <w:vAlign w:val="center"/>
          </w:tcPr>
          <w:p w14:paraId="1E150E5E">
            <w:pPr>
              <w:keepNext w:val="0"/>
              <w:keepLines w:val="0"/>
              <w:pageBreakBefore w:val="0"/>
              <w:widowControl/>
              <w:kinsoku/>
              <w:wordWrap/>
              <w:overflowPunct/>
              <w:topLinePunct w:val="0"/>
              <w:autoSpaceDE/>
              <w:autoSpaceDN/>
              <w:bidi w:val="0"/>
              <w:adjustRightInd/>
              <w:snapToGrid/>
              <w:spacing w:beforeAutospacing="0" w:afterAutospacing="0" w:line="240" w:lineRule="auto"/>
              <w:ind w:left="0" w:leftChars="0" w:firstLine="0" w:firstLineChars="0"/>
              <w:jc w:val="left"/>
              <w:textAlignment w:val="auto"/>
              <w:rPr>
                <w:rFonts w:hint="eastAsia" w:ascii="宋体" w:hAnsi="宋体" w:eastAsia="宋体" w:cs="宋体"/>
                <w:color w:val="000000" w:themeColor="text1"/>
                <w:spacing w:val="0"/>
                <w:kern w:val="0"/>
                <w:sz w:val="21"/>
                <w:szCs w:val="21"/>
                <w:lang w:val="en-US" w:eastAsia="zh-CN" w:bidi="ar-SA"/>
                <w14:textFill>
                  <w14:solidFill>
                    <w14:schemeClr w14:val="tx1"/>
                  </w14:solidFill>
                </w14:textFill>
              </w:rPr>
            </w:pPr>
            <w:r>
              <w:rPr>
                <w:rFonts w:hint="eastAsia" w:ascii="宋体" w:hAnsi="宋体" w:eastAsia="宋体" w:cs="宋体"/>
                <w:color w:val="000000" w:themeColor="text1"/>
                <w:spacing w:val="0"/>
                <w:sz w:val="21"/>
                <w:szCs w:val="21"/>
                <w14:textFill>
                  <w14:solidFill>
                    <w14:schemeClr w14:val="tx1"/>
                  </w14:solidFill>
                </w14:textFill>
              </w:rPr>
              <w:t>▲</w:t>
            </w:r>
            <w:r>
              <w:rPr>
                <w:rFonts w:hint="eastAsia" w:ascii="宋体" w:hAnsi="宋体" w:cs="宋体"/>
                <w:color w:val="000000" w:themeColor="text1"/>
                <w:spacing w:val="0"/>
                <w:sz w:val="21"/>
                <w:szCs w:val="21"/>
                <w:lang w:val="en-US" w:eastAsia="zh-CN"/>
                <w14:textFill>
                  <w14:solidFill>
                    <w14:schemeClr w14:val="tx1"/>
                  </w14:solidFill>
                </w14:textFill>
              </w:rPr>
              <w:t>17.</w:t>
            </w:r>
            <w:r>
              <w:rPr>
                <w:rFonts w:hint="eastAsia" w:ascii="宋体" w:hAnsi="宋体" w:eastAsia="宋体" w:cs="宋体"/>
                <w:color w:val="000000" w:themeColor="text1"/>
                <w:spacing w:val="0"/>
                <w:sz w:val="21"/>
                <w:szCs w:val="21"/>
                <w14:textFill>
                  <w14:solidFill>
                    <w14:schemeClr w14:val="tx1"/>
                  </w14:solidFill>
                </w14:textFill>
              </w:rPr>
              <w:t>可使用手机下载追溯APP，APP应显示实时洗消界面并与PAD控制端显示同步、APP软件功能与主机应一致。</w:t>
            </w:r>
          </w:p>
        </w:tc>
      </w:tr>
      <w:tr w14:paraId="6BAF442D">
        <w:tblPrEx>
          <w:tblCellMar>
            <w:top w:w="0" w:type="dxa"/>
            <w:left w:w="108" w:type="dxa"/>
            <w:bottom w:w="0" w:type="dxa"/>
            <w:right w:w="108" w:type="dxa"/>
          </w:tblCellMar>
        </w:tblPrEx>
        <w:trPr>
          <w:trHeight w:val="0" w:hRule="atLeast"/>
          <w:jc w:val="center"/>
        </w:trPr>
        <w:tc>
          <w:tcPr>
            <w:tcW w:w="735" w:type="dxa"/>
            <w:vMerge w:val="continue"/>
            <w:tcBorders>
              <w:left w:val="single" w:color="auto" w:sz="4" w:space="0"/>
              <w:right w:val="single" w:color="auto" w:sz="4" w:space="0"/>
            </w:tcBorders>
            <w:shd w:val="clear" w:color="000000" w:fill="FFFFFF"/>
            <w:vAlign w:val="center"/>
          </w:tcPr>
          <w:p w14:paraId="2FB8CD3C">
            <w:pPr>
              <w:widowControl/>
              <w:jc w:val="left"/>
              <w:rPr>
                <w:rFonts w:hint="eastAsia" w:ascii="宋体" w:hAnsi="宋体" w:cs="宋体"/>
                <w:b/>
                <w:bCs/>
                <w:color w:val="3F3F3F"/>
                <w:kern w:val="0"/>
                <w:sz w:val="22"/>
              </w:rPr>
            </w:pPr>
          </w:p>
        </w:tc>
        <w:tc>
          <w:tcPr>
            <w:tcW w:w="1200" w:type="dxa"/>
            <w:vMerge w:val="continue"/>
            <w:tcBorders>
              <w:left w:val="single" w:color="auto" w:sz="4" w:space="0"/>
              <w:right w:val="single" w:color="auto" w:sz="4" w:space="0"/>
            </w:tcBorders>
            <w:shd w:val="clear" w:color="000000" w:fill="FFFFFF"/>
            <w:vAlign w:val="center"/>
          </w:tcPr>
          <w:p w14:paraId="65097D36">
            <w:pPr>
              <w:widowControl/>
              <w:rPr>
                <w:rFonts w:ascii="宋体" w:hAnsi="宋体" w:cs="宋体"/>
                <w:b/>
                <w:bCs/>
                <w:color w:val="3F3F3F"/>
                <w:kern w:val="0"/>
                <w:sz w:val="22"/>
              </w:rPr>
            </w:pPr>
          </w:p>
        </w:tc>
        <w:tc>
          <w:tcPr>
            <w:tcW w:w="8025" w:type="dxa"/>
            <w:tcBorders>
              <w:top w:val="single" w:color="auto" w:sz="4" w:space="0"/>
              <w:left w:val="single" w:color="auto" w:sz="4" w:space="0"/>
              <w:bottom w:val="single" w:color="auto" w:sz="4" w:space="0"/>
              <w:right w:val="single" w:color="auto" w:sz="4" w:space="0"/>
            </w:tcBorders>
            <w:shd w:val="clear" w:color="auto" w:fill="auto"/>
            <w:vAlign w:val="center"/>
          </w:tcPr>
          <w:p w14:paraId="64217FA7">
            <w:pPr>
              <w:keepNext w:val="0"/>
              <w:keepLines w:val="0"/>
              <w:pageBreakBefore w:val="0"/>
              <w:widowControl/>
              <w:kinsoku/>
              <w:wordWrap/>
              <w:overflowPunct/>
              <w:topLinePunct w:val="0"/>
              <w:autoSpaceDE/>
              <w:autoSpaceDN/>
              <w:bidi w:val="0"/>
              <w:adjustRightInd/>
              <w:snapToGrid/>
              <w:spacing w:beforeAutospacing="0" w:afterAutospacing="0" w:line="240" w:lineRule="auto"/>
              <w:ind w:left="0" w:leftChars="0" w:firstLine="0" w:firstLineChars="0"/>
              <w:jc w:val="left"/>
              <w:textAlignment w:val="auto"/>
              <w:rPr>
                <w:rFonts w:hint="eastAsia" w:ascii="宋体" w:hAnsi="宋体" w:eastAsia="宋体" w:cs="宋体"/>
                <w:color w:val="000000" w:themeColor="text1"/>
                <w:spacing w:val="0"/>
                <w:kern w:val="2"/>
                <w:sz w:val="21"/>
                <w:szCs w:val="21"/>
                <w:lang w:val="en-US" w:eastAsia="zh-CN" w:bidi="ar-SA"/>
                <w14:textFill>
                  <w14:solidFill>
                    <w14:schemeClr w14:val="tx1"/>
                  </w14:solidFill>
                </w14:textFill>
              </w:rPr>
            </w:pPr>
            <w:r>
              <w:rPr>
                <w:rFonts w:hint="eastAsia" w:ascii="宋体" w:hAnsi="宋体" w:cs="宋体"/>
                <w:color w:val="000000" w:themeColor="text1"/>
                <w:spacing w:val="0"/>
                <w:sz w:val="21"/>
                <w:szCs w:val="21"/>
                <w:lang w:val="en-US" w:eastAsia="zh-CN"/>
                <w14:textFill>
                  <w14:solidFill>
                    <w14:schemeClr w14:val="tx1"/>
                  </w14:solidFill>
                </w14:textFill>
              </w:rPr>
              <w:t>18.</w:t>
            </w:r>
            <w:r>
              <w:rPr>
                <w:rFonts w:hint="eastAsia" w:ascii="宋体" w:hAnsi="宋体" w:eastAsia="宋体" w:cs="宋体"/>
                <w:color w:val="000000" w:themeColor="text1"/>
                <w:spacing w:val="0"/>
                <w:sz w:val="21"/>
                <w:szCs w:val="21"/>
                <w14:textFill>
                  <w14:solidFill>
                    <w14:schemeClr w14:val="tx1"/>
                  </w14:solidFill>
                </w14:textFill>
              </w:rPr>
              <w:t>有多种对接方式：与诊疗间的内镜图文工作站连接，并</w:t>
            </w:r>
            <w:r>
              <w:rPr>
                <w:rFonts w:hint="eastAsia" w:ascii="宋体" w:hAnsi="宋体" w:eastAsia="宋体" w:cs="宋体"/>
                <w:color w:val="000000" w:themeColor="text1"/>
                <w:spacing w:val="0"/>
                <w:kern w:val="0"/>
                <w:sz w:val="21"/>
                <w:szCs w:val="21"/>
                <w14:textFill>
                  <w14:solidFill>
                    <w14:schemeClr w14:val="tx1"/>
                  </w14:solidFill>
                </w14:textFill>
              </w:rPr>
              <w:t>与检查患者进行绑定，需在内镜图文报告中生成洗消数据，保存并打印在内镜图文报告上。使患者对所做内镜的洗消流程、消毒效果知情，</w:t>
            </w:r>
            <w:r>
              <w:rPr>
                <w:rFonts w:hint="eastAsia" w:ascii="宋体" w:hAnsi="宋体" w:eastAsia="宋体" w:cs="宋体"/>
                <w:color w:val="000000" w:themeColor="text1"/>
                <w:spacing w:val="0"/>
                <w:sz w:val="21"/>
                <w:szCs w:val="21"/>
                <w14:textFill>
                  <w14:solidFill>
                    <w14:schemeClr w14:val="tx1"/>
                  </w14:solidFill>
                </w14:textFill>
              </w:rPr>
              <w:t>需图文工作站对接。以院方实际信息系统为准实现信息对接。</w:t>
            </w:r>
          </w:p>
        </w:tc>
      </w:tr>
      <w:tr w14:paraId="664A8133">
        <w:tblPrEx>
          <w:tblCellMar>
            <w:top w:w="0" w:type="dxa"/>
            <w:left w:w="108" w:type="dxa"/>
            <w:bottom w:w="0" w:type="dxa"/>
            <w:right w:w="108" w:type="dxa"/>
          </w:tblCellMar>
        </w:tblPrEx>
        <w:trPr>
          <w:trHeight w:val="645" w:hRule="atLeast"/>
          <w:jc w:val="center"/>
        </w:trPr>
        <w:tc>
          <w:tcPr>
            <w:tcW w:w="735" w:type="dxa"/>
            <w:vMerge w:val="continue"/>
            <w:tcBorders>
              <w:left w:val="single" w:color="auto" w:sz="4" w:space="0"/>
              <w:bottom w:val="single" w:color="auto" w:sz="4" w:space="0"/>
              <w:right w:val="single" w:color="auto" w:sz="4" w:space="0"/>
            </w:tcBorders>
            <w:shd w:val="clear" w:color="000000" w:fill="FFFFFF"/>
            <w:vAlign w:val="center"/>
          </w:tcPr>
          <w:p w14:paraId="4998EC4C">
            <w:pPr>
              <w:widowControl/>
              <w:jc w:val="left"/>
              <w:rPr>
                <w:rFonts w:hint="eastAsia" w:ascii="宋体" w:hAnsi="宋体" w:cs="宋体"/>
                <w:b/>
                <w:bCs/>
                <w:color w:val="3F3F3F"/>
                <w:kern w:val="0"/>
                <w:sz w:val="22"/>
              </w:rPr>
            </w:pPr>
          </w:p>
        </w:tc>
        <w:tc>
          <w:tcPr>
            <w:tcW w:w="1200" w:type="dxa"/>
            <w:vMerge w:val="continue"/>
            <w:tcBorders>
              <w:left w:val="single" w:color="auto" w:sz="4" w:space="0"/>
              <w:bottom w:val="single" w:color="auto" w:sz="4" w:space="0"/>
              <w:right w:val="single" w:color="auto" w:sz="4" w:space="0"/>
            </w:tcBorders>
            <w:shd w:val="clear" w:color="000000" w:fill="FFFFFF"/>
            <w:vAlign w:val="center"/>
          </w:tcPr>
          <w:p w14:paraId="1B2644DE">
            <w:pPr>
              <w:widowControl/>
              <w:rPr>
                <w:rFonts w:ascii="宋体" w:hAnsi="宋体" w:cs="宋体"/>
                <w:b/>
                <w:bCs/>
                <w:color w:val="3F3F3F"/>
                <w:kern w:val="0"/>
                <w:sz w:val="22"/>
              </w:rPr>
            </w:pPr>
          </w:p>
        </w:tc>
        <w:tc>
          <w:tcPr>
            <w:tcW w:w="8025" w:type="dxa"/>
            <w:tcBorders>
              <w:top w:val="single" w:color="auto" w:sz="4" w:space="0"/>
              <w:left w:val="single" w:color="auto" w:sz="4" w:space="0"/>
              <w:bottom w:val="single" w:color="auto" w:sz="4" w:space="0"/>
              <w:right w:val="single" w:color="auto" w:sz="4" w:space="0"/>
            </w:tcBorders>
            <w:shd w:val="clear" w:color="auto" w:fill="auto"/>
            <w:vAlign w:val="center"/>
          </w:tcPr>
          <w:p w14:paraId="78417111">
            <w:pPr>
              <w:numPr>
                <w:ilvl w:val="0"/>
                <w:numId w:val="0"/>
              </w:numPr>
              <w:ind w:left="-420" w:leftChars="0" w:firstLine="420" w:firstLineChars="0"/>
              <w:jc w:val="left"/>
              <w:rPr>
                <w:rFonts w:hint="default" w:ascii="宋体" w:hAnsi="宋体" w:eastAsia="宋体" w:cs="宋体"/>
                <w:kern w:val="2"/>
                <w:sz w:val="21"/>
                <w:szCs w:val="21"/>
                <w:lang w:val="en-US" w:eastAsia="zh-CN" w:bidi="ar-SA"/>
              </w:rPr>
            </w:pPr>
            <w:r>
              <w:rPr>
                <w:rFonts w:hint="eastAsia" w:ascii="宋体" w:hAnsi="宋体" w:cs="宋体"/>
                <w:b/>
                <w:bCs/>
                <w:color w:val="3F3F3F"/>
                <w:kern w:val="0"/>
                <w:sz w:val="21"/>
                <w:szCs w:val="21"/>
                <w:lang w:val="en-US" w:eastAsia="zh-CN"/>
              </w:rPr>
              <w:t>★</w:t>
            </w:r>
            <w:r>
              <w:rPr>
                <w:rFonts w:hint="eastAsia" w:ascii="宋体" w:hAnsi="宋体" w:eastAsia="宋体" w:cs="宋体"/>
                <w:b/>
                <w:bCs/>
                <w:color w:val="3F3F3F"/>
                <w:kern w:val="0"/>
                <w:sz w:val="21"/>
                <w:szCs w:val="21"/>
                <w:lang w:val="en-US" w:eastAsia="zh-CN"/>
              </w:rPr>
              <w:t>配置清单</w:t>
            </w:r>
          </w:p>
          <w:p w14:paraId="1DD5AF03">
            <w:pPr>
              <w:numPr>
                <w:ilvl w:val="0"/>
                <w:numId w:val="0"/>
              </w:numPr>
              <w:ind w:left="-420" w:leftChars="0" w:firstLine="420" w:firstLineChars="0"/>
              <w:jc w:val="left"/>
              <w:rPr>
                <w:rFonts w:hint="eastAsia" w:ascii="宋体" w:hAnsi="宋体" w:eastAsia="宋体" w:cs="宋体"/>
                <w:sz w:val="21"/>
                <w:szCs w:val="21"/>
              </w:rPr>
            </w:pPr>
            <w:r>
              <w:rPr>
                <w:rFonts w:hint="default" w:ascii="宋体" w:hAnsi="宋体" w:eastAsia="宋体" w:cs="宋体"/>
                <w:kern w:val="2"/>
                <w:sz w:val="21"/>
                <w:szCs w:val="21"/>
                <w:lang w:val="en-US" w:eastAsia="zh-CN" w:bidi="ar-SA"/>
              </w:rPr>
              <w:t>1．</w:t>
            </w:r>
            <w:r>
              <w:rPr>
                <w:rFonts w:hint="eastAsia" w:ascii="宋体" w:hAnsi="宋体" w:eastAsia="宋体" w:cs="宋体"/>
                <w:sz w:val="21"/>
                <w:szCs w:val="21"/>
              </w:rPr>
              <w:t>内窥镜组合式双方池：1组</w:t>
            </w:r>
          </w:p>
          <w:p w14:paraId="73449A52">
            <w:pPr>
              <w:numPr>
                <w:ilvl w:val="0"/>
                <w:numId w:val="0"/>
              </w:numPr>
              <w:ind w:left="-420" w:leftChars="0" w:firstLine="420" w:firstLineChars="0"/>
              <w:jc w:val="left"/>
              <w:rPr>
                <w:rFonts w:hint="eastAsia" w:ascii="宋体" w:hAnsi="宋体" w:eastAsia="宋体" w:cs="宋体"/>
                <w:sz w:val="21"/>
                <w:szCs w:val="21"/>
              </w:rPr>
            </w:pPr>
            <w:r>
              <w:rPr>
                <w:rFonts w:hint="default" w:ascii="宋体" w:hAnsi="宋体" w:eastAsia="宋体" w:cs="宋体"/>
                <w:kern w:val="2"/>
                <w:sz w:val="21"/>
                <w:szCs w:val="21"/>
                <w:lang w:val="en-US" w:eastAsia="zh-CN" w:bidi="ar-SA"/>
              </w:rPr>
              <w:t>2．</w:t>
            </w:r>
            <w:r>
              <w:rPr>
                <w:rFonts w:hint="eastAsia" w:ascii="宋体" w:hAnsi="宋体" w:eastAsia="宋体" w:cs="宋体"/>
                <w:sz w:val="21"/>
                <w:szCs w:val="21"/>
              </w:rPr>
              <w:t>1.8米内窥镜组合式干燥台：1个</w:t>
            </w:r>
          </w:p>
          <w:p w14:paraId="1D57194D">
            <w:pPr>
              <w:numPr>
                <w:ilvl w:val="0"/>
                <w:numId w:val="0"/>
              </w:numPr>
              <w:ind w:left="-420" w:leftChars="0" w:firstLine="420" w:firstLineChars="0"/>
              <w:jc w:val="left"/>
              <w:rPr>
                <w:rFonts w:hint="eastAsia" w:ascii="宋体" w:hAnsi="宋体" w:eastAsia="宋体" w:cs="宋体"/>
                <w:sz w:val="21"/>
                <w:szCs w:val="21"/>
              </w:rPr>
            </w:pPr>
            <w:r>
              <w:rPr>
                <w:rFonts w:hint="default" w:ascii="宋体" w:hAnsi="宋体" w:eastAsia="宋体" w:cs="宋体"/>
                <w:kern w:val="2"/>
                <w:sz w:val="21"/>
                <w:szCs w:val="21"/>
                <w:lang w:val="en-US" w:eastAsia="zh-CN" w:bidi="ar-SA"/>
              </w:rPr>
              <w:t>3．</w:t>
            </w:r>
            <w:r>
              <w:rPr>
                <w:rFonts w:hint="eastAsia" w:ascii="宋体" w:hAnsi="宋体" w:eastAsia="宋体" w:cs="宋体"/>
                <w:sz w:val="21"/>
                <w:szCs w:val="21"/>
              </w:rPr>
              <w:t>0.75米转角超声台：1个</w:t>
            </w:r>
          </w:p>
          <w:p w14:paraId="28439D26">
            <w:pPr>
              <w:numPr>
                <w:ilvl w:val="0"/>
                <w:numId w:val="0"/>
              </w:numPr>
              <w:ind w:left="-420" w:leftChars="0" w:firstLine="420" w:firstLineChars="0"/>
              <w:jc w:val="left"/>
              <w:rPr>
                <w:rFonts w:hint="eastAsia" w:ascii="宋体" w:hAnsi="宋体" w:eastAsia="宋体" w:cs="宋体"/>
                <w:sz w:val="21"/>
                <w:szCs w:val="21"/>
              </w:rPr>
            </w:pPr>
            <w:r>
              <w:rPr>
                <w:rFonts w:hint="default" w:ascii="宋体" w:hAnsi="宋体" w:eastAsia="宋体" w:cs="宋体"/>
                <w:kern w:val="2"/>
                <w:sz w:val="21"/>
                <w:szCs w:val="21"/>
                <w:lang w:val="en-US" w:eastAsia="zh-CN" w:bidi="ar-SA"/>
              </w:rPr>
              <w:t>4．</w:t>
            </w:r>
            <w:r>
              <w:rPr>
                <w:rFonts w:hint="eastAsia" w:ascii="宋体" w:hAnsi="宋体" w:eastAsia="宋体" w:cs="宋体"/>
                <w:sz w:val="21"/>
                <w:szCs w:val="21"/>
              </w:rPr>
              <w:t>清洗槽（池）柜体 ：1套</w:t>
            </w:r>
          </w:p>
          <w:p w14:paraId="55EE88B3">
            <w:pPr>
              <w:numPr>
                <w:ilvl w:val="0"/>
                <w:numId w:val="0"/>
              </w:numPr>
              <w:ind w:left="-420" w:leftChars="0" w:firstLine="420" w:firstLineChars="0"/>
              <w:jc w:val="left"/>
              <w:rPr>
                <w:rFonts w:hint="eastAsia" w:ascii="宋体" w:hAnsi="宋体" w:eastAsia="宋体" w:cs="宋体"/>
                <w:sz w:val="21"/>
                <w:szCs w:val="21"/>
              </w:rPr>
            </w:pPr>
            <w:r>
              <w:rPr>
                <w:rFonts w:hint="default" w:ascii="宋体" w:hAnsi="宋体" w:eastAsia="宋体" w:cs="宋体"/>
                <w:kern w:val="2"/>
                <w:sz w:val="21"/>
                <w:szCs w:val="21"/>
                <w:lang w:val="en-US" w:eastAsia="zh-CN" w:bidi="ar-SA"/>
              </w:rPr>
              <w:t>5．</w:t>
            </w:r>
            <w:r>
              <w:rPr>
                <w:rFonts w:hint="eastAsia" w:ascii="宋体" w:hAnsi="宋体" w:eastAsia="宋体" w:cs="宋体"/>
                <w:sz w:val="21"/>
                <w:szCs w:val="21"/>
              </w:rPr>
              <w:t>中功能背板 ： 1套</w:t>
            </w:r>
          </w:p>
          <w:p w14:paraId="1855B748">
            <w:pPr>
              <w:numPr>
                <w:ilvl w:val="0"/>
                <w:numId w:val="0"/>
              </w:numPr>
              <w:ind w:left="-420" w:leftChars="0" w:firstLine="420" w:firstLineChars="0"/>
              <w:jc w:val="left"/>
              <w:rPr>
                <w:rFonts w:hint="eastAsia" w:ascii="宋体" w:hAnsi="宋体" w:eastAsia="宋体" w:cs="宋体"/>
                <w:sz w:val="21"/>
                <w:szCs w:val="21"/>
              </w:rPr>
            </w:pPr>
            <w:r>
              <w:rPr>
                <w:rFonts w:hint="default" w:ascii="宋体" w:hAnsi="宋体" w:eastAsia="宋体" w:cs="宋体"/>
                <w:kern w:val="2"/>
                <w:sz w:val="21"/>
                <w:szCs w:val="21"/>
                <w:lang w:val="en-US" w:eastAsia="zh-CN" w:bidi="ar-SA"/>
              </w:rPr>
              <w:t>6．</w:t>
            </w:r>
            <w:r>
              <w:rPr>
                <w:rFonts w:hint="eastAsia" w:ascii="宋体" w:hAnsi="宋体" w:eastAsia="宋体" w:cs="宋体"/>
                <w:sz w:val="21"/>
                <w:szCs w:val="21"/>
              </w:rPr>
              <w:t>304不锈钢专用水龙头 ：1个</w:t>
            </w:r>
          </w:p>
          <w:p w14:paraId="594F68A3">
            <w:pPr>
              <w:numPr>
                <w:ilvl w:val="0"/>
                <w:numId w:val="0"/>
              </w:numPr>
              <w:ind w:left="-420" w:leftChars="0" w:firstLine="420" w:firstLineChars="0"/>
              <w:jc w:val="left"/>
              <w:rPr>
                <w:rFonts w:hint="eastAsia" w:ascii="宋体" w:hAnsi="宋体" w:eastAsia="宋体" w:cs="宋体"/>
                <w:sz w:val="21"/>
                <w:szCs w:val="21"/>
              </w:rPr>
            </w:pPr>
            <w:r>
              <w:rPr>
                <w:rFonts w:hint="default" w:ascii="宋体" w:hAnsi="宋体" w:eastAsia="宋体" w:cs="宋体"/>
                <w:kern w:val="2"/>
                <w:sz w:val="21"/>
                <w:szCs w:val="21"/>
                <w:lang w:val="en-US" w:eastAsia="zh-CN" w:bidi="ar-SA"/>
              </w:rPr>
              <w:t>7．</w:t>
            </w:r>
            <w:r>
              <w:rPr>
                <w:rFonts w:hint="eastAsia" w:ascii="宋体" w:hAnsi="宋体" w:eastAsia="宋体" w:cs="宋体"/>
                <w:sz w:val="21"/>
                <w:szCs w:val="21"/>
              </w:rPr>
              <w:t>自动电子水源开关 ：1个</w:t>
            </w:r>
          </w:p>
          <w:p w14:paraId="603A0C95">
            <w:pPr>
              <w:numPr>
                <w:ilvl w:val="0"/>
                <w:numId w:val="0"/>
              </w:numPr>
              <w:ind w:left="-420" w:leftChars="0" w:firstLine="420" w:firstLineChars="0"/>
              <w:jc w:val="left"/>
              <w:rPr>
                <w:rFonts w:hint="eastAsia" w:ascii="宋体" w:hAnsi="宋体" w:eastAsia="宋体" w:cs="宋体"/>
                <w:sz w:val="21"/>
                <w:szCs w:val="21"/>
              </w:rPr>
            </w:pPr>
            <w:r>
              <w:rPr>
                <w:rFonts w:hint="default" w:ascii="宋体" w:hAnsi="宋体" w:eastAsia="宋体" w:cs="宋体"/>
                <w:kern w:val="2"/>
                <w:sz w:val="21"/>
                <w:szCs w:val="21"/>
                <w:lang w:val="en-US" w:eastAsia="zh-CN" w:bidi="ar-SA"/>
              </w:rPr>
              <w:t>8．</w:t>
            </w:r>
            <w:r>
              <w:rPr>
                <w:rFonts w:hint="eastAsia" w:ascii="宋体" w:hAnsi="宋体" w:eastAsia="宋体" w:cs="宋体"/>
                <w:sz w:val="21"/>
                <w:szCs w:val="21"/>
              </w:rPr>
              <w:t>专用给排水管路 ：1套</w:t>
            </w:r>
          </w:p>
          <w:p w14:paraId="718ECE80">
            <w:pPr>
              <w:numPr>
                <w:ilvl w:val="0"/>
                <w:numId w:val="0"/>
              </w:numPr>
              <w:ind w:left="-420" w:leftChars="0" w:firstLine="420" w:firstLineChars="0"/>
              <w:jc w:val="left"/>
              <w:rPr>
                <w:rFonts w:hint="eastAsia" w:ascii="宋体" w:hAnsi="宋体" w:eastAsia="宋体" w:cs="宋体"/>
                <w:sz w:val="21"/>
                <w:szCs w:val="21"/>
              </w:rPr>
            </w:pPr>
            <w:r>
              <w:rPr>
                <w:rFonts w:hint="default" w:ascii="宋体" w:hAnsi="宋体" w:eastAsia="宋体" w:cs="宋体"/>
                <w:kern w:val="2"/>
                <w:sz w:val="21"/>
                <w:szCs w:val="21"/>
                <w:lang w:val="en-US" w:eastAsia="zh-CN" w:bidi="ar-SA"/>
              </w:rPr>
              <w:t>9．</w:t>
            </w:r>
            <w:r>
              <w:rPr>
                <w:rFonts w:hint="eastAsia" w:ascii="宋体" w:hAnsi="宋体" w:eastAsia="宋体" w:cs="宋体"/>
                <w:sz w:val="21"/>
                <w:szCs w:val="21"/>
              </w:rPr>
              <w:t>纯净水质处理器 ：1套</w:t>
            </w:r>
          </w:p>
          <w:p w14:paraId="26D38913">
            <w:pPr>
              <w:numPr>
                <w:ilvl w:val="0"/>
                <w:numId w:val="0"/>
              </w:numPr>
              <w:ind w:left="-420" w:leftChars="0" w:firstLine="420" w:firstLineChars="0"/>
              <w:jc w:val="left"/>
              <w:rPr>
                <w:rFonts w:hint="eastAsia" w:ascii="宋体" w:hAnsi="宋体" w:eastAsia="宋体" w:cs="宋体"/>
                <w:sz w:val="21"/>
                <w:szCs w:val="21"/>
              </w:rPr>
            </w:pPr>
            <w:r>
              <w:rPr>
                <w:rFonts w:hint="default" w:ascii="宋体" w:hAnsi="宋体" w:eastAsia="宋体" w:cs="宋体"/>
                <w:kern w:val="2"/>
                <w:sz w:val="21"/>
                <w:szCs w:val="21"/>
                <w:lang w:val="en-US" w:eastAsia="zh-CN" w:bidi="ar-SA"/>
              </w:rPr>
              <w:t>10．</w:t>
            </w:r>
            <w:r>
              <w:rPr>
                <w:rFonts w:hint="eastAsia" w:ascii="宋体" w:hAnsi="宋体" w:eastAsia="宋体" w:cs="宋体"/>
                <w:sz w:val="21"/>
                <w:szCs w:val="21"/>
              </w:rPr>
              <w:t>高压气枪：1把</w:t>
            </w:r>
          </w:p>
          <w:p w14:paraId="053AE2FD">
            <w:pPr>
              <w:numPr>
                <w:ilvl w:val="0"/>
                <w:numId w:val="0"/>
              </w:numPr>
              <w:ind w:left="-420" w:leftChars="0" w:firstLine="420" w:firstLineChars="0"/>
              <w:jc w:val="left"/>
              <w:rPr>
                <w:rFonts w:hint="eastAsia" w:ascii="宋体" w:hAnsi="宋体" w:eastAsia="宋体" w:cs="宋体"/>
                <w:sz w:val="21"/>
                <w:szCs w:val="21"/>
              </w:rPr>
            </w:pPr>
            <w:r>
              <w:rPr>
                <w:rFonts w:hint="default" w:ascii="宋体" w:hAnsi="宋体" w:eastAsia="宋体" w:cs="宋体"/>
                <w:kern w:val="2"/>
                <w:sz w:val="21"/>
                <w:szCs w:val="21"/>
                <w:lang w:val="en-US" w:eastAsia="zh-CN" w:bidi="ar-SA"/>
              </w:rPr>
              <w:t>11．</w:t>
            </w:r>
            <w:r>
              <w:rPr>
                <w:rFonts w:hint="eastAsia" w:ascii="宋体" w:hAnsi="宋体" w:eastAsia="宋体" w:cs="宋体"/>
                <w:sz w:val="21"/>
                <w:szCs w:val="21"/>
              </w:rPr>
              <w:t>医用无油空气压缩机 ： 1台</w:t>
            </w:r>
          </w:p>
          <w:p w14:paraId="6B812295">
            <w:pPr>
              <w:numPr>
                <w:ilvl w:val="0"/>
                <w:numId w:val="0"/>
              </w:numPr>
              <w:ind w:left="-420" w:leftChars="0" w:firstLine="420" w:firstLineChars="0"/>
              <w:jc w:val="left"/>
              <w:rPr>
                <w:rFonts w:hint="eastAsia" w:ascii="宋体" w:hAnsi="宋体" w:eastAsia="宋体" w:cs="宋体"/>
                <w:sz w:val="21"/>
                <w:szCs w:val="21"/>
              </w:rPr>
            </w:pPr>
            <w:r>
              <w:rPr>
                <w:rFonts w:hint="default" w:ascii="宋体" w:hAnsi="宋体" w:eastAsia="宋体" w:cs="宋体"/>
                <w:kern w:val="2"/>
                <w:sz w:val="21"/>
                <w:szCs w:val="21"/>
                <w:lang w:val="en-US" w:eastAsia="zh-CN" w:bidi="ar-SA"/>
              </w:rPr>
              <w:t>12．</w:t>
            </w:r>
            <w:r>
              <w:rPr>
                <w:rFonts w:hint="eastAsia" w:ascii="宋体" w:hAnsi="宋体" w:eastAsia="宋体" w:cs="宋体"/>
                <w:sz w:val="21"/>
                <w:szCs w:val="21"/>
              </w:rPr>
              <w:t>高效空气过滤器 ： 1套</w:t>
            </w:r>
          </w:p>
          <w:p w14:paraId="3E772724">
            <w:pPr>
              <w:numPr>
                <w:ilvl w:val="0"/>
                <w:numId w:val="0"/>
              </w:numPr>
              <w:ind w:left="-420" w:leftChars="0" w:firstLine="420" w:firstLineChars="0"/>
              <w:jc w:val="left"/>
              <w:rPr>
                <w:rFonts w:hint="eastAsia" w:ascii="宋体" w:hAnsi="宋体" w:eastAsia="宋体" w:cs="宋体"/>
                <w:sz w:val="21"/>
                <w:szCs w:val="21"/>
              </w:rPr>
            </w:pPr>
            <w:r>
              <w:rPr>
                <w:rFonts w:hint="default" w:ascii="宋体" w:hAnsi="宋体" w:eastAsia="宋体" w:cs="宋体"/>
                <w:kern w:val="2"/>
                <w:sz w:val="21"/>
                <w:szCs w:val="21"/>
                <w:lang w:val="en-US" w:eastAsia="zh-CN" w:bidi="ar-SA"/>
              </w:rPr>
              <w:t>13．</w:t>
            </w:r>
            <w:r>
              <w:rPr>
                <w:rFonts w:hint="eastAsia" w:ascii="宋体" w:hAnsi="宋体" w:eastAsia="宋体" w:cs="宋体"/>
                <w:sz w:val="21"/>
                <w:szCs w:val="21"/>
              </w:rPr>
              <w:t>酶液/消毒液灌注装置 ：1套</w:t>
            </w:r>
          </w:p>
          <w:p w14:paraId="134F0C8D">
            <w:pPr>
              <w:numPr>
                <w:ilvl w:val="0"/>
                <w:numId w:val="0"/>
              </w:numPr>
              <w:ind w:left="-420" w:leftChars="0" w:firstLine="420" w:firstLineChars="0"/>
              <w:jc w:val="left"/>
              <w:rPr>
                <w:rFonts w:hint="eastAsia" w:ascii="宋体" w:hAnsi="宋体" w:eastAsia="宋体" w:cs="宋体"/>
                <w:sz w:val="21"/>
                <w:szCs w:val="21"/>
              </w:rPr>
            </w:pPr>
            <w:r>
              <w:rPr>
                <w:rFonts w:hint="default" w:ascii="宋体" w:hAnsi="宋体" w:eastAsia="宋体" w:cs="宋体"/>
                <w:kern w:val="2"/>
                <w:sz w:val="21"/>
                <w:szCs w:val="21"/>
                <w:lang w:val="en-US" w:eastAsia="zh-CN" w:bidi="ar-SA"/>
              </w:rPr>
              <w:t>14．</w:t>
            </w:r>
            <w:r>
              <w:rPr>
                <w:rFonts w:hint="eastAsia" w:ascii="宋体" w:hAnsi="宋体" w:eastAsia="宋体" w:cs="宋体"/>
                <w:sz w:val="21"/>
                <w:szCs w:val="21"/>
              </w:rPr>
              <w:t>水汽灌注装置；1套</w:t>
            </w:r>
          </w:p>
          <w:p w14:paraId="57781148">
            <w:pPr>
              <w:numPr>
                <w:ilvl w:val="0"/>
                <w:numId w:val="0"/>
              </w:numPr>
              <w:ind w:left="-420" w:leftChars="0" w:firstLine="420" w:firstLineChars="0"/>
              <w:jc w:val="left"/>
              <w:rPr>
                <w:rFonts w:hint="eastAsia" w:ascii="宋体" w:hAnsi="宋体" w:eastAsia="宋体" w:cs="宋体"/>
                <w:sz w:val="21"/>
                <w:szCs w:val="21"/>
              </w:rPr>
            </w:pPr>
            <w:r>
              <w:rPr>
                <w:rFonts w:hint="default" w:ascii="宋体" w:hAnsi="宋体" w:eastAsia="宋体" w:cs="宋体"/>
                <w:kern w:val="2"/>
                <w:sz w:val="21"/>
                <w:szCs w:val="21"/>
                <w:lang w:val="en-US" w:eastAsia="zh-CN" w:bidi="ar-SA"/>
              </w:rPr>
              <w:t>15．</w:t>
            </w:r>
            <w:r>
              <w:rPr>
                <w:rFonts w:hint="eastAsia" w:ascii="宋体" w:hAnsi="宋体" w:eastAsia="宋体" w:cs="宋体"/>
                <w:sz w:val="21"/>
                <w:szCs w:val="21"/>
              </w:rPr>
              <w:t>全管道灌流器： 2条</w:t>
            </w:r>
          </w:p>
          <w:p w14:paraId="07870FE6">
            <w:pPr>
              <w:numPr>
                <w:ilvl w:val="0"/>
                <w:numId w:val="0"/>
              </w:numPr>
              <w:ind w:left="-420" w:leftChars="0" w:firstLine="420" w:firstLineChars="0"/>
              <w:jc w:val="left"/>
              <w:rPr>
                <w:rFonts w:hint="eastAsia" w:ascii="宋体" w:hAnsi="宋体" w:eastAsia="宋体" w:cs="宋体"/>
                <w:sz w:val="21"/>
                <w:szCs w:val="21"/>
              </w:rPr>
            </w:pPr>
            <w:r>
              <w:rPr>
                <w:rFonts w:hint="default" w:ascii="宋体" w:hAnsi="宋体" w:eastAsia="宋体" w:cs="宋体"/>
                <w:kern w:val="2"/>
                <w:sz w:val="21"/>
                <w:szCs w:val="21"/>
                <w:lang w:val="en-US" w:eastAsia="zh-CN" w:bidi="ar-SA"/>
              </w:rPr>
              <w:t>16．</w:t>
            </w:r>
            <w:r>
              <w:rPr>
                <w:rFonts w:hint="eastAsia" w:ascii="宋体" w:hAnsi="宋体" w:eastAsia="宋体" w:cs="宋体"/>
                <w:sz w:val="21"/>
                <w:szCs w:val="21"/>
              </w:rPr>
              <w:t>灌流器快接插头（软）： 2个</w:t>
            </w:r>
          </w:p>
          <w:p w14:paraId="2361239B">
            <w:pPr>
              <w:numPr>
                <w:ilvl w:val="0"/>
                <w:numId w:val="0"/>
              </w:numPr>
              <w:ind w:left="-420" w:leftChars="0" w:firstLine="420" w:firstLineChars="0"/>
              <w:jc w:val="left"/>
              <w:rPr>
                <w:rFonts w:hint="eastAsia" w:ascii="宋体" w:hAnsi="宋体" w:eastAsia="宋体" w:cs="宋体"/>
                <w:sz w:val="21"/>
                <w:szCs w:val="21"/>
              </w:rPr>
            </w:pPr>
            <w:r>
              <w:rPr>
                <w:rFonts w:hint="default" w:ascii="宋体" w:hAnsi="宋体" w:eastAsia="宋体" w:cs="宋体"/>
                <w:kern w:val="2"/>
                <w:sz w:val="21"/>
                <w:szCs w:val="21"/>
                <w:lang w:val="en-US" w:eastAsia="zh-CN" w:bidi="ar-SA"/>
              </w:rPr>
              <w:t>17．</w:t>
            </w:r>
            <w:r>
              <w:rPr>
                <w:rFonts w:hint="eastAsia" w:ascii="宋体" w:hAnsi="宋体" w:eastAsia="宋体" w:cs="宋体"/>
                <w:sz w:val="21"/>
                <w:szCs w:val="21"/>
              </w:rPr>
              <w:t>活动纱布盒：1个</w:t>
            </w:r>
          </w:p>
          <w:p w14:paraId="443491C6">
            <w:pPr>
              <w:numPr>
                <w:ilvl w:val="0"/>
                <w:numId w:val="0"/>
              </w:numPr>
              <w:tabs>
                <w:tab w:val="center" w:pos="4535"/>
              </w:tabs>
              <w:ind w:left="-420" w:leftChars="0" w:firstLine="420" w:firstLineChars="0"/>
              <w:jc w:val="left"/>
              <w:rPr>
                <w:rFonts w:hint="eastAsia" w:ascii="宋体" w:hAnsi="宋体" w:eastAsia="宋体" w:cs="宋体"/>
                <w:sz w:val="21"/>
                <w:szCs w:val="21"/>
              </w:rPr>
            </w:pPr>
            <w:r>
              <w:rPr>
                <w:rFonts w:hint="default" w:ascii="宋体" w:hAnsi="宋体" w:eastAsia="宋体" w:cs="宋体"/>
                <w:kern w:val="2"/>
                <w:sz w:val="21"/>
                <w:szCs w:val="21"/>
                <w:lang w:val="en-US" w:eastAsia="zh-CN" w:bidi="ar-SA"/>
              </w:rPr>
              <w:t>18．</w:t>
            </w:r>
            <w:r>
              <w:rPr>
                <w:rFonts w:hint="eastAsia" w:ascii="宋体" w:hAnsi="宋体" w:eastAsia="宋体" w:cs="宋体"/>
                <w:sz w:val="21"/>
                <w:szCs w:val="21"/>
              </w:rPr>
              <w:t>四位挂物钩 ：1个</w:t>
            </w:r>
          </w:p>
          <w:p w14:paraId="73CC6AE9">
            <w:pPr>
              <w:numPr>
                <w:ilvl w:val="0"/>
                <w:numId w:val="0"/>
              </w:numPr>
              <w:tabs>
                <w:tab w:val="center" w:pos="4535"/>
              </w:tabs>
              <w:ind w:left="-420" w:leftChars="0" w:firstLine="420" w:firstLineChars="0"/>
              <w:jc w:val="left"/>
              <w:rPr>
                <w:rFonts w:hint="eastAsia" w:ascii="宋体" w:hAnsi="宋体" w:eastAsia="宋体" w:cs="宋体"/>
                <w:sz w:val="21"/>
                <w:szCs w:val="21"/>
              </w:rPr>
            </w:pPr>
            <w:r>
              <w:rPr>
                <w:rFonts w:hint="default" w:ascii="宋体" w:hAnsi="宋体" w:eastAsia="宋体" w:cs="宋体"/>
                <w:kern w:val="2"/>
                <w:sz w:val="21"/>
                <w:szCs w:val="21"/>
                <w:lang w:val="en-US" w:eastAsia="zh-CN" w:bidi="ar-SA"/>
              </w:rPr>
              <w:t>19．</w:t>
            </w:r>
            <w:r>
              <w:rPr>
                <w:rFonts w:hint="eastAsia" w:ascii="宋体" w:hAnsi="宋体" w:eastAsia="宋体" w:cs="宋体"/>
                <w:sz w:val="21"/>
                <w:szCs w:val="21"/>
              </w:rPr>
              <w:t>超声波清洗机；1台</w:t>
            </w:r>
          </w:p>
          <w:p w14:paraId="61B6E350">
            <w:pPr>
              <w:numPr>
                <w:ilvl w:val="0"/>
                <w:numId w:val="0"/>
              </w:numPr>
              <w:tabs>
                <w:tab w:val="center" w:pos="4535"/>
              </w:tabs>
              <w:ind w:left="-420" w:leftChars="0" w:firstLine="420" w:firstLineChars="0"/>
              <w:jc w:val="left"/>
              <w:rPr>
                <w:rFonts w:hint="eastAsia" w:ascii="宋体" w:hAnsi="宋体" w:eastAsia="宋体" w:cs="宋体"/>
                <w:sz w:val="21"/>
                <w:szCs w:val="21"/>
              </w:rPr>
            </w:pPr>
            <w:r>
              <w:rPr>
                <w:rFonts w:hint="default" w:ascii="宋体" w:hAnsi="宋体" w:eastAsia="宋体" w:cs="宋体"/>
                <w:kern w:val="2"/>
                <w:sz w:val="21"/>
                <w:szCs w:val="21"/>
                <w:lang w:val="en-US" w:eastAsia="zh-CN" w:bidi="ar-SA"/>
              </w:rPr>
              <w:t>20．</w:t>
            </w:r>
            <w:r>
              <w:rPr>
                <w:rFonts w:hint="eastAsia" w:ascii="宋体" w:hAnsi="宋体" w:eastAsia="宋体" w:cs="宋体"/>
                <w:sz w:val="21"/>
                <w:szCs w:val="21"/>
              </w:rPr>
              <w:t>内镜清洗消毒数据管理系统主机 ：1台</w:t>
            </w:r>
          </w:p>
          <w:p w14:paraId="267940E8">
            <w:pPr>
              <w:numPr>
                <w:ilvl w:val="0"/>
                <w:numId w:val="0"/>
              </w:numPr>
              <w:tabs>
                <w:tab w:val="center" w:pos="4535"/>
              </w:tabs>
              <w:ind w:left="-420" w:leftChars="0" w:firstLine="420" w:firstLineChars="0"/>
              <w:jc w:val="left"/>
              <w:rPr>
                <w:rFonts w:hint="eastAsia" w:ascii="宋体" w:hAnsi="宋体" w:eastAsia="宋体" w:cs="宋体"/>
                <w:sz w:val="21"/>
                <w:szCs w:val="21"/>
              </w:rPr>
            </w:pPr>
            <w:r>
              <w:rPr>
                <w:rFonts w:hint="default" w:ascii="宋体" w:hAnsi="宋体" w:eastAsia="宋体" w:cs="宋体"/>
                <w:kern w:val="2"/>
                <w:sz w:val="21"/>
                <w:szCs w:val="21"/>
                <w:lang w:val="en-US" w:eastAsia="zh-CN" w:bidi="ar-SA"/>
              </w:rPr>
              <w:t>21．</w:t>
            </w:r>
            <w:r>
              <w:rPr>
                <w:rFonts w:hint="eastAsia" w:ascii="宋体" w:hAnsi="宋体" w:eastAsia="宋体" w:cs="宋体"/>
                <w:sz w:val="21"/>
                <w:szCs w:val="21"/>
              </w:rPr>
              <w:t>PAD控制端：1台</w:t>
            </w:r>
          </w:p>
          <w:p w14:paraId="15663A09">
            <w:pPr>
              <w:numPr>
                <w:ilvl w:val="0"/>
                <w:numId w:val="0"/>
              </w:numPr>
              <w:tabs>
                <w:tab w:val="center" w:pos="4535"/>
              </w:tabs>
              <w:ind w:left="-420" w:leftChars="0" w:firstLine="420" w:firstLineChars="0"/>
              <w:jc w:val="left"/>
              <w:rPr>
                <w:rFonts w:hint="eastAsia" w:ascii="宋体" w:hAnsi="宋体" w:eastAsia="宋体" w:cs="宋体"/>
                <w:sz w:val="21"/>
                <w:szCs w:val="21"/>
              </w:rPr>
            </w:pPr>
            <w:r>
              <w:rPr>
                <w:rFonts w:hint="default" w:ascii="宋体" w:hAnsi="宋体" w:eastAsia="宋体" w:cs="宋体"/>
                <w:kern w:val="2"/>
                <w:sz w:val="21"/>
                <w:szCs w:val="21"/>
                <w:lang w:val="en-US" w:eastAsia="zh-CN" w:bidi="ar-SA"/>
              </w:rPr>
              <w:t>22．</w:t>
            </w:r>
            <w:r>
              <w:rPr>
                <w:rFonts w:hint="eastAsia" w:ascii="宋体" w:hAnsi="宋体" w:eastAsia="宋体" w:cs="宋体"/>
                <w:sz w:val="21"/>
                <w:szCs w:val="21"/>
              </w:rPr>
              <w:t>清洗数据采集器：6个</w:t>
            </w:r>
          </w:p>
          <w:p w14:paraId="33EFFE75">
            <w:pPr>
              <w:numPr>
                <w:ilvl w:val="0"/>
                <w:numId w:val="0"/>
              </w:numPr>
              <w:tabs>
                <w:tab w:val="center" w:pos="4535"/>
              </w:tabs>
              <w:ind w:left="-420" w:leftChars="0" w:firstLine="420" w:firstLineChars="0"/>
              <w:jc w:val="left"/>
              <w:rPr>
                <w:rFonts w:hint="eastAsia" w:ascii="宋体" w:hAnsi="宋体" w:eastAsia="宋体" w:cs="宋体"/>
                <w:sz w:val="21"/>
                <w:szCs w:val="21"/>
              </w:rPr>
            </w:pPr>
            <w:r>
              <w:rPr>
                <w:rFonts w:hint="default" w:ascii="宋体" w:hAnsi="宋体" w:eastAsia="宋体" w:cs="宋体"/>
                <w:kern w:val="2"/>
                <w:sz w:val="21"/>
                <w:szCs w:val="21"/>
                <w:lang w:val="en-US" w:eastAsia="zh-CN" w:bidi="ar-SA"/>
              </w:rPr>
              <w:t>23．</w:t>
            </w:r>
            <w:r>
              <w:rPr>
                <w:rFonts w:hint="eastAsia" w:ascii="宋体" w:hAnsi="宋体" w:eastAsia="宋体" w:cs="宋体"/>
                <w:sz w:val="21"/>
                <w:szCs w:val="21"/>
              </w:rPr>
              <w:t>网络数据采集系统：1套</w:t>
            </w:r>
          </w:p>
          <w:p w14:paraId="5385003C">
            <w:pPr>
              <w:numPr>
                <w:ilvl w:val="0"/>
                <w:numId w:val="0"/>
              </w:numPr>
              <w:tabs>
                <w:tab w:val="center" w:pos="4535"/>
              </w:tabs>
              <w:ind w:left="-420" w:leftChars="0" w:firstLine="420" w:firstLineChars="0"/>
              <w:jc w:val="left"/>
              <w:rPr>
                <w:rFonts w:hint="eastAsia" w:ascii="宋体" w:hAnsi="宋体" w:eastAsia="宋体" w:cs="宋体"/>
                <w:sz w:val="21"/>
                <w:szCs w:val="21"/>
              </w:rPr>
            </w:pPr>
            <w:r>
              <w:rPr>
                <w:rFonts w:hint="default" w:ascii="宋体" w:hAnsi="宋体" w:eastAsia="宋体" w:cs="宋体"/>
                <w:kern w:val="2"/>
                <w:sz w:val="21"/>
                <w:szCs w:val="21"/>
                <w:lang w:val="en-US" w:eastAsia="zh-CN" w:bidi="ar-SA"/>
              </w:rPr>
              <w:t>24．</w:t>
            </w:r>
            <w:r>
              <w:rPr>
                <w:rFonts w:hint="eastAsia" w:ascii="宋体" w:hAnsi="宋体" w:eastAsia="宋体" w:cs="宋体"/>
                <w:sz w:val="21"/>
                <w:szCs w:val="21"/>
              </w:rPr>
              <w:t>镜身编号卡： 10张</w:t>
            </w:r>
          </w:p>
          <w:p w14:paraId="1DAB4ADC">
            <w:pPr>
              <w:numPr>
                <w:ilvl w:val="0"/>
                <w:numId w:val="0"/>
              </w:numPr>
              <w:tabs>
                <w:tab w:val="center" w:pos="4535"/>
              </w:tabs>
              <w:ind w:left="-420" w:leftChars="0" w:firstLine="420" w:firstLineChars="0"/>
              <w:jc w:val="left"/>
              <w:rPr>
                <w:rFonts w:hint="eastAsia" w:ascii="宋体" w:hAnsi="宋体" w:eastAsia="宋体" w:cs="宋体"/>
                <w:sz w:val="21"/>
                <w:szCs w:val="21"/>
              </w:rPr>
            </w:pPr>
            <w:r>
              <w:rPr>
                <w:rFonts w:hint="default" w:ascii="宋体" w:hAnsi="宋体" w:eastAsia="宋体" w:cs="宋体"/>
                <w:kern w:val="2"/>
                <w:sz w:val="21"/>
                <w:szCs w:val="21"/>
                <w:lang w:val="en-US" w:eastAsia="zh-CN" w:bidi="ar-SA"/>
              </w:rPr>
              <w:t>25．</w:t>
            </w:r>
            <w:r>
              <w:rPr>
                <w:rFonts w:hint="eastAsia" w:ascii="宋体" w:hAnsi="宋体" w:eastAsia="宋体" w:cs="宋体"/>
                <w:sz w:val="21"/>
                <w:szCs w:val="21"/>
              </w:rPr>
              <w:t>洗消人员编号卡：10张</w:t>
            </w:r>
          </w:p>
        </w:tc>
      </w:tr>
    </w:tbl>
    <w:p w14:paraId="13F9C569">
      <w:pPr>
        <w:spacing w:line="360" w:lineRule="exact"/>
        <w:jc w:val="left"/>
        <w:rPr>
          <w:rFonts w:ascii="微软雅黑" w:hAnsi="微软雅黑" w:eastAsia="微软雅黑" w:cs="宋体"/>
          <w:color w:val="3F3F3F"/>
          <w:kern w:val="0"/>
          <w:sz w:val="20"/>
          <w:szCs w:val="20"/>
        </w:rPr>
      </w:pPr>
    </w:p>
    <w:p w14:paraId="03239023">
      <w:pPr>
        <w:spacing w:line="360" w:lineRule="exact"/>
        <w:jc w:val="left"/>
        <w:rPr>
          <w:rFonts w:ascii="微软雅黑" w:hAnsi="微软雅黑" w:eastAsia="微软雅黑" w:cs="宋体"/>
          <w:color w:val="3F3F3F"/>
          <w:kern w:val="0"/>
          <w:sz w:val="20"/>
          <w:szCs w:val="20"/>
        </w:rPr>
      </w:pPr>
    </w:p>
    <w:p w14:paraId="462AE3B6">
      <w:pPr>
        <w:spacing w:line="360" w:lineRule="exact"/>
        <w:jc w:val="left"/>
        <w:rPr>
          <w:rFonts w:ascii="微软雅黑" w:hAnsi="微软雅黑" w:eastAsia="微软雅黑" w:cs="宋体"/>
          <w:color w:val="3F3F3F"/>
          <w:kern w:val="0"/>
          <w:sz w:val="20"/>
          <w:szCs w:val="20"/>
        </w:rPr>
      </w:pPr>
    </w:p>
    <w:p w14:paraId="410ACE75">
      <w:pPr>
        <w:spacing w:line="360" w:lineRule="exact"/>
        <w:jc w:val="left"/>
        <w:rPr>
          <w:rFonts w:ascii="微软雅黑" w:hAnsi="微软雅黑" w:eastAsia="微软雅黑" w:cs="宋体"/>
          <w:color w:val="3F3F3F"/>
          <w:kern w:val="0"/>
          <w:sz w:val="20"/>
          <w:szCs w:val="20"/>
        </w:rPr>
        <w:sectPr>
          <w:pgSz w:w="11906" w:h="16838"/>
          <w:pgMar w:top="1440" w:right="1080" w:bottom="1440" w:left="1080" w:header="851" w:footer="992" w:gutter="0"/>
          <w:cols w:space="425" w:num="1"/>
          <w:docGrid w:type="lines" w:linePitch="312" w:charSpace="0"/>
        </w:sectPr>
      </w:pPr>
    </w:p>
    <w:p w14:paraId="1BADA95F">
      <w:pPr>
        <w:pStyle w:val="2"/>
        <w:jc w:val="center"/>
        <w:rPr>
          <w:kern w:val="0"/>
        </w:rPr>
      </w:pPr>
      <w:r>
        <w:rPr>
          <w:rFonts w:hint="eastAsia"/>
          <w:kern w:val="0"/>
        </w:rPr>
        <w:t>设备配套耗材试剂情况</w:t>
      </w:r>
    </w:p>
    <w:p w14:paraId="0C5615B6">
      <w:pPr>
        <w:jc w:val="left"/>
        <w:rPr>
          <w:rFonts w:ascii="宋体" w:hAnsi="宋体" w:cs="宋体"/>
          <w:b/>
          <w:bCs/>
          <w:kern w:val="0"/>
          <w:sz w:val="28"/>
          <w:szCs w:val="28"/>
        </w:rPr>
      </w:pPr>
      <w:r>
        <w:rPr>
          <w:rFonts w:hint="eastAsia" w:ascii="宋体" w:hAnsi="宋体" w:cs="宋体"/>
          <w:b/>
          <w:bCs/>
          <w:kern w:val="0"/>
          <w:sz w:val="28"/>
          <w:szCs w:val="28"/>
        </w:rPr>
        <w:t>配套耗材或试剂  （</w:t>
      </w:r>
      <w:r>
        <w:rPr>
          <w:rFonts w:hint="eastAsia" w:ascii="宋体" w:hAnsi="宋体" w:cs="宋体"/>
          <w:b/>
          <w:bCs/>
          <w:color w:val="FF0000"/>
          <w:kern w:val="0"/>
          <w:sz w:val="28"/>
          <w:szCs w:val="28"/>
        </w:rPr>
        <w:t>开放</w:t>
      </w:r>
      <w:r>
        <w:rPr>
          <w:rFonts w:hint="eastAsia" w:ascii="宋体" w:hAnsi="宋体" w:cs="宋体"/>
          <w:b/>
          <w:bCs/>
          <w:color w:val="FF0000"/>
          <w:kern w:val="0"/>
          <w:sz w:val="28"/>
          <w:szCs w:val="28"/>
          <w:lang w:eastAsia="zh-CN"/>
        </w:rPr>
        <w:t>☑</w:t>
      </w:r>
      <w:r>
        <w:rPr>
          <w:rFonts w:hint="eastAsia" w:ascii="宋体" w:hAnsi="宋体" w:cs="宋体"/>
          <w:b/>
          <w:bCs/>
          <w:color w:val="FF0000"/>
          <w:kern w:val="0"/>
          <w:sz w:val="28"/>
          <w:szCs w:val="28"/>
        </w:rPr>
        <w:t xml:space="preserve"> </w:t>
      </w:r>
      <w:r>
        <w:rPr>
          <w:rFonts w:ascii="宋体" w:hAnsi="宋体" w:cs="宋体"/>
          <w:b/>
          <w:bCs/>
          <w:color w:val="FF0000"/>
          <w:kern w:val="0"/>
          <w:sz w:val="28"/>
          <w:szCs w:val="28"/>
        </w:rPr>
        <w:t xml:space="preserve">  </w:t>
      </w:r>
      <w:r>
        <w:rPr>
          <w:rFonts w:hint="eastAsia" w:ascii="宋体" w:hAnsi="宋体" w:cs="宋体"/>
          <w:b/>
          <w:bCs/>
          <w:color w:val="FF0000"/>
          <w:kern w:val="0"/>
          <w:sz w:val="28"/>
          <w:szCs w:val="28"/>
        </w:rPr>
        <w:t xml:space="preserve">专用□ </w:t>
      </w:r>
      <w:r>
        <w:rPr>
          <w:rFonts w:ascii="宋体" w:hAnsi="宋体" w:cs="宋体"/>
          <w:b/>
          <w:bCs/>
          <w:color w:val="FF0000"/>
          <w:kern w:val="0"/>
          <w:sz w:val="28"/>
          <w:szCs w:val="28"/>
        </w:rPr>
        <w:t xml:space="preserve"> </w:t>
      </w:r>
      <w:r>
        <w:rPr>
          <w:rFonts w:hint="eastAsia" w:ascii="宋体" w:hAnsi="宋体" w:cs="宋体"/>
          <w:b/>
          <w:bCs/>
          <w:color w:val="FF0000"/>
          <w:kern w:val="0"/>
          <w:sz w:val="28"/>
          <w:szCs w:val="28"/>
        </w:rPr>
        <w:t xml:space="preserve"> 无□</w:t>
      </w:r>
      <w:r>
        <w:rPr>
          <w:rFonts w:hint="eastAsia" w:ascii="宋体" w:hAnsi="宋体" w:cs="宋体"/>
          <w:b/>
          <w:bCs/>
          <w:kern w:val="0"/>
          <w:sz w:val="28"/>
          <w:szCs w:val="28"/>
        </w:rPr>
        <w:t xml:space="preserve">） </w:t>
      </w:r>
    </w:p>
    <w:p w14:paraId="07B970F1">
      <w:pPr>
        <w:jc w:val="left"/>
        <w:rPr>
          <w:rFonts w:ascii="宋体" w:hAnsi="宋体" w:cs="宋体"/>
          <w:b/>
          <w:bCs/>
          <w:kern w:val="0"/>
          <w:sz w:val="24"/>
          <w:szCs w:val="24"/>
        </w:rPr>
      </w:pPr>
    </w:p>
    <w:p w14:paraId="2DFC442D">
      <w:pPr>
        <w:jc w:val="left"/>
        <w:rPr>
          <w:rFonts w:ascii="宋体" w:hAnsi="宋体" w:cs="宋体"/>
          <w:b/>
          <w:bCs/>
          <w:kern w:val="0"/>
          <w:sz w:val="24"/>
          <w:szCs w:val="24"/>
        </w:rPr>
      </w:pPr>
      <w:r>
        <w:rPr>
          <w:rFonts w:hint="eastAsia" w:ascii="宋体" w:hAnsi="宋体" w:cs="宋体"/>
          <w:b/>
          <w:bCs/>
          <w:kern w:val="0"/>
          <w:sz w:val="24"/>
          <w:szCs w:val="24"/>
        </w:rPr>
        <w:t>配套耗材</w:t>
      </w:r>
    </w:p>
    <w:tbl>
      <w:tblPr>
        <w:tblStyle w:val="7"/>
        <w:tblW w:w="0" w:type="auto"/>
        <w:tblInd w:w="-17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0"/>
        <w:gridCol w:w="5094"/>
        <w:gridCol w:w="1985"/>
        <w:gridCol w:w="2126"/>
      </w:tblGrid>
      <w:tr w14:paraId="3387DC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trPr>
        <w:tc>
          <w:tcPr>
            <w:tcW w:w="860" w:type="dxa"/>
            <w:vAlign w:val="center"/>
          </w:tcPr>
          <w:p w14:paraId="09CF921E">
            <w:pPr>
              <w:jc w:val="center"/>
              <w:rPr>
                <w:rFonts w:ascii="仿宋_GB2312" w:hAnsi="Times New Roman" w:eastAsia="仿宋_GB2312"/>
                <w:b/>
                <w:sz w:val="24"/>
                <w:szCs w:val="21"/>
              </w:rPr>
            </w:pPr>
            <w:r>
              <w:rPr>
                <w:rFonts w:hint="eastAsia" w:ascii="仿宋_GB2312" w:hAnsi="Times New Roman" w:eastAsia="仿宋_GB2312"/>
                <w:b/>
                <w:sz w:val="24"/>
                <w:szCs w:val="21"/>
              </w:rPr>
              <w:t>序号</w:t>
            </w:r>
          </w:p>
        </w:tc>
        <w:tc>
          <w:tcPr>
            <w:tcW w:w="5094" w:type="dxa"/>
            <w:vAlign w:val="center"/>
          </w:tcPr>
          <w:p w14:paraId="3D599C65">
            <w:pPr>
              <w:jc w:val="center"/>
              <w:rPr>
                <w:rFonts w:ascii="仿宋_GB2312" w:hAnsi="Times New Roman" w:eastAsia="仿宋_GB2312"/>
                <w:b/>
                <w:sz w:val="24"/>
                <w:szCs w:val="21"/>
              </w:rPr>
            </w:pPr>
            <w:r>
              <w:rPr>
                <w:rFonts w:hint="eastAsia" w:ascii="仿宋_GB2312" w:hAnsi="Times New Roman" w:eastAsia="仿宋_GB2312"/>
                <w:b/>
                <w:sz w:val="24"/>
                <w:szCs w:val="21"/>
              </w:rPr>
              <w:t>名称</w:t>
            </w:r>
          </w:p>
        </w:tc>
        <w:tc>
          <w:tcPr>
            <w:tcW w:w="1985" w:type="dxa"/>
            <w:vAlign w:val="center"/>
          </w:tcPr>
          <w:p w14:paraId="39996901">
            <w:pPr>
              <w:jc w:val="center"/>
              <w:rPr>
                <w:rFonts w:ascii="仿宋_GB2312" w:hAnsi="Times New Roman" w:eastAsia="仿宋_GB2312"/>
                <w:b/>
                <w:sz w:val="24"/>
                <w:szCs w:val="21"/>
              </w:rPr>
            </w:pPr>
            <w:r>
              <w:rPr>
                <w:rFonts w:hint="eastAsia" w:ascii="仿宋_GB2312" w:hAnsi="Times New Roman" w:eastAsia="仿宋_GB2312"/>
                <w:b/>
                <w:sz w:val="24"/>
                <w:szCs w:val="21"/>
              </w:rPr>
              <w:t>单位</w:t>
            </w:r>
          </w:p>
        </w:tc>
        <w:tc>
          <w:tcPr>
            <w:tcW w:w="2126" w:type="dxa"/>
            <w:vAlign w:val="center"/>
          </w:tcPr>
          <w:p w14:paraId="1008DAE1">
            <w:pPr>
              <w:jc w:val="center"/>
              <w:rPr>
                <w:rFonts w:ascii="仿宋_GB2312" w:hAnsi="Times New Roman" w:eastAsia="仿宋_GB2312"/>
                <w:b/>
                <w:sz w:val="24"/>
                <w:szCs w:val="21"/>
              </w:rPr>
            </w:pPr>
            <w:r>
              <w:rPr>
                <w:rFonts w:hint="eastAsia" w:ascii="仿宋_GB2312" w:hAnsi="Times New Roman" w:eastAsia="仿宋_GB2312"/>
                <w:b/>
                <w:sz w:val="24"/>
                <w:szCs w:val="21"/>
              </w:rPr>
              <w:t>预算单价（元）</w:t>
            </w:r>
          </w:p>
        </w:tc>
      </w:tr>
      <w:tr w14:paraId="1C4FA6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4" w:hRule="atLeast"/>
        </w:trPr>
        <w:tc>
          <w:tcPr>
            <w:tcW w:w="860" w:type="dxa"/>
            <w:vAlign w:val="center"/>
          </w:tcPr>
          <w:p w14:paraId="3923DCBA">
            <w:pPr>
              <w:jc w:val="center"/>
              <w:rPr>
                <w:rFonts w:ascii="仿宋_GB2312" w:hAnsi="Times New Roman" w:eastAsia="仿宋_GB2312"/>
                <w:b/>
                <w:sz w:val="28"/>
                <w:szCs w:val="21"/>
              </w:rPr>
            </w:pPr>
            <w:r>
              <w:rPr>
                <w:rFonts w:hint="eastAsia" w:ascii="仿宋_GB2312" w:hAnsi="Times New Roman" w:eastAsia="仿宋_GB2312"/>
                <w:b/>
                <w:sz w:val="28"/>
                <w:szCs w:val="21"/>
              </w:rPr>
              <w:t>1</w:t>
            </w:r>
          </w:p>
        </w:tc>
        <w:tc>
          <w:tcPr>
            <w:tcW w:w="5094" w:type="dxa"/>
            <w:vAlign w:val="center"/>
          </w:tcPr>
          <w:p w14:paraId="0E548A3D">
            <w:pPr>
              <w:spacing w:line="480" w:lineRule="auto"/>
              <w:jc w:val="center"/>
              <w:rPr>
                <w:rFonts w:ascii="仿宋_GB2312" w:hAnsi="Times New Roman" w:eastAsia="仿宋_GB2312"/>
                <w:b/>
                <w:sz w:val="28"/>
                <w:szCs w:val="21"/>
              </w:rPr>
            </w:pPr>
            <w:r>
              <w:rPr>
                <w:rFonts w:hint="eastAsia" w:ascii="宋体" w:hAnsi="宋体"/>
                <w:sz w:val="24"/>
                <w:szCs w:val="24"/>
                <w:lang w:eastAsia="zh-CN"/>
              </w:rPr>
              <w:t>0.2μ</w:t>
            </w:r>
            <w:r>
              <w:rPr>
                <w:rFonts w:hint="eastAsia" w:ascii="宋体" w:hAnsi="宋体"/>
                <w:sz w:val="24"/>
                <w:szCs w:val="24"/>
                <w:lang w:val="en-US" w:eastAsia="zh-CN"/>
              </w:rPr>
              <w:t>mPET</w:t>
            </w:r>
            <w:r>
              <w:rPr>
                <w:rFonts w:hint="eastAsia" w:ascii="宋体" w:hAnsi="宋体"/>
                <w:sz w:val="24"/>
                <w:szCs w:val="24"/>
                <w:lang w:eastAsia="zh-CN"/>
              </w:rPr>
              <w:t>空气过滤器</w:t>
            </w:r>
          </w:p>
        </w:tc>
        <w:tc>
          <w:tcPr>
            <w:tcW w:w="1985" w:type="dxa"/>
            <w:vAlign w:val="center"/>
          </w:tcPr>
          <w:p w14:paraId="0314712F">
            <w:pPr>
              <w:spacing w:line="480" w:lineRule="auto"/>
              <w:jc w:val="center"/>
              <w:rPr>
                <w:rFonts w:ascii="仿宋_GB2312" w:hAnsi="Times New Roman" w:eastAsia="仿宋_GB2312"/>
                <w:b/>
                <w:sz w:val="28"/>
                <w:szCs w:val="21"/>
              </w:rPr>
            </w:pPr>
            <w:r>
              <w:rPr>
                <w:rFonts w:hint="eastAsia" w:ascii="宋体" w:hAnsi="宋体"/>
                <w:sz w:val="24"/>
                <w:szCs w:val="24"/>
                <w:lang w:val="en-US" w:eastAsia="zh-CN"/>
              </w:rPr>
              <w:t>个</w:t>
            </w:r>
          </w:p>
        </w:tc>
        <w:tc>
          <w:tcPr>
            <w:tcW w:w="2126" w:type="dxa"/>
            <w:vAlign w:val="center"/>
          </w:tcPr>
          <w:p w14:paraId="61BE77A2">
            <w:pPr>
              <w:spacing w:line="480" w:lineRule="auto"/>
              <w:jc w:val="center"/>
              <w:rPr>
                <w:rFonts w:ascii="仿宋_GB2312" w:hAnsi="Times New Roman" w:eastAsia="仿宋_GB2312"/>
                <w:b/>
                <w:sz w:val="28"/>
                <w:szCs w:val="21"/>
              </w:rPr>
            </w:pPr>
            <w:r>
              <w:rPr>
                <w:rFonts w:hint="eastAsia" w:ascii="宋体" w:hAnsi="宋体"/>
                <w:sz w:val="24"/>
                <w:szCs w:val="24"/>
                <w:lang w:val="en-US" w:eastAsia="zh-CN"/>
              </w:rPr>
              <w:t>1500</w:t>
            </w:r>
          </w:p>
        </w:tc>
      </w:tr>
      <w:tr w14:paraId="2C3D06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8" w:hRule="atLeast"/>
        </w:trPr>
        <w:tc>
          <w:tcPr>
            <w:tcW w:w="860" w:type="dxa"/>
            <w:vAlign w:val="center"/>
          </w:tcPr>
          <w:p w14:paraId="177BFB02">
            <w:pPr>
              <w:jc w:val="center"/>
              <w:rPr>
                <w:rFonts w:hint="eastAsia" w:ascii="仿宋_GB2312" w:hAnsi="Times New Roman" w:eastAsia="仿宋_GB2312"/>
                <w:b/>
                <w:sz w:val="28"/>
                <w:szCs w:val="21"/>
                <w:lang w:eastAsia="zh-CN"/>
              </w:rPr>
            </w:pPr>
            <w:r>
              <w:rPr>
                <w:rFonts w:hint="eastAsia" w:ascii="仿宋_GB2312" w:hAnsi="Times New Roman" w:eastAsia="仿宋_GB2312"/>
                <w:b/>
                <w:sz w:val="28"/>
                <w:szCs w:val="21"/>
                <w:lang w:val="en-US" w:eastAsia="zh-CN"/>
              </w:rPr>
              <w:t>2</w:t>
            </w:r>
          </w:p>
        </w:tc>
        <w:tc>
          <w:tcPr>
            <w:tcW w:w="5094" w:type="dxa"/>
            <w:vAlign w:val="center"/>
          </w:tcPr>
          <w:p w14:paraId="4B258B7B">
            <w:pPr>
              <w:spacing w:line="480" w:lineRule="auto"/>
              <w:jc w:val="center"/>
              <w:rPr>
                <w:rFonts w:ascii="仿宋_GB2312" w:hAnsi="Times New Roman" w:eastAsia="仿宋_GB2312"/>
                <w:b/>
                <w:sz w:val="28"/>
                <w:szCs w:val="21"/>
              </w:rPr>
            </w:pPr>
            <w:r>
              <w:rPr>
                <w:rFonts w:hint="eastAsia" w:ascii="宋体" w:hAnsi="宋体"/>
                <w:sz w:val="24"/>
                <w:szCs w:val="24"/>
                <w:lang w:eastAsia="zh-CN"/>
              </w:rPr>
              <w:t>银离子滤芯</w:t>
            </w:r>
          </w:p>
        </w:tc>
        <w:tc>
          <w:tcPr>
            <w:tcW w:w="1985" w:type="dxa"/>
            <w:vAlign w:val="top"/>
          </w:tcPr>
          <w:p w14:paraId="79199984">
            <w:pPr>
              <w:spacing w:line="480" w:lineRule="auto"/>
              <w:jc w:val="center"/>
              <w:rPr>
                <w:rFonts w:ascii="仿宋_GB2312" w:hAnsi="Times New Roman" w:eastAsia="仿宋_GB2312"/>
                <w:b/>
                <w:sz w:val="28"/>
                <w:szCs w:val="21"/>
              </w:rPr>
            </w:pPr>
            <w:r>
              <w:rPr>
                <w:rFonts w:hint="eastAsia" w:ascii="宋体" w:hAnsi="宋体"/>
                <w:sz w:val="24"/>
                <w:szCs w:val="24"/>
                <w:lang w:val="en-US" w:eastAsia="zh-CN"/>
              </w:rPr>
              <w:t>条</w:t>
            </w:r>
          </w:p>
        </w:tc>
        <w:tc>
          <w:tcPr>
            <w:tcW w:w="2126" w:type="dxa"/>
            <w:vAlign w:val="top"/>
          </w:tcPr>
          <w:p w14:paraId="19AD5031">
            <w:pPr>
              <w:spacing w:line="480" w:lineRule="auto"/>
              <w:jc w:val="center"/>
              <w:rPr>
                <w:rFonts w:ascii="仿宋_GB2312" w:hAnsi="Times New Roman" w:eastAsia="仿宋_GB2312"/>
                <w:b/>
                <w:sz w:val="28"/>
                <w:szCs w:val="21"/>
              </w:rPr>
            </w:pPr>
            <w:r>
              <w:rPr>
                <w:rFonts w:hint="eastAsia" w:ascii="宋体" w:hAnsi="宋体"/>
                <w:sz w:val="24"/>
                <w:szCs w:val="24"/>
                <w:lang w:val="en-US" w:eastAsia="zh-CN"/>
              </w:rPr>
              <w:t>800</w:t>
            </w:r>
          </w:p>
        </w:tc>
      </w:tr>
    </w:tbl>
    <w:p w14:paraId="270E385F">
      <w:pPr>
        <w:jc w:val="left"/>
        <w:rPr>
          <w:rFonts w:ascii="Times New Roman" w:hAnsi="Times New Roman"/>
          <w:szCs w:val="21"/>
        </w:rPr>
      </w:pPr>
    </w:p>
    <w:p w14:paraId="57C50929">
      <w:pPr>
        <w:jc w:val="left"/>
        <w:rPr>
          <w:rFonts w:ascii="宋体" w:hAnsi="宋体" w:cs="宋体"/>
          <w:b/>
          <w:bCs/>
          <w:kern w:val="0"/>
          <w:sz w:val="24"/>
          <w:szCs w:val="24"/>
        </w:rPr>
      </w:pPr>
      <w:r>
        <w:rPr>
          <w:rFonts w:hint="eastAsia" w:ascii="宋体" w:hAnsi="宋体" w:cs="宋体"/>
          <w:b/>
          <w:bCs/>
          <w:kern w:val="0"/>
          <w:sz w:val="24"/>
          <w:szCs w:val="24"/>
        </w:rPr>
        <w:t xml:space="preserve">配套试剂 </w:t>
      </w:r>
    </w:p>
    <w:tbl>
      <w:tblPr>
        <w:tblStyle w:val="7"/>
        <w:tblW w:w="10065" w:type="dxa"/>
        <w:tblInd w:w="-17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7"/>
        <w:gridCol w:w="5107"/>
        <w:gridCol w:w="1985"/>
        <w:gridCol w:w="2126"/>
      </w:tblGrid>
      <w:tr w14:paraId="092172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7" w:hRule="atLeast"/>
        </w:trPr>
        <w:tc>
          <w:tcPr>
            <w:tcW w:w="847" w:type="dxa"/>
            <w:vAlign w:val="center"/>
          </w:tcPr>
          <w:p w14:paraId="69A62E7E">
            <w:pPr>
              <w:jc w:val="center"/>
              <w:rPr>
                <w:rFonts w:ascii="仿宋_GB2312" w:hAnsi="Times New Roman" w:eastAsia="仿宋_GB2312"/>
                <w:b/>
                <w:sz w:val="24"/>
                <w:szCs w:val="21"/>
              </w:rPr>
            </w:pPr>
            <w:r>
              <w:rPr>
                <w:rFonts w:hint="eastAsia" w:ascii="仿宋_GB2312" w:hAnsi="Times New Roman" w:eastAsia="仿宋_GB2312"/>
                <w:b/>
                <w:sz w:val="24"/>
                <w:szCs w:val="21"/>
              </w:rPr>
              <w:t>序号</w:t>
            </w:r>
          </w:p>
        </w:tc>
        <w:tc>
          <w:tcPr>
            <w:tcW w:w="5107" w:type="dxa"/>
            <w:vAlign w:val="center"/>
          </w:tcPr>
          <w:p w14:paraId="7C104B96">
            <w:pPr>
              <w:jc w:val="center"/>
              <w:rPr>
                <w:rFonts w:ascii="仿宋_GB2312" w:hAnsi="Times New Roman" w:eastAsia="仿宋_GB2312"/>
                <w:b/>
                <w:sz w:val="24"/>
                <w:szCs w:val="21"/>
              </w:rPr>
            </w:pPr>
            <w:r>
              <w:rPr>
                <w:rFonts w:hint="eastAsia" w:ascii="仿宋_GB2312" w:hAnsi="Times New Roman" w:eastAsia="仿宋_GB2312"/>
                <w:b/>
                <w:sz w:val="24"/>
                <w:szCs w:val="21"/>
              </w:rPr>
              <w:t>名称</w:t>
            </w:r>
          </w:p>
        </w:tc>
        <w:tc>
          <w:tcPr>
            <w:tcW w:w="1985" w:type="dxa"/>
            <w:vAlign w:val="center"/>
          </w:tcPr>
          <w:p w14:paraId="7510A876">
            <w:pPr>
              <w:jc w:val="center"/>
              <w:rPr>
                <w:rFonts w:ascii="仿宋_GB2312" w:hAnsi="Times New Roman" w:eastAsia="仿宋_GB2312"/>
                <w:b/>
                <w:sz w:val="24"/>
                <w:szCs w:val="21"/>
              </w:rPr>
            </w:pPr>
            <w:r>
              <w:rPr>
                <w:rFonts w:hint="eastAsia" w:ascii="仿宋_GB2312" w:hAnsi="Times New Roman" w:eastAsia="仿宋_GB2312"/>
                <w:b/>
                <w:sz w:val="24"/>
                <w:szCs w:val="21"/>
              </w:rPr>
              <w:t>单位</w:t>
            </w:r>
          </w:p>
        </w:tc>
        <w:tc>
          <w:tcPr>
            <w:tcW w:w="2126" w:type="dxa"/>
            <w:vAlign w:val="center"/>
          </w:tcPr>
          <w:p w14:paraId="04D2BF6B">
            <w:pPr>
              <w:jc w:val="center"/>
              <w:rPr>
                <w:rFonts w:ascii="仿宋_GB2312" w:hAnsi="Times New Roman" w:eastAsia="仿宋_GB2312"/>
                <w:b/>
                <w:sz w:val="24"/>
                <w:szCs w:val="21"/>
              </w:rPr>
            </w:pPr>
            <w:r>
              <w:rPr>
                <w:rFonts w:hint="eastAsia" w:ascii="仿宋_GB2312" w:hAnsi="Times New Roman" w:eastAsia="仿宋_GB2312"/>
                <w:b/>
                <w:sz w:val="24"/>
                <w:szCs w:val="21"/>
              </w:rPr>
              <w:t>预算单价（元）</w:t>
            </w:r>
          </w:p>
        </w:tc>
      </w:tr>
      <w:tr w14:paraId="0C5695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2" w:hRule="atLeast"/>
        </w:trPr>
        <w:tc>
          <w:tcPr>
            <w:tcW w:w="847" w:type="dxa"/>
            <w:vAlign w:val="center"/>
          </w:tcPr>
          <w:p w14:paraId="67A467CB">
            <w:pPr>
              <w:jc w:val="center"/>
              <w:rPr>
                <w:rFonts w:ascii="仿宋_GB2312" w:hAnsi="Times New Roman" w:eastAsia="仿宋_GB2312"/>
                <w:b/>
                <w:sz w:val="28"/>
                <w:szCs w:val="21"/>
              </w:rPr>
            </w:pPr>
            <w:r>
              <w:rPr>
                <w:rFonts w:hint="eastAsia" w:ascii="仿宋_GB2312" w:hAnsi="Times New Roman" w:eastAsia="仿宋_GB2312"/>
                <w:b/>
                <w:sz w:val="28"/>
                <w:szCs w:val="21"/>
              </w:rPr>
              <w:t>1</w:t>
            </w:r>
          </w:p>
        </w:tc>
        <w:tc>
          <w:tcPr>
            <w:tcW w:w="5107" w:type="dxa"/>
            <w:vAlign w:val="center"/>
          </w:tcPr>
          <w:p w14:paraId="62669BC1">
            <w:pPr>
              <w:jc w:val="center"/>
              <w:rPr>
                <w:rFonts w:hint="eastAsia" w:ascii="仿宋_GB2312" w:hAnsi="Times New Roman" w:eastAsia="仿宋_GB2312"/>
                <w:sz w:val="24"/>
                <w:szCs w:val="21"/>
                <w:lang w:val="en-US" w:eastAsia="zh-CN"/>
              </w:rPr>
            </w:pPr>
            <w:r>
              <w:rPr>
                <w:rFonts w:hint="eastAsia" w:ascii="仿宋_GB2312" w:hAnsi="Times New Roman" w:eastAsia="仿宋_GB2312"/>
                <w:sz w:val="24"/>
                <w:szCs w:val="21"/>
                <w:lang w:val="en-US" w:eastAsia="zh-CN"/>
              </w:rPr>
              <w:t>/</w:t>
            </w:r>
          </w:p>
        </w:tc>
        <w:tc>
          <w:tcPr>
            <w:tcW w:w="1985" w:type="dxa"/>
            <w:vAlign w:val="center"/>
          </w:tcPr>
          <w:p w14:paraId="103896F1">
            <w:pPr>
              <w:jc w:val="center"/>
              <w:rPr>
                <w:rFonts w:ascii="仿宋_GB2312" w:hAnsi="Times New Roman" w:eastAsia="仿宋_GB2312"/>
                <w:sz w:val="24"/>
                <w:szCs w:val="21"/>
              </w:rPr>
            </w:pPr>
            <w:r>
              <w:rPr>
                <w:rFonts w:hint="eastAsia" w:ascii="仿宋_GB2312" w:hAnsi="Times New Roman" w:eastAsia="仿宋_GB2312"/>
                <w:sz w:val="24"/>
                <w:szCs w:val="21"/>
                <w:lang w:val="en-US" w:eastAsia="zh-CN"/>
              </w:rPr>
              <w:t>/</w:t>
            </w:r>
          </w:p>
        </w:tc>
        <w:tc>
          <w:tcPr>
            <w:tcW w:w="2126" w:type="dxa"/>
            <w:vAlign w:val="center"/>
          </w:tcPr>
          <w:p w14:paraId="2F4C9DA7">
            <w:pPr>
              <w:jc w:val="center"/>
              <w:rPr>
                <w:rFonts w:ascii="仿宋_GB2312" w:hAnsi="Times New Roman" w:eastAsia="仿宋_GB2312"/>
                <w:sz w:val="24"/>
                <w:szCs w:val="21"/>
              </w:rPr>
            </w:pPr>
            <w:r>
              <w:rPr>
                <w:rFonts w:hint="eastAsia" w:ascii="仿宋_GB2312" w:hAnsi="Times New Roman" w:eastAsia="仿宋_GB2312"/>
                <w:sz w:val="24"/>
                <w:szCs w:val="21"/>
                <w:lang w:val="en-US" w:eastAsia="zh-CN"/>
              </w:rPr>
              <w:t>/</w:t>
            </w:r>
          </w:p>
        </w:tc>
      </w:tr>
    </w:tbl>
    <w:p w14:paraId="4F58F03A">
      <w:pPr>
        <w:jc w:val="both"/>
        <w:rPr>
          <w:rFonts w:ascii="微软雅黑" w:hAnsi="微软雅黑" w:eastAsia="微软雅黑" w:cs="宋体"/>
          <w:color w:val="3F3F3F"/>
          <w:kern w:val="0"/>
          <w:szCs w:val="21"/>
        </w:rPr>
      </w:pPr>
    </w:p>
    <w:sectPr>
      <w:footerReference r:id="rId3" w:type="default"/>
      <w:pgSz w:w="11906" w:h="16838"/>
      <w:pgMar w:top="1440" w:right="1080" w:bottom="1440" w:left="108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简体">
    <w:altName w:val="方正舒体"/>
    <w:panose1 w:val="02000000000000000000"/>
    <w:charset w:val="86"/>
    <w:family w:val="script"/>
    <w:pitch w:val="default"/>
    <w:sig w:usb0="00000000" w:usb1="00000000" w:usb2="00000000" w:usb3="00000000" w:csb0="00040000" w:csb1="00000000"/>
  </w:font>
  <w:font w:name="方正舒体">
    <w:panose1 w:val="02010601030101010101"/>
    <w:charset w:val="86"/>
    <w:family w:val="auto"/>
    <w:pitch w:val="default"/>
    <w:sig w:usb0="00000003" w:usb1="080E0000" w:usb2="00000000" w:usb3="00000000" w:csb0="00040000" w:csb1="00000000"/>
  </w:font>
  <w:font w:name="微软雅黑">
    <w:panose1 w:val="020B0503020204020204"/>
    <w:charset w:val="86"/>
    <w:family w:val="swiss"/>
    <w:pitch w:val="default"/>
    <w:sig w:usb0="80000287" w:usb1="2ACF3C50" w:usb2="00000016" w:usb3="00000000" w:csb0="0004001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等线 Light">
    <w:panose1 w:val="02010600030101010101"/>
    <w:charset w:val="86"/>
    <w:family w:val="auto"/>
    <w:pitch w:val="default"/>
    <w:sig w:usb0="A00002BF" w:usb1="38CF7CFA" w:usb2="00000016" w:usb3="00000000" w:csb0="0004000F" w:csb1="00000000"/>
  </w:font>
  <w:font w:name="方正仿宋_GB2312">
    <w:panose1 w:val="02000000000000000000"/>
    <w:charset w:val="86"/>
    <w:family w:val="auto"/>
    <w:pitch w:val="default"/>
    <w:sig w:usb0="A00002BF" w:usb1="184F6CFA" w:usb2="00000012"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0FC1853">
    <w:pPr>
      <w:pStyle w:val="5"/>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NotTrackMoves/>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JlZWExNGI1MzNlMmEwZTU2ZDA1OGNlYTY2MGRlN2EifQ=="/>
  </w:docVars>
  <w:rsids>
    <w:rsidRoot w:val="00180716"/>
    <w:rsid w:val="00031B84"/>
    <w:rsid w:val="0007571F"/>
    <w:rsid w:val="00086401"/>
    <w:rsid w:val="000B3A24"/>
    <w:rsid w:val="000E0A0A"/>
    <w:rsid w:val="00100D1E"/>
    <w:rsid w:val="0012370B"/>
    <w:rsid w:val="00153A42"/>
    <w:rsid w:val="0015678E"/>
    <w:rsid w:val="00180716"/>
    <w:rsid w:val="0018661F"/>
    <w:rsid w:val="00195D84"/>
    <w:rsid w:val="001B0A84"/>
    <w:rsid w:val="001D5E72"/>
    <w:rsid w:val="00206936"/>
    <w:rsid w:val="002617DE"/>
    <w:rsid w:val="002738F1"/>
    <w:rsid w:val="002C0BFD"/>
    <w:rsid w:val="002C6C45"/>
    <w:rsid w:val="002D02F7"/>
    <w:rsid w:val="002D59FE"/>
    <w:rsid w:val="003141BC"/>
    <w:rsid w:val="0031707A"/>
    <w:rsid w:val="003407BA"/>
    <w:rsid w:val="0036311E"/>
    <w:rsid w:val="003938A4"/>
    <w:rsid w:val="003B5D40"/>
    <w:rsid w:val="003D4CEF"/>
    <w:rsid w:val="003E15A0"/>
    <w:rsid w:val="00437E27"/>
    <w:rsid w:val="00447FAF"/>
    <w:rsid w:val="004607A8"/>
    <w:rsid w:val="0046248D"/>
    <w:rsid w:val="004777CE"/>
    <w:rsid w:val="00485E99"/>
    <w:rsid w:val="004B4DC1"/>
    <w:rsid w:val="004B79FD"/>
    <w:rsid w:val="004C6FD8"/>
    <w:rsid w:val="004E09F3"/>
    <w:rsid w:val="004E51B4"/>
    <w:rsid w:val="004E6075"/>
    <w:rsid w:val="004F46EC"/>
    <w:rsid w:val="00536070"/>
    <w:rsid w:val="005B4177"/>
    <w:rsid w:val="006161EF"/>
    <w:rsid w:val="00627CBC"/>
    <w:rsid w:val="00667C4B"/>
    <w:rsid w:val="00696C5E"/>
    <w:rsid w:val="006B7040"/>
    <w:rsid w:val="006C1BAB"/>
    <w:rsid w:val="006C428C"/>
    <w:rsid w:val="006F1FD9"/>
    <w:rsid w:val="0071790B"/>
    <w:rsid w:val="00735F7B"/>
    <w:rsid w:val="007610A6"/>
    <w:rsid w:val="00766032"/>
    <w:rsid w:val="00787C5D"/>
    <w:rsid w:val="008046EB"/>
    <w:rsid w:val="00812AE4"/>
    <w:rsid w:val="008143CB"/>
    <w:rsid w:val="00890077"/>
    <w:rsid w:val="00893A00"/>
    <w:rsid w:val="00895307"/>
    <w:rsid w:val="008C5084"/>
    <w:rsid w:val="008D4020"/>
    <w:rsid w:val="008F18EF"/>
    <w:rsid w:val="0091437C"/>
    <w:rsid w:val="00917BB5"/>
    <w:rsid w:val="00917CA2"/>
    <w:rsid w:val="0092593E"/>
    <w:rsid w:val="00967D50"/>
    <w:rsid w:val="009731C4"/>
    <w:rsid w:val="00973FA0"/>
    <w:rsid w:val="00980851"/>
    <w:rsid w:val="00982F84"/>
    <w:rsid w:val="009836A4"/>
    <w:rsid w:val="009852C7"/>
    <w:rsid w:val="00992628"/>
    <w:rsid w:val="00A15F96"/>
    <w:rsid w:val="00A70CB8"/>
    <w:rsid w:val="00A75EBB"/>
    <w:rsid w:val="00AA10B5"/>
    <w:rsid w:val="00AA2A2D"/>
    <w:rsid w:val="00AB43D9"/>
    <w:rsid w:val="00AB686E"/>
    <w:rsid w:val="00AF2364"/>
    <w:rsid w:val="00B16C5C"/>
    <w:rsid w:val="00B36BC4"/>
    <w:rsid w:val="00B37A82"/>
    <w:rsid w:val="00BE5B4B"/>
    <w:rsid w:val="00C046E8"/>
    <w:rsid w:val="00C532E9"/>
    <w:rsid w:val="00C70023"/>
    <w:rsid w:val="00C70D64"/>
    <w:rsid w:val="00C717A1"/>
    <w:rsid w:val="00CA1F88"/>
    <w:rsid w:val="00D14837"/>
    <w:rsid w:val="00D2285F"/>
    <w:rsid w:val="00D5527C"/>
    <w:rsid w:val="00D577BE"/>
    <w:rsid w:val="00D650DC"/>
    <w:rsid w:val="00D736F6"/>
    <w:rsid w:val="00D73D7E"/>
    <w:rsid w:val="00D85A9B"/>
    <w:rsid w:val="00D90205"/>
    <w:rsid w:val="00DA2A6D"/>
    <w:rsid w:val="00DB3248"/>
    <w:rsid w:val="00DE4279"/>
    <w:rsid w:val="00E13D8B"/>
    <w:rsid w:val="00E43D98"/>
    <w:rsid w:val="00E52F79"/>
    <w:rsid w:val="00E84839"/>
    <w:rsid w:val="00E87DEE"/>
    <w:rsid w:val="00EA0AF4"/>
    <w:rsid w:val="00EA3933"/>
    <w:rsid w:val="00F128E8"/>
    <w:rsid w:val="00F176BB"/>
    <w:rsid w:val="00F3782E"/>
    <w:rsid w:val="00F40917"/>
    <w:rsid w:val="00F47DA3"/>
    <w:rsid w:val="00F749F5"/>
    <w:rsid w:val="00F84832"/>
    <w:rsid w:val="00FD02B5"/>
    <w:rsid w:val="179F4F74"/>
    <w:rsid w:val="20527BD7"/>
    <w:rsid w:val="20F91C97"/>
    <w:rsid w:val="22C63A86"/>
    <w:rsid w:val="29212D01"/>
    <w:rsid w:val="29812612"/>
    <w:rsid w:val="2EF144EF"/>
    <w:rsid w:val="304944C6"/>
    <w:rsid w:val="34BF48E7"/>
    <w:rsid w:val="371318A5"/>
    <w:rsid w:val="3A103501"/>
    <w:rsid w:val="4034531A"/>
    <w:rsid w:val="47605A66"/>
    <w:rsid w:val="49322328"/>
    <w:rsid w:val="4F8661CA"/>
    <w:rsid w:val="508607B6"/>
    <w:rsid w:val="5B85712E"/>
    <w:rsid w:val="6A2B4D41"/>
    <w:rsid w:val="6E4730C5"/>
    <w:rsid w:val="7E920537"/>
    <w:rsid w:val="7FF3184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1"/>
    <w:basedOn w:val="1"/>
    <w:next w:val="1"/>
    <w:link w:val="12"/>
    <w:qFormat/>
    <w:uiPriority w:val="9"/>
    <w:pPr>
      <w:keepNext/>
      <w:keepLines/>
      <w:spacing w:before="340" w:after="330" w:line="578" w:lineRule="auto"/>
      <w:outlineLvl w:val="0"/>
    </w:pPr>
    <w:rPr>
      <w:b/>
      <w:bCs/>
      <w:kern w:val="44"/>
      <w:sz w:val="44"/>
      <w:szCs w:val="44"/>
    </w:rPr>
  </w:style>
  <w:style w:type="character" w:default="1" w:styleId="9">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3">
    <w:name w:val="annotation text"/>
    <w:basedOn w:val="1"/>
    <w:link w:val="13"/>
    <w:unhideWhenUsed/>
    <w:qFormat/>
    <w:uiPriority w:val="99"/>
    <w:pPr>
      <w:jc w:val="left"/>
    </w:pPr>
  </w:style>
  <w:style w:type="paragraph" w:styleId="4">
    <w:name w:val="Balloon Text"/>
    <w:basedOn w:val="1"/>
    <w:link w:val="14"/>
    <w:unhideWhenUsed/>
    <w:qFormat/>
    <w:uiPriority w:val="99"/>
    <w:rPr>
      <w:sz w:val="18"/>
      <w:szCs w:val="18"/>
    </w:rPr>
  </w:style>
  <w:style w:type="paragraph" w:styleId="5">
    <w:name w:val="footer"/>
    <w:basedOn w:val="1"/>
    <w:link w:val="15"/>
    <w:unhideWhenUsed/>
    <w:qFormat/>
    <w:uiPriority w:val="99"/>
    <w:pPr>
      <w:tabs>
        <w:tab w:val="center" w:pos="4153"/>
        <w:tab w:val="right" w:pos="8306"/>
      </w:tabs>
      <w:snapToGrid w:val="0"/>
      <w:jc w:val="left"/>
    </w:pPr>
    <w:rPr>
      <w:kern w:val="0"/>
      <w:sz w:val="18"/>
      <w:szCs w:val="18"/>
    </w:rPr>
  </w:style>
  <w:style w:type="paragraph" w:styleId="6">
    <w:name w:val="header"/>
    <w:basedOn w:val="1"/>
    <w:link w:val="16"/>
    <w:unhideWhenUsed/>
    <w:qFormat/>
    <w:uiPriority w:val="99"/>
    <w:pPr>
      <w:pBdr>
        <w:bottom w:val="single" w:color="auto" w:sz="6" w:space="1"/>
      </w:pBdr>
      <w:tabs>
        <w:tab w:val="center" w:pos="4153"/>
        <w:tab w:val="right" w:pos="8306"/>
      </w:tabs>
      <w:snapToGrid w:val="0"/>
      <w:jc w:val="center"/>
    </w:pPr>
    <w:rPr>
      <w:kern w:val="0"/>
      <w:sz w:val="18"/>
      <w:szCs w:val="18"/>
    </w:rPr>
  </w:style>
  <w:style w:type="table" w:styleId="8">
    <w:name w:val="Table Grid"/>
    <w:basedOn w:val="7"/>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0">
    <w:name w:val="annotation reference"/>
    <w:unhideWhenUsed/>
    <w:qFormat/>
    <w:uiPriority w:val="99"/>
    <w:rPr>
      <w:sz w:val="21"/>
      <w:szCs w:val="21"/>
    </w:rPr>
  </w:style>
  <w:style w:type="paragraph" w:customStyle="1" w:styleId="11">
    <w:name w:val="表格文字"/>
    <w:basedOn w:val="1"/>
    <w:qFormat/>
    <w:uiPriority w:val="0"/>
    <w:pPr>
      <w:spacing w:before="25" w:after="25"/>
      <w:jc w:val="left"/>
    </w:pPr>
    <w:rPr>
      <w:rFonts w:ascii="Calibri" w:hAnsi="Calibri" w:eastAsia="宋体" w:cs="Times New Roman"/>
      <w:spacing w:val="10"/>
      <w:kern w:val="0"/>
      <w:sz w:val="24"/>
      <w:szCs w:val="24"/>
    </w:rPr>
  </w:style>
  <w:style w:type="character" w:customStyle="1" w:styleId="12">
    <w:name w:val="标题 1 字符"/>
    <w:link w:val="2"/>
    <w:qFormat/>
    <w:uiPriority w:val="9"/>
    <w:rPr>
      <w:b/>
      <w:bCs/>
      <w:kern w:val="44"/>
      <w:sz w:val="44"/>
      <w:szCs w:val="44"/>
    </w:rPr>
  </w:style>
  <w:style w:type="character" w:customStyle="1" w:styleId="13">
    <w:name w:val="批注文字 字符"/>
    <w:link w:val="3"/>
    <w:semiHidden/>
    <w:qFormat/>
    <w:uiPriority w:val="99"/>
    <w:rPr>
      <w:kern w:val="2"/>
      <w:sz w:val="21"/>
      <w:szCs w:val="22"/>
    </w:rPr>
  </w:style>
  <w:style w:type="character" w:customStyle="1" w:styleId="14">
    <w:name w:val="批注框文本 字符"/>
    <w:link w:val="4"/>
    <w:semiHidden/>
    <w:qFormat/>
    <w:uiPriority w:val="99"/>
    <w:rPr>
      <w:kern w:val="2"/>
      <w:sz w:val="18"/>
      <w:szCs w:val="18"/>
    </w:rPr>
  </w:style>
  <w:style w:type="character" w:customStyle="1" w:styleId="15">
    <w:name w:val="页脚 字符"/>
    <w:link w:val="5"/>
    <w:qFormat/>
    <w:uiPriority w:val="99"/>
    <w:rPr>
      <w:sz w:val="18"/>
      <w:szCs w:val="18"/>
    </w:rPr>
  </w:style>
  <w:style w:type="character" w:customStyle="1" w:styleId="16">
    <w:name w:val="页眉 字符"/>
    <w:link w:val="6"/>
    <w:qFormat/>
    <w:uiPriority w:val="99"/>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Sky123.Org</Company>
  <Pages>3</Pages>
  <Words>2042</Words>
  <Characters>2292</Characters>
  <Lines>11</Lines>
  <Paragraphs>3</Paragraphs>
  <TotalTime>5</TotalTime>
  <ScaleCrop>false</ScaleCrop>
  <LinksUpToDate>false</LinksUpToDate>
  <CharactersWithSpaces>2355</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2023-08-22T03:46:00Z</dcterms:created>
  <dc:creator>Sky123.Org</dc:creator>
  <cp:lastModifiedBy> </cp:lastModifiedBy>
  <cp:lastPrinted>2020-06-15T03:32:00Z</cp:lastPrinted>
  <dcterms:modified xsi:type="dcterms:W3CDTF">2025-06-09T17:09:50Z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C9194C7FACEA427FBAB553775A4D81CA_13</vt:lpwstr>
  </property>
  <property fmtid="{D5CDD505-2E9C-101B-9397-08002B2CF9AE}" pid="4" name="KSOTemplateDocerSaveRecord">
    <vt:lpwstr>eyJoZGlkIjoiMzFjNjI1NjQxOWZmMjYxOTRjODg5YzhlODVjOTYwNjciLCJ1c2VySWQiOiIyNzA3NjAzOTkifQ==</vt:lpwstr>
  </property>
</Properties>
</file>