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65</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1"/>
                <w:szCs w:val="21"/>
              </w:rPr>
            </w:pPr>
            <w:r>
              <w:rPr>
                <w:rFonts w:ascii="宋体" w:hAnsi="宋体" w:cs="仿宋"/>
                <w:szCs w:val="21"/>
              </w:rPr>
              <w:t>实施方案</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1"/>
                <w:szCs w:val="21"/>
                <w:lang w:val="en-US" w:eastAsia="zh-CN"/>
              </w:rPr>
            </w:pPr>
            <w:r>
              <w:rPr>
                <w:rFonts w:ascii="宋体" w:hAnsi="宋体" w:cs="仿宋"/>
                <w:szCs w:val="21"/>
              </w:rPr>
              <w:t>30</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8C3359B">
            <w:pPr>
              <w:widowControl/>
              <w:numPr>
                <w:ilvl w:val="0"/>
                <w:numId w:val="1"/>
              </w:numPr>
              <w:spacing w:line="360" w:lineRule="exact"/>
              <w:jc w:val="left"/>
              <w:rPr>
                <w:rFonts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在投标文件中详细说明项目实施方案，包括但不限于服务内容、工作开展计划、团队服务成员</w:t>
            </w:r>
            <w:r>
              <w:rPr>
                <w:rFonts w:hint="eastAsia" w:ascii="宋体" w:hAnsi="宋体" w:cs="仿宋"/>
                <w:szCs w:val="21"/>
              </w:rPr>
              <w:t>等，</w:t>
            </w:r>
            <w:r>
              <w:rPr>
                <w:rFonts w:hint="eastAsia" w:ascii="宋体" w:hAnsi="宋体" w:cs="宋体"/>
                <w:sz w:val="22"/>
                <w:szCs w:val="22"/>
              </w:rPr>
              <w:t>评审委员会根据投标单位对项目的理解程度、工作内容情况进行分档评审：</w:t>
            </w:r>
          </w:p>
          <w:p w14:paraId="71F31185">
            <w:pPr>
              <w:spacing w:line="360" w:lineRule="exact"/>
              <w:rPr>
                <w:rFonts w:ascii="宋体" w:hAnsi="宋体" w:cs="宋体"/>
                <w:b/>
                <w:bCs/>
                <w:sz w:val="22"/>
                <w:szCs w:val="22"/>
              </w:rPr>
            </w:pPr>
            <w:r>
              <w:rPr>
                <w:rFonts w:hint="eastAsia" w:ascii="宋体" w:hAnsi="宋体" w:cs="宋体"/>
                <w:b/>
                <w:bCs/>
                <w:sz w:val="22"/>
                <w:szCs w:val="22"/>
              </w:rPr>
              <w:t>评分标准：</w:t>
            </w:r>
          </w:p>
          <w:p w14:paraId="0A4642CB">
            <w:pPr>
              <w:spacing w:line="360" w:lineRule="exact"/>
              <w:rPr>
                <w:rFonts w:ascii="宋体" w:hAnsi="宋体" w:cs="宋体"/>
                <w:sz w:val="22"/>
                <w:szCs w:val="22"/>
              </w:rPr>
            </w:pPr>
            <w:r>
              <w:rPr>
                <w:rFonts w:hint="eastAsia" w:ascii="宋体" w:hAnsi="宋体" w:cs="宋体"/>
                <w:sz w:val="22"/>
                <w:szCs w:val="22"/>
              </w:rPr>
              <w:t>1.服务方案全面、详细具体；</w:t>
            </w:r>
          </w:p>
          <w:p w14:paraId="01B96C53">
            <w:pPr>
              <w:spacing w:line="360" w:lineRule="exact"/>
              <w:rPr>
                <w:rFonts w:ascii="宋体" w:hAnsi="宋体" w:cs="宋体"/>
                <w:sz w:val="22"/>
                <w:szCs w:val="22"/>
              </w:rPr>
            </w:pPr>
            <w:r>
              <w:rPr>
                <w:rFonts w:hint="eastAsia" w:ascii="宋体" w:hAnsi="宋体" w:cs="宋体"/>
                <w:sz w:val="22"/>
                <w:szCs w:val="22"/>
              </w:rPr>
              <w:t>2.结构完整；</w:t>
            </w:r>
          </w:p>
          <w:p w14:paraId="0D83B060">
            <w:pPr>
              <w:spacing w:line="360" w:lineRule="exact"/>
              <w:rPr>
                <w:rFonts w:ascii="宋体" w:hAnsi="宋体" w:cs="宋体"/>
                <w:sz w:val="22"/>
                <w:szCs w:val="22"/>
              </w:rPr>
            </w:pPr>
            <w:r>
              <w:rPr>
                <w:rFonts w:hint="eastAsia" w:ascii="宋体" w:hAnsi="宋体" w:cs="宋体"/>
                <w:sz w:val="22"/>
                <w:szCs w:val="22"/>
              </w:rPr>
              <w:t>3.框架系统；</w:t>
            </w:r>
          </w:p>
          <w:p w14:paraId="0993848E">
            <w:pPr>
              <w:spacing w:line="360" w:lineRule="exact"/>
              <w:rPr>
                <w:rFonts w:ascii="宋体" w:hAnsi="宋体" w:cs="宋体"/>
                <w:sz w:val="22"/>
                <w:szCs w:val="22"/>
              </w:rPr>
            </w:pPr>
            <w:r>
              <w:rPr>
                <w:rFonts w:hint="eastAsia" w:ascii="宋体" w:hAnsi="宋体" w:cs="宋体"/>
                <w:sz w:val="22"/>
                <w:szCs w:val="22"/>
              </w:rPr>
              <w:t>4.方法科学；</w:t>
            </w:r>
          </w:p>
          <w:p w14:paraId="43057369">
            <w:pPr>
              <w:spacing w:line="360" w:lineRule="exact"/>
              <w:rPr>
                <w:rFonts w:ascii="宋体" w:hAnsi="宋体" w:cs="宋体"/>
                <w:sz w:val="22"/>
                <w:szCs w:val="22"/>
              </w:rPr>
            </w:pPr>
            <w:r>
              <w:rPr>
                <w:rFonts w:hint="eastAsia" w:ascii="宋体" w:hAnsi="宋体" w:cs="宋体"/>
                <w:sz w:val="22"/>
                <w:szCs w:val="22"/>
              </w:rPr>
              <w:t>5.亮点突出；</w:t>
            </w:r>
          </w:p>
          <w:p w14:paraId="7E346298">
            <w:pPr>
              <w:spacing w:line="360" w:lineRule="exact"/>
              <w:rPr>
                <w:rFonts w:ascii="宋体" w:hAnsi="宋体" w:cs="宋体"/>
                <w:sz w:val="22"/>
                <w:szCs w:val="22"/>
              </w:rPr>
            </w:pPr>
            <w:r>
              <w:rPr>
                <w:rFonts w:hint="eastAsia" w:ascii="宋体" w:hAnsi="宋体" w:cs="宋体"/>
                <w:sz w:val="22"/>
                <w:szCs w:val="22"/>
              </w:rPr>
              <w:t>6.工作内容安排合理可行。</w:t>
            </w:r>
          </w:p>
          <w:p w14:paraId="221E5671">
            <w:pPr>
              <w:spacing w:line="280" w:lineRule="exact"/>
              <w:rPr>
                <w:rFonts w:hint="eastAsia" w:ascii="宋体" w:hAnsi="宋体" w:eastAsia="宋体" w:cs="宋体"/>
                <w:color w:val="auto"/>
                <w:sz w:val="21"/>
                <w:szCs w:val="21"/>
              </w:rPr>
            </w:pPr>
            <w:r>
              <w:rPr>
                <w:rFonts w:hint="eastAsia" w:ascii="宋体" w:hAnsi="宋体" w:cs="宋体"/>
                <w:b/>
                <w:bCs/>
                <w:sz w:val="22"/>
                <w:szCs w:val="22"/>
              </w:rPr>
              <w:t>评分依据：</w:t>
            </w:r>
            <w:r>
              <w:rPr>
                <w:rFonts w:hint="eastAsia" w:ascii="宋体" w:hAnsi="宋体" w:cs="宋体"/>
                <w:sz w:val="22"/>
                <w:szCs w:val="22"/>
              </w:rPr>
              <w:t>满足以上六项的得</w:t>
            </w:r>
            <w:r>
              <w:rPr>
                <w:rFonts w:ascii="宋体" w:hAnsi="宋体" w:cs="宋体"/>
                <w:sz w:val="22"/>
                <w:szCs w:val="22"/>
              </w:rPr>
              <w:t>30</w:t>
            </w:r>
            <w:r>
              <w:rPr>
                <w:rFonts w:hint="eastAsia" w:ascii="宋体" w:hAnsi="宋体" w:cs="宋体"/>
                <w:sz w:val="22"/>
                <w:szCs w:val="22"/>
              </w:rPr>
              <w:t>分；满足以上五项的得</w:t>
            </w:r>
            <w:r>
              <w:rPr>
                <w:rFonts w:ascii="宋体" w:hAnsi="宋体" w:cs="宋体"/>
                <w:sz w:val="22"/>
                <w:szCs w:val="22"/>
              </w:rPr>
              <w:t>25</w:t>
            </w:r>
            <w:r>
              <w:rPr>
                <w:rFonts w:hint="eastAsia" w:ascii="宋体" w:hAnsi="宋体" w:cs="宋体"/>
                <w:sz w:val="22"/>
                <w:szCs w:val="22"/>
              </w:rPr>
              <w:t>；满足以上四项的得</w:t>
            </w:r>
            <w:r>
              <w:rPr>
                <w:rFonts w:ascii="宋体" w:hAnsi="宋体" w:cs="宋体"/>
                <w:sz w:val="22"/>
                <w:szCs w:val="22"/>
              </w:rPr>
              <w:t>20</w:t>
            </w:r>
            <w:r>
              <w:rPr>
                <w:rFonts w:hint="eastAsia" w:ascii="宋体" w:hAnsi="宋体" w:cs="宋体"/>
                <w:sz w:val="22"/>
                <w:szCs w:val="22"/>
              </w:rPr>
              <w:t>分；满足以上三项的得</w:t>
            </w:r>
            <w:r>
              <w:rPr>
                <w:rFonts w:ascii="宋体" w:hAnsi="宋体" w:cs="宋体"/>
                <w:sz w:val="22"/>
                <w:szCs w:val="22"/>
              </w:rPr>
              <w:t>15</w:t>
            </w:r>
            <w:r>
              <w:rPr>
                <w:rFonts w:hint="eastAsia" w:ascii="宋体" w:hAnsi="宋体" w:cs="宋体"/>
                <w:sz w:val="22"/>
                <w:szCs w:val="22"/>
              </w:rPr>
              <w:t>分；其他不得分。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1"/>
                <w:szCs w:val="21"/>
              </w:rPr>
            </w:pPr>
            <w:r>
              <w:rPr>
                <w:rFonts w:ascii="宋体" w:hAnsi="宋体" w:cs="仿宋"/>
                <w:szCs w:val="21"/>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default"/>
                <w:lang w:val="en-US" w:eastAsia="zh-CN"/>
              </w:rPr>
            </w:pPr>
            <w:r>
              <w:rPr>
                <w:rFonts w:hint="eastAsia" w:ascii="宋体" w:hAnsi="宋体" w:cs="宋体"/>
                <w:sz w:val="21"/>
                <w:szCs w:val="21"/>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B32D52F">
            <w:pPr>
              <w:widowControl/>
              <w:numPr>
                <w:ilvl w:val="0"/>
                <w:numId w:val="2"/>
              </w:numPr>
              <w:spacing w:line="360" w:lineRule="exact"/>
              <w:jc w:val="left"/>
              <w:rPr>
                <w:rFonts w:ascii="宋体" w:hAnsi="宋体" w:cs="宋体"/>
                <w:sz w:val="22"/>
                <w:szCs w:val="22"/>
              </w:rPr>
            </w:pPr>
            <w:r>
              <w:rPr>
                <w:rFonts w:hint="eastAsia" w:ascii="宋体" w:hAnsi="宋体" w:eastAsia="宋体" w:cs="宋体"/>
                <w:bCs/>
                <w:sz w:val="21"/>
                <w:szCs w:val="21"/>
              </w:rPr>
              <w:t xml:space="preserve"> </w:t>
            </w: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3FD8F6FF">
            <w:pPr>
              <w:spacing w:line="360" w:lineRule="exact"/>
              <w:rPr>
                <w:rFonts w:ascii="宋体" w:hAnsi="宋体" w:cs="宋体"/>
                <w:b/>
                <w:bCs/>
                <w:sz w:val="22"/>
                <w:szCs w:val="22"/>
              </w:rPr>
            </w:pPr>
            <w:r>
              <w:rPr>
                <w:rFonts w:hint="eastAsia" w:ascii="宋体" w:hAnsi="宋体" w:cs="宋体"/>
                <w:b/>
                <w:bCs/>
                <w:sz w:val="22"/>
                <w:szCs w:val="22"/>
              </w:rPr>
              <w:t>评分标准：</w:t>
            </w:r>
          </w:p>
          <w:p w14:paraId="5A69C059">
            <w:pPr>
              <w:spacing w:line="360" w:lineRule="exact"/>
              <w:jc w:val="left"/>
              <w:rPr>
                <w:rFonts w:ascii="宋体" w:hAnsi="宋体" w:cs="宋体"/>
                <w:sz w:val="22"/>
                <w:szCs w:val="22"/>
              </w:rPr>
            </w:pPr>
            <w:r>
              <w:rPr>
                <w:rFonts w:hint="eastAsia" w:ascii="宋体" w:hAnsi="宋体" w:cs="宋体"/>
                <w:sz w:val="22"/>
                <w:szCs w:val="22"/>
              </w:rPr>
              <w:t>1.投标文件紧密围绕项目实际情况；</w:t>
            </w:r>
          </w:p>
          <w:p w14:paraId="3C125F2F">
            <w:pPr>
              <w:spacing w:line="360" w:lineRule="exact"/>
              <w:jc w:val="left"/>
              <w:rPr>
                <w:rFonts w:ascii="宋体" w:hAnsi="宋体" w:cs="宋体"/>
                <w:sz w:val="22"/>
                <w:szCs w:val="22"/>
              </w:rPr>
            </w:pPr>
            <w:r>
              <w:rPr>
                <w:rFonts w:hint="eastAsia" w:ascii="宋体" w:hAnsi="宋体" w:cs="宋体"/>
                <w:sz w:val="22"/>
                <w:szCs w:val="22"/>
              </w:rPr>
              <w:t>2.重点和难点分析，分析系统深入；</w:t>
            </w:r>
          </w:p>
          <w:p w14:paraId="3F862A68">
            <w:pPr>
              <w:spacing w:line="360" w:lineRule="exact"/>
              <w:jc w:val="left"/>
              <w:rPr>
                <w:rFonts w:ascii="宋体" w:hAnsi="宋体" w:cs="宋体"/>
                <w:sz w:val="22"/>
                <w:szCs w:val="22"/>
              </w:rPr>
            </w:pPr>
            <w:r>
              <w:rPr>
                <w:rFonts w:hint="eastAsia" w:ascii="宋体" w:hAnsi="宋体" w:cs="宋体"/>
                <w:sz w:val="22"/>
                <w:szCs w:val="22"/>
              </w:rPr>
              <w:t>3.提出的应对措施以及建议针对性强；</w:t>
            </w:r>
          </w:p>
          <w:p w14:paraId="1E1EDFDD">
            <w:pPr>
              <w:spacing w:line="360" w:lineRule="exact"/>
              <w:rPr>
                <w:rFonts w:ascii="宋体" w:hAnsi="宋体" w:cs="宋体"/>
                <w:sz w:val="22"/>
                <w:szCs w:val="22"/>
              </w:rPr>
            </w:pPr>
            <w:r>
              <w:rPr>
                <w:rFonts w:hint="eastAsia" w:ascii="宋体" w:hAnsi="宋体" w:cs="宋体"/>
                <w:sz w:val="22"/>
                <w:szCs w:val="22"/>
              </w:rPr>
              <w:t>4.项目重点难点分析、应对措施及相关的合理化建议可行性高。</w:t>
            </w:r>
          </w:p>
          <w:p w14:paraId="12BD4C97">
            <w:pPr>
              <w:spacing w:line="280" w:lineRule="exact"/>
              <w:rPr>
                <w:rFonts w:hint="eastAsia" w:ascii="宋体" w:hAnsi="宋体" w:eastAsia="宋体" w:cs="宋体"/>
                <w:color w:val="auto"/>
                <w:sz w:val="21"/>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lang w:val="en-US" w:eastAsia="zh-CN"/>
              </w:rPr>
            </w:pPr>
            <w:r>
              <w:rPr>
                <w:rFonts w:hint="eastAsia" w:ascii="宋体" w:hAnsi="宋体" w:cs="宋体"/>
                <w:color w:val="auto"/>
                <w:sz w:val="21"/>
                <w:szCs w:val="21"/>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ascii="宋体" w:hAnsi="宋体" w:cs="仿宋"/>
                <w:szCs w:val="21"/>
              </w:rPr>
            </w:pPr>
            <w:r>
              <w:rPr>
                <w:rFonts w:ascii="宋体" w:hAnsi="宋体" w:cs="仿宋"/>
                <w:szCs w:val="21"/>
              </w:rPr>
              <w:t>质量（完成时间、</w:t>
            </w:r>
            <w:r>
              <w:rPr>
                <w:rFonts w:hint="eastAsia" w:ascii="宋体" w:hAnsi="宋体" w:cs="仿宋"/>
                <w:szCs w:val="21"/>
              </w:rPr>
              <w:t>可行性</w:t>
            </w:r>
            <w:r>
              <w:rPr>
                <w:rFonts w:ascii="宋体" w:hAnsi="宋体" w:cs="仿宋"/>
                <w:szCs w:val="21"/>
              </w:rPr>
              <w:t>）保障措施及方案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cs="宋体"/>
                <w:sz w:val="21"/>
                <w:szCs w:val="21"/>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1"/>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72931D3">
            <w:pPr>
              <w:spacing w:line="360" w:lineRule="exact"/>
              <w:rPr>
                <w:rFonts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投标文件中详细说明质量（完成时间、可行性）保障措施及方案，评审委员会根据响应情况进行分档评审:</w:t>
            </w:r>
          </w:p>
          <w:p w14:paraId="5FB9C324">
            <w:pPr>
              <w:spacing w:line="360" w:lineRule="exact"/>
              <w:rPr>
                <w:rFonts w:ascii="宋体" w:hAnsi="宋体" w:cs="宋体"/>
                <w:b/>
                <w:bCs/>
                <w:sz w:val="22"/>
                <w:szCs w:val="22"/>
              </w:rPr>
            </w:pPr>
            <w:r>
              <w:rPr>
                <w:rFonts w:hint="eastAsia" w:ascii="宋体" w:hAnsi="宋体" w:cs="宋体"/>
                <w:b/>
                <w:bCs/>
                <w:sz w:val="22"/>
                <w:szCs w:val="22"/>
              </w:rPr>
              <w:t>评分标准：</w:t>
            </w:r>
          </w:p>
          <w:p w14:paraId="39078756">
            <w:pPr>
              <w:spacing w:line="360" w:lineRule="exact"/>
              <w:rPr>
                <w:rFonts w:ascii="宋体" w:hAnsi="宋体" w:cs="宋体"/>
                <w:sz w:val="22"/>
                <w:szCs w:val="22"/>
              </w:rPr>
            </w:pPr>
            <w:r>
              <w:rPr>
                <w:rFonts w:hint="eastAsia" w:ascii="宋体" w:hAnsi="宋体" w:cs="宋体"/>
                <w:sz w:val="22"/>
                <w:szCs w:val="22"/>
              </w:rPr>
              <w:t>1.保障措施及方案详细；</w:t>
            </w:r>
          </w:p>
          <w:p w14:paraId="186D7173">
            <w:pPr>
              <w:spacing w:line="360" w:lineRule="exact"/>
              <w:rPr>
                <w:rFonts w:ascii="宋体" w:hAnsi="宋体" w:cs="宋体"/>
                <w:sz w:val="22"/>
                <w:szCs w:val="22"/>
              </w:rPr>
            </w:pPr>
            <w:r>
              <w:rPr>
                <w:rFonts w:hint="eastAsia" w:ascii="宋体" w:hAnsi="宋体" w:cs="宋体"/>
                <w:sz w:val="22"/>
                <w:szCs w:val="22"/>
              </w:rPr>
              <w:t>2.工作进度安排合理；</w:t>
            </w:r>
          </w:p>
          <w:p w14:paraId="31C0D2A2">
            <w:pPr>
              <w:spacing w:line="360" w:lineRule="exact"/>
              <w:rPr>
                <w:rFonts w:ascii="宋体" w:hAnsi="宋体" w:cs="宋体"/>
                <w:sz w:val="22"/>
                <w:szCs w:val="22"/>
              </w:rPr>
            </w:pPr>
            <w:r>
              <w:rPr>
                <w:rFonts w:hint="eastAsia" w:ascii="宋体" w:hAnsi="宋体" w:cs="宋体"/>
                <w:sz w:val="22"/>
                <w:szCs w:val="22"/>
              </w:rPr>
              <w:t>3.支撑保障条件坚实；</w:t>
            </w:r>
          </w:p>
          <w:p w14:paraId="57BFEFB4">
            <w:pPr>
              <w:spacing w:line="360" w:lineRule="exact"/>
              <w:rPr>
                <w:rFonts w:ascii="宋体" w:hAnsi="宋体" w:cs="宋体"/>
                <w:b/>
                <w:bCs/>
                <w:sz w:val="22"/>
                <w:szCs w:val="22"/>
              </w:rPr>
            </w:pPr>
            <w:r>
              <w:rPr>
                <w:rFonts w:hint="eastAsia" w:ascii="宋体" w:hAnsi="宋体" w:cs="宋体"/>
                <w:sz w:val="22"/>
                <w:szCs w:val="22"/>
              </w:rPr>
              <w:t>4.能很好地实现目标。</w:t>
            </w:r>
          </w:p>
          <w:p w14:paraId="71652A04">
            <w:pPr>
              <w:spacing w:line="360" w:lineRule="exact"/>
              <w:rPr>
                <w:rFonts w:ascii="宋体" w:hAnsi="宋体" w:cs="宋体"/>
                <w:sz w:val="22"/>
                <w:szCs w:val="22"/>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p w14:paraId="45CCD8FB">
            <w:pPr>
              <w:spacing w:line="280" w:lineRule="exact"/>
              <w:rPr>
                <w:rFonts w:hint="eastAsia" w:ascii="宋体" w:hAnsi="宋体" w:cs="宋体"/>
                <w:b/>
                <w:bCs/>
                <w:sz w:val="22"/>
                <w:szCs w:val="22"/>
              </w:rPr>
            </w:pP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cs="宋体"/>
                <w:color w:val="auto"/>
                <w:sz w:val="21"/>
                <w:szCs w:val="21"/>
                <w:lang w:val="en-US" w:eastAsia="zh-CN"/>
              </w:rPr>
            </w:pPr>
            <w:r>
              <w:rPr>
                <w:rFonts w:hint="eastAsia" w:ascii="宋体" w:hAnsi="宋体" w:cs="仿宋"/>
                <w:szCs w:val="21"/>
              </w:rPr>
              <w:t>4</w:t>
            </w:r>
          </w:p>
        </w:tc>
        <w:tc>
          <w:tcPr>
            <w:tcW w:w="1287"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ascii="宋体" w:hAnsi="宋体" w:cs="仿宋"/>
                <w:szCs w:val="21"/>
              </w:rPr>
            </w:pPr>
            <w:r>
              <w:rPr>
                <w:rFonts w:ascii="宋体" w:hAnsi="宋体" w:cs="仿宋"/>
                <w:szCs w:val="21"/>
              </w:rPr>
              <w:t>违约承诺</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ascii="宋体" w:hAnsi="宋体" w:cs="仿宋"/>
                <w:szCs w:val="21"/>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D0BF47A">
            <w:pPr>
              <w:pStyle w:val="13"/>
              <w:spacing w:line="360" w:lineRule="exact"/>
              <w:rPr>
                <w:rFonts w:ascii="宋体" w:hAnsi="宋体" w:cs="宋体"/>
                <w:b/>
                <w:bCs/>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4200FE38">
            <w:pPr>
              <w:pStyle w:val="13"/>
              <w:spacing w:line="360" w:lineRule="exact"/>
              <w:rPr>
                <w:rFonts w:ascii="宋体" w:hAnsi="宋体"/>
                <w:sz w:val="22"/>
                <w:szCs w:val="22"/>
              </w:rPr>
            </w:pPr>
            <w:r>
              <w:rPr>
                <w:rFonts w:hint="eastAsia" w:ascii="宋体" w:hAnsi="宋体"/>
                <w:sz w:val="22"/>
                <w:szCs w:val="22"/>
              </w:rPr>
              <w:t>1.违约承诺详细；</w:t>
            </w:r>
          </w:p>
          <w:p w14:paraId="6F6C87C3">
            <w:pPr>
              <w:pStyle w:val="13"/>
              <w:spacing w:line="360" w:lineRule="exact"/>
              <w:rPr>
                <w:rFonts w:ascii="宋体" w:hAnsi="宋体"/>
                <w:sz w:val="22"/>
                <w:szCs w:val="22"/>
              </w:rPr>
            </w:pPr>
            <w:r>
              <w:rPr>
                <w:rFonts w:hint="eastAsia" w:ascii="宋体" w:hAnsi="宋体"/>
                <w:sz w:val="22"/>
                <w:szCs w:val="22"/>
              </w:rPr>
              <w:t>2.违约承诺合理；</w:t>
            </w:r>
          </w:p>
          <w:p w14:paraId="5D213C7D">
            <w:pPr>
              <w:pStyle w:val="13"/>
              <w:spacing w:line="360" w:lineRule="exact"/>
              <w:rPr>
                <w:rFonts w:ascii="宋体" w:hAnsi="宋体"/>
                <w:sz w:val="22"/>
                <w:szCs w:val="22"/>
              </w:rPr>
            </w:pPr>
            <w:r>
              <w:rPr>
                <w:rFonts w:hint="eastAsia" w:ascii="宋体" w:hAnsi="宋体"/>
                <w:sz w:val="22"/>
                <w:szCs w:val="22"/>
              </w:rPr>
              <w:t>3.切实可行的。</w:t>
            </w:r>
          </w:p>
          <w:p w14:paraId="0E5711D3">
            <w:pPr>
              <w:pStyle w:val="13"/>
              <w:spacing w:line="360" w:lineRule="exact"/>
              <w:rPr>
                <w:rFonts w:ascii="宋体" w:hAnsi="宋体"/>
                <w:sz w:val="22"/>
                <w:szCs w:val="22"/>
              </w:rPr>
            </w:pPr>
            <w:r>
              <w:rPr>
                <w:rFonts w:hint="eastAsia" w:ascii="宋体" w:hAnsi="宋体" w:cs="宋体"/>
                <w:b/>
                <w:bCs/>
                <w:sz w:val="22"/>
                <w:szCs w:val="22"/>
              </w:rPr>
              <w:t>（二）评分依据：</w:t>
            </w:r>
            <w:r>
              <w:rPr>
                <w:rFonts w:hint="eastAsia" w:ascii="宋体" w:hAnsi="宋体"/>
                <w:sz w:val="22"/>
                <w:szCs w:val="22"/>
              </w:rPr>
              <w:t>满足以上三项的得5分；满足以上两项的得3分；满足以上一项的得2分；其他不得分。</w:t>
            </w:r>
          </w:p>
          <w:p w14:paraId="40831ADF">
            <w:pPr>
              <w:widowControl/>
              <w:spacing w:line="360" w:lineRule="exact"/>
              <w:jc w:val="left"/>
              <w:rPr>
                <w:rFonts w:hint="eastAsia" w:ascii="宋体" w:hAnsi="宋体" w:cs="宋体"/>
                <w:b/>
                <w:bCs/>
                <w:sz w:val="22"/>
                <w:szCs w:val="22"/>
              </w:rPr>
            </w:pP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cs="宋体"/>
                <w:color w:val="auto"/>
                <w:sz w:val="21"/>
                <w:szCs w:val="21"/>
                <w:lang w:val="en-US" w:eastAsia="zh-CN"/>
              </w:rPr>
            </w:pPr>
            <w:r>
              <w:rPr>
                <w:rFonts w:hint="eastAsia" w:ascii="宋体" w:hAnsi="宋体" w:cs="仿宋"/>
                <w:szCs w:val="21"/>
              </w:rPr>
              <w:t>5</w:t>
            </w:r>
          </w:p>
        </w:tc>
        <w:tc>
          <w:tcPr>
            <w:tcW w:w="1287"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ascii="宋体" w:hAnsi="宋体" w:cs="仿宋"/>
                <w:szCs w:val="21"/>
              </w:rPr>
            </w:pPr>
            <w:r>
              <w:rPr>
                <w:rFonts w:ascii="宋体" w:hAnsi="宋体" w:cs="仿宋"/>
                <w:szCs w:val="21"/>
              </w:rPr>
              <w:t>拟安排的项目</w:t>
            </w:r>
            <w:r>
              <w:rPr>
                <w:rFonts w:hint="eastAsia" w:ascii="宋体" w:hAnsi="宋体" w:cs="仿宋"/>
                <w:szCs w:val="21"/>
                <w:lang w:eastAsia="zh-Hans"/>
              </w:rPr>
              <w:t>团队</w:t>
            </w:r>
            <w:r>
              <w:rPr>
                <w:rFonts w:ascii="宋体" w:hAnsi="宋体" w:cs="仿宋"/>
                <w:szCs w:val="21"/>
              </w:rPr>
              <w:t>情况</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ascii="宋体" w:hAnsi="宋体" w:cs="仿宋"/>
                <w:szCs w:val="21"/>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1528F73">
            <w:pPr>
              <w:pStyle w:val="13"/>
              <w:spacing w:line="360" w:lineRule="exact"/>
              <w:rPr>
                <w:rFonts w:hint="eastAsia" w:ascii="宋体" w:hAnsi="宋体"/>
                <w:sz w:val="22"/>
                <w:szCs w:val="22"/>
              </w:rPr>
            </w:pPr>
            <w:r>
              <w:rPr>
                <w:rFonts w:hint="eastAsia" w:ascii="宋体" w:hAnsi="宋体"/>
                <w:sz w:val="22"/>
                <w:szCs w:val="22"/>
              </w:rPr>
              <w:t>投标人应根据实际，列出项目负责人和团队骨干成员的基本情况，并列出为实施项目配备的关键资源，以确保团队具备专业、高效地完成项目的能力，包括但不限于：</w:t>
            </w:r>
          </w:p>
          <w:p w14:paraId="4CD0A7A0">
            <w:pPr>
              <w:pStyle w:val="13"/>
              <w:spacing w:line="360" w:lineRule="exact"/>
              <w:rPr>
                <w:rFonts w:hint="eastAsia" w:ascii="宋体" w:hAnsi="宋体"/>
                <w:sz w:val="22"/>
                <w:szCs w:val="22"/>
              </w:rPr>
            </w:pPr>
            <w:r>
              <w:rPr>
                <w:rFonts w:hint="eastAsia" w:ascii="宋体" w:hAnsi="宋体"/>
                <w:sz w:val="22"/>
                <w:szCs w:val="22"/>
              </w:rPr>
              <w:t>1.服务执行项目小组人员配置合理、分工明确，并提供分工表，团队人员数量多于5人（含）得5分，多于4人（含）少于3人得3分，少于2人得1分。</w:t>
            </w:r>
          </w:p>
          <w:p w14:paraId="4E50473B">
            <w:pPr>
              <w:pStyle w:val="13"/>
              <w:spacing w:line="360" w:lineRule="exact"/>
              <w:rPr>
                <w:rFonts w:hint="eastAsia" w:ascii="宋体" w:hAnsi="宋体"/>
                <w:sz w:val="22"/>
                <w:szCs w:val="22"/>
              </w:rPr>
            </w:pPr>
            <w:r>
              <w:rPr>
                <w:rFonts w:hint="eastAsia" w:ascii="宋体" w:hAnsi="宋体"/>
                <w:sz w:val="22"/>
                <w:szCs w:val="22"/>
              </w:rPr>
              <w:t>2.项目负责人或团队人员有负责或参与过医疗卫生领域发展规划或方案编撰的，得3分。</w:t>
            </w:r>
          </w:p>
          <w:p w14:paraId="07A1C84A">
            <w:pPr>
              <w:pStyle w:val="13"/>
              <w:spacing w:line="360" w:lineRule="exact"/>
              <w:rPr>
                <w:rFonts w:hint="eastAsia" w:ascii="宋体" w:hAnsi="宋体"/>
                <w:sz w:val="22"/>
                <w:szCs w:val="22"/>
              </w:rPr>
            </w:pPr>
            <w:r>
              <w:rPr>
                <w:rFonts w:hint="eastAsia" w:ascii="宋体" w:hAnsi="宋体"/>
                <w:sz w:val="22"/>
                <w:szCs w:val="22"/>
              </w:rPr>
              <w:t>3.项目团队成员拥有2名及以上博士学位的，得2分。</w:t>
            </w:r>
          </w:p>
          <w:p w14:paraId="155D8FAD">
            <w:pPr>
              <w:pStyle w:val="13"/>
              <w:spacing w:line="360" w:lineRule="exact"/>
              <w:rPr>
                <w:rFonts w:hint="eastAsia" w:ascii="宋体" w:hAnsi="宋体"/>
                <w:sz w:val="22"/>
                <w:szCs w:val="22"/>
              </w:rPr>
            </w:pPr>
            <w:r>
              <w:rPr>
                <w:rFonts w:hint="eastAsia" w:ascii="宋体" w:hAnsi="宋体"/>
                <w:sz w:val="22"/>
                <w:szCs w:val="22"/>
              </w:rPr>
              <w:t>（二）评分依据：</w:t>
            </w:r>
          </w:p>
          <w:p w14:paraId="69B14BF0">
            <w:pPr>
              <w:pStyle w:val="13"/>
              <w:spacing w:line="360" w:lineRule="exact"/>
              <w:rPr>
                <w:rFonts w:hint="eastAsia" w:ascii="宋体" w:hAnsi="宋体"/>
                <w:sz w:val="22"/>
                <w:szCs w:val="22"/>
              </w:rPr>
            </w:pPr>
            <w:r>
              <w:rPr>
                <w:rFonts w:hint="eastAsia" w:ascii="宋体" w:hAnsi="宋体"/>
                <w:sz w:val="22"/>
                <w:szCs w:val="22"/>
              </w:rPr>
              <w:t>1.提供项目小组人员配置及分工表。</w:t>
            </w:r>
          </w:p>
          <w:p w14:paraId="698A5C2D">
            <w:pPr>
              <w:pStyle w:val="13"/>
              <w:spacing w:line="360" w:lineRule="exact"/>
              <w:rPr>
                <w:rFonts w:hint="eastAsia" w:ascii="宋体" w:hAnsi="宋体"/>
                <w:sz w:val="22"/>
                <w:szCs w:val="22"/>
              </w:rPr>
            </w:pPr>
            <w:r>
              <w:rPr>
                <w:rFonts w:hint="eastAsia" w:ascii="宋体" w:hAnsi="宋体"/>
                <w:sz w:val="22"/>
                <w:szCs w:val="22"/>
              </w:rPr>
              <w:t>2.提供团队成员参与过同类项目经验的证明。</w:t>
            </w:r>
          </w:p>
          <w:p w14:paraId="035FEC42">
            <w:pPr>
              <w:pStyle w:val="13"/>
              <w:spacing w:line="360" w:lineRule="exact"/>
              <w:rPr>
                <w:rFonts w:hint="eastAsia" w:ascii="宋体" w:hAnsi="宋体"/>
                <w:sz w:val="22"/>
                <w:szCs w:val="22"/>
              </w:rPr>
            </w:pPr>
            <w:r>
              <w:rPr>
                <w:rFonts w:hint="eastAsia" w:ascii="宋体" w:hAnsi="宋体"/>
                <w:sz w:val="22"/>
                <w:szCs w:val="22"/>
              </w:rPr>
              <w:t>3.提供团队成员学历证明。</w:t>
            </w:r>
          </w:p>
          <w:p w14:paraId="00B95326">
            <w:pPr>
              <w:pStyle w:val="13"/>
              <w:spacing w:line="360" w:lineRule="exact"/>
              <w:rPr>
                <w:rFonts w:hint="eastAsia" w:ascii="宋体" w:hAnsi="宋体" w:cs="宋体"/>
                <w:b/>
                <w:bCs/>
                <w:sz w:val="22"/>
                <w:szCs w:val="22"/>
              </w:rPr>
            </w:pPr>
            <w:r>
              <w:rPr>
                <w:rFonts w:hint="eastAsia" w:ascii="宋体" w:hAnsi="宋体"/>
                <w:sz w:val="22"/>
                <w:szCs w:val="22"/>
              </w:rPr>
              <w:t>4.评分中出现无证明资料或专家无法凭所提供资料判断是否得分的情况，一律作不得分处理。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lang w:val="en-US" w:eastAsia="zh-CN"/>
              </w:rPr>
              <w:t>0</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28D53BB7">
            <w:pPr>
              <w:pStyle w:val="13"/>
              <w:spacing w:line="360" w:lineRule="exact"/>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1FA4CC1A">
            <w:pPr>
              <w:pStyle w:val="13"/>
              <w:spacing w:line="360" w:lineRule="exact"/>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3"/>
              <w:spacing w:line="360" w:lineRule="exact"/>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3"/>
              <w:spacing w:line="360" w:lineRule="exact"/>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3"/>
              <w:spacing w:line="360" w:lineRule="exact"/>
              <w:rPr>
                <w:rFonts w:hint="eastAsia" w:ascii="宋体" w:hAnsi="宋体"/>
                <w:sz w:val="22"/>
                <w:szCs w:val="22"/>
              </w:rPr>
            </w:pPr>
            <w:r>
              <w:rPr>
                <w:rFonts w:hint="eastAsia" w:ascii="宋体" w:hAnsi="宋体"/>
                <w:sz w:val="22"/>
                <w:szCs w:val="22"/>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CA775E8">
            <w:pPr>
              <w:pStyle w:val="13"/>
              <w:spacing w:line="360" w:lineRule="exact"/>
              <w:rPr>
                <w:rFonts w:hint="eastAsia" w:ascii="宋体" w:hAnsi="宋体"/>
                <w:sz w:val="22"/>
                <w:szCs w:val="22"/>
                <w:lang w:eastAsia="zh-CN"/>
              </w:rPr>
            </w:pPr>
            <w:r>
              <w:rPr>
                <w:rFonts w:hint="eastAsia" w:ascii="宋体" w:hAnsi="宋体"/>
                <w:sz w:val="22"/>
                <w:szCs w:val="22"/>
              </w:rPr>
              <w:t>投标人同类项目业绩情况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pStyle w:val="13"/>
              <w:spacing w:line="360" w:lineRule="exact"/>
              <w:rPr>
                <w:rFonts w:hint="eastAsia" w:ascii="宋体" w:hAnsi="宋体"/>
                <w:sz w:val="22"/>
                <w:szCs w:val="22"/>
                <w:lang w:eastAsia="zh-CN"/>
              </w:rPr>
            </w:pPr>
            <w:r>
              <w:rPr>
                <w:rFonts w:hint="eastAsia" w:ascii="宋体" w:hAnsi="宋体"/>
                <w:sz w:val="22"/>
                <w:szCs w:val="22"/>
              </w:rPr>
              <w:t>10</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8565507">
            <w:pPr>
              <w:pStyle w:val="13"/>
              <w:spacing w:line="360" w:lineRule="exact"/>
              <w:rPr>
                <w:rFonts w:hint="eastAsia" w:ascii="宋体" w:hAnsi="宋体"/>
                <w:sz w:val="22"/>
                <w:szCs w:val="22"/>
              </w:rPr>
            </w:pPr>
            <w:r>
              <w:rPr>
                <w:rFonts w:hint="eastAsia" w:ascii="宋体" w:hAnsi="宋体"/>
                <w:sz w:val="22"/>
                <w:szCs w:val="22"/>
              </w:rPr>
              <w:t>投标人近三年（2022年1月1日至今）同类业绩，拥有过医疗卫生服务领域发展规划或方案编撰的，每提供1个得2分，满分为10分，未提供不得分。投标人必须在投标文件中提供每一个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pStyle w:val="13"/>
              <w:spacing w:line="360" w:lineRule="exact"/>
              <w:rPr>
                <w:rFonts w:hint="eastAsia" w:ascii="宋体" w:hAnsi="宋体"/>
                <w:sz w:val="22"/>
                <w:szCs w:val="22"/>
              </w:rPr>
            </w:pPr>
            <w:r>
              <w:rPr>
                <w:rFonts w:hint="eastAsia" w:ascii="宋体" w:hAnsi="宋体"/>
                <w:sz w:val="22"/>
                <w:szCs w:val="22"/>
              </w:rPr>
              <w:t>2</w:t>
            </w:r>
          </w:p>
        </w:tc>
        <w:tc>
          <w:tcPr>
            <w:tcW w:w="1287" w:type="dxa"/>
            <w:tcBorders>
              <w:top w:val="single" w:color="auto" w:sz="4" w:space="0"/>
              <w:left w:val="single" w:color="auto" w:sz="4" w:space="0"/>
              <w:bottom w:val="single" w:color="auto" w:sz="4" w:space="0"/>
              <w:right w:val="single" w:color="auto" w:sz="4" w:space="0"/>
            </w:tcBorders>
            <w:vAlign w:val="center"/>
          </w:tcPr>
          <w:p w14:paraId="5880C3EC">
            <w:pPr>
              <w:pStyle w:val="13"/>
              <w:spacing w:line="360" w:lineRule="exact"/>
              <w:rPr>
                <w:rFonts w:hint="eastAsia" w:ascii="宋体" w:hAnsi="宋体"/>
                <w:sz w:val="22"/>
                <w:szCs w:val="22"/>
              </w:rPr>
            </w:pPr>
            <w:r>
              <w:rPr>
                <w:rFonts w:hint="eastAsia" w:ascii="宋体" w:hAnsi="宋体"/>
                <w:sz w:val="22"/>
                <w:szCs w:val="22"/>
              </w:rPr>
              <w:t>服务网点（场地）</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pStyle w:val="13"/>
              <w:spacing w:line="360" w:lineRule="exact"/>
              <w:rPr>
                <w:rFonts w:hint="eastAsia" w:ascii="宋体" w:hAnsi="宋体"/>
                <w:sz w:val="22"/>
                <w:szCs w:val="22"/>
                <w:lang w:eastAsia="zh-CN"/>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08EB4EC">
            <w:pPr>
              <w:pStyle w:val="13"/>
              <w:spacing w:line="360" w:lineRule="exact"/>
              <w:rPr>
                <w:rFonts w:hint="eastAsia" w:ascii="宋体" w:hAnsi="宋体"/>
                <w:sz w:val="22"/>
                <w:szCs w:val="22"/>
              </w:rPr>
            </w:pPr>
            <w:r>
              <w:rPr>
                <w:rFonts w:hint="eastAsia" w:ascii="宋体" w:hAnsi="宋体"/>
                <w:sz w:val="22"/>
                <w:szCs w:val="22"/>
              </w:rPr>
              <w:t>具有广东省内服务网点得5分，没有不得分。</w:t>
            </w:r>
          </w:p>
          <w:p w14:paraId="027913C2">
            <w:pPr>
              <w:pStyle w:val="13"/>
              <w:spacing w:line="360" w:lineRule="exact"/>
              <w:rPr>
                <w:rFonts w:hint="eastAsia" w:ascii="宋体" w:hAnsi="宋体"/>
                <w:sz w:val="22"/>
                <w:szCs w:val="22"/>
              </w:rPr>
            </w:pPr>
            <w:r>
              <w:rPr>
                <w:rFonts w:hint="eastAsia" w:ascii="宋体" w:hAnsi="宋体"/>
                <w:sz w:val="22"/>
                <w:szCs w:val="22"/>
              </w:rPr>
              <w:t>（提供营业执照等能证明服务网点的材料）</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pStyle w:val="13"/>
              <w:spacing w:line="360" w:lineRule="exact"/>
              <w:rPr>
                <w:rFonts w:hint="eastAsia" w:ascii="宋体" w:hAnsi="宋体"/>
                <w:sz w:val="22"/>
                <w:szCs w:val="22"/>
                <w:lang w:eastAsia="zh-CN"/>
              </w:rPr>
            </w:pPr>
            <w:r>
              <w:rPr>
                <w:rFonts w:hint="eastAsia" w:ascii="宋体" w:hAnsi="宋体"/>
                <w:sz w:val="22"/>
                <w:szCs w:val="22"/>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pStyle w:val="13"/>
              <w:spacing w:line="360" w:lineRule="exact"/>
              <w:rPr>
                <w:rFonts w:hint="eastAsia" w:ascii="宋体" w:hAnsi="宋体"/>
                <w:sz w:val="22"/>
                <w:szCs w:val="22"/>
              </w:rPr>
            </w:pPr>
            <w:r>
              <w:rPr>
                <w:rFonts w:hint="eastAsia" w:ascii="宋体" w:hAnsi="宋体"/>
                <w:sz w:val="22"/>
                <w:szCs w:val="22"/>
              </w:rPr>
              <w:t>项目完成（服务期满）后的服务承诺</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pStyle w:val="13"/>
              <w:spacing w:line="360" w:lineRule="exact"/>
              <w:rPr>
                <w:rFonts w:hint="eastAsia" w:ascii="宋体" w:hAnsi="宋体"/>
                <w:sz w:val="22"/>
                <w:szCs w:val="22"/>
                <w:lang w:val="en-US" w:eastAsia="zh-CN"/>
              </w:rPr>
            </w:pPr>
            <w:r>
              <w:rPr>
                <w:rFonts w:hint="eastAsia" w:ascii="宋体" w:hAnsi="宋体"/>
                <w:sz w:val="22"/>
                <w:szCs w:val="22"/>
              </w:rPr>
              <w:t>3</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388709E4">
            <w:pPr>
              <w:pStyle w:val="13"/>
              <w:spacing w:line="360" w:lineRule="exact"/>
              <w:rPr>
                <w:rFonts w:hint="eastAsia" w:ascii="宋体" w:hAnsi="宋体"/>
                <w:sz w:val="22"/>
                <w:szCs w:val="22"/>
              </w:rPr>
            </w:pPr>
            <w:r>
              <w:rPr>
                <w:rFonts w:hint="eastAsia" w:ascii="宋体" w:hAnsi="宋体"/>
                <w:sz w:val="22"/>
                <w:szCs w:val="22"/>
              </w:rPr>
              <w:t>比较服务期满后提供持续咨询等方面服务的承诺情况：评价为优得3分；评价为良得2分；评价为中得1分；评价为差不得分。</w:t>
            </w:r>
          </w:p>
        </w:tc>
      </w:tr>
      <w:tr w14:paraId="364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432D2BA">
            <w:pPr>
              <w:pStyle w:val="13"/>
              <w:spacing w:line="360" w:lineRule="exact"/>
              <w:rPr>
                <w:rFonts w:hint="eastAsia" w:ascii="宋体" w:hAnsi="宋体"/>
                <w:sz w:val="22"/>
                <w:szCs w:val="22"/>
              </w:rPr>
            </w:pPr>
          </w:p>
        </w:tc>
        <w:tc>
          <w:tcPr>
            <w:tcW w:w="868" w:type="dxa"/>
            <w:tcBorders>
              <w:top w:val="single" w:color="auto" w:sz="4" w:space="0"/>
              <w:left w:val="single" w:color="auto" w:sz="4" w:space="0"/>
              <w:right w:val="single" w:color="auto" w:sz="4" w:space="0"/>
            </w:tcBorders>
            <w:vAlign w:val="center"/>
          </w:tcPr>
          <w:p w14:paraId="222A9E70">
            <w:pPr>
              <w:pStyle w:val="13"/>
              <w:spacing w:line="360" w:lineRule="exact"/>
              <w:rPr>
                <w:rFonts w:hint="eastAsia" w:ascii="宋体" w:hAnsi="宋体"/>
                <w:sz w:val="22"/>
                <w:szCs w:val="22"/>
                <w:lang w:val="en-US" w:eastAsia="zh-CN"/>
              </w:rPr>
            </w:pPr>
            <w:r>
              <w:rPr>
                <w:rFonts w:hint="eastAsia" w:ascii="宋体" w:hAnsi="宋体"/>
                <w:sz w:val="22"/>
                <w:szCs w:val="22"/>
                <w:lang w:val="en-US" w:eastAsia="zh-CN"/>
              </w:rPr>
              <w:t>4</w:t>
            </w:r>
          </w:p>
        </w:tc>
        <w:tc>
          <w:tcPr>
            <w:tcW w:w="1287" w:type="dxa"/>
            <w:tcBorders>
              <w:top w:val="single" w:color="auto" w:sz="4" w:space="0"/>
              <w:left w:val="single" w:color="auto" w:sz="4" w:space="0"/>
              <w:right w:val="single" w:color="auto" w:sz="4" w:space="0"/>
            </w:tcBorders>
            <w:vAlign w:val="center"/>
          </w:tcPr>
          <w:p w14:paraId="054710B6">
            <w:pPr>
              <w:pStyle w:val="13"/>
              <w:spacing w:line="360" w:lineRule="exact"/>
              <w:rPr>
                <w:rFonts w:hint="eastAsia" w:ascii="宋体" w:hAnsi="宋体"/>
                <w:sz w:val="22"/>
                <w:szCs w:val="22"/>
                <w:lang w:eastAsia="zh-CN"/>
              </w:rPr>
            </w:pPr>
            <w:r>
              <w:rPr>
                <w:rFonts w:hint="eastAsia" w:ascii="宋体" w:hAnsi="宋体"/>
                <w:sz w:val="22"/>
                <w:szCs w:val="22"/>
              </w:rPr>
              <w:t>报价合理性</w:t>
            </w:r>
          </w:p>
        </w:tc>
        <w:tc>
          <w:tcPr>
            <w:tcW w:w="675" w:type="dxa"/>
            <w:tcBorders>
              <w:top w:val="single" w:color="auto" w:sz="4" w:space="0"/>
              <w:left w:val="single" w:color="auto" w:sz="4" w:space="0"/>
              <w:bottom w:val="single" w:color="auto" w:sz="4" w:space="0"/>
              <w:right w:val="single" w:color="auto" w:sz="4" w:space="0"/>
            </w:tcBorders>
            <w:vAlign w:val="center"/>
          </w:tcPr>
          <w:p w14:paraId="6C897D14">
            <w:pPr>
              <w:pStyle w:val="13"/>
              <w:spacing w:line="360" w:lineRule="exact"/>
              <w:rPr>
                <w:rFonts w:hint="eastAsia" w:ascii="宋体" w:hAnsi="宋体"/>
                <w:sz w:val="22"/>
                <w:szCs w:val="22"/>
                <w:lang w:val="en-US" w:eastAsia="zh-CN"/>
              </w:rPr>
            </w:pPr>
            <w:r>
              <w:rPr>
                <w:rFonts w:hint="eastAsia" w:ascii="宋体" w:hAnsi="宋体"/>
                <w:sz w:val="22"/>
                <w:szCs w:val="22"/>
              </w:rPr>
              <w:t>2</w:t>
            </w:r>
          </w:p>
        </w:tc>
        <w:tc>
          <w:tcPr>
            <w:tcW w:w="1088" w:type="dxa"/>
            <w:tcBorders>
              <w:top w:val="single" w:color="auto" w:sz="4" w:space="0"/>
              <w:left w:val="single" w:color="auto" w:sz="4" w:space="0"/>
              <w:bottom w:val="single" w:color="auto" w:sz="4" w:space="0"/>
              <w:right w:val="single" w:color="auto" w:sz="4" w:space="0"/>
            </w:tcBorders>
            <w:vAlign w:val="center"/>
          </w:tcPr>
          <w:p w14:paraId="7A00D0CD">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00689C0">
            <w:pPr>
              <w:pStyle w:val="13"/>
              <w:spacing w:line="360" w:lineRule="exact"/>
              <w:rPr>
                <w:rFonts w:hint="eastAsia" w:ascii="宋体" w:hAnsi="宋体"/>
                <w:sz w:val="22"/>
                <w:szCs w:val="22"/>
              </w:rPr>
            </w:pPr>
            <w:r>
              <w:rPr>
                <w:rFonts w:hint="eastAsia" w:ascii="宋体" w:hAnsi="宋体"/>
                <w:sz w:val="22"/>
                <w:szCs w:val="22"/>
              </w:rPr>
              <w:t>考察内容：对照招标文件关于详细分项报价的要求，结合本项目完成（服务）期限要求和人员要求，考察投标人“详细分项报价”的科学性及合理性。横向比较，分档评分：评价为优得2分；评价为良得1分；评价为中得0.5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3"/>
              <w:spacing w:line="360" w:lineRule="exact"/>
              <w:rPr>
                <w:rFonts w:hint="eastAsia" w:ascii="宋体" w:hAnsi="宋体"/>
                <w:sz w:val="22"/>
                <w:szCs w:val="22"/>
              </w:rPr>
            </w:pPr>
            <w:r>
              <w:rPr>
                <w:rFonts w:hint="eastAsia" w:ascii="宋体" w:hAnsi="宋体"/>
                <w:sz w:val="22"/>
                <w:szCs w:val="22"/>
              </w:rPr>
              <w:t>4</w:t>
            </w:r>
          </w:p>
        </w:tc>
        <w:tc>
          <w:tcPr>
            <w:tcW w:w="2830" w:type="dxa"/>
            <w:gridSpan w:val="3"/>
            <w:tcBorders>
              <w:top w:val="single" w:color="auto" w:sz="4" w:space="0"/>
              <w:left w:val="single" w:color="auto" w:sz="4" w:space="0"/>
              <w:bottom w:val="single" w:color="auto" w:sz="4" w:space="0"/>
            </w:tcBorders>
          </w:tcPr>
          <w:p w14:paraId="6509D384">
            <w:pPr>
              <w:pStyle w:val="13"/>
              <w:spacing w:line="360" w:lineRule="exact"/>
              <w:jc w:val="center"/>
              <w:rPr>
                <w:rFonts w:hint="eastAsia" w:ascii="宋体" w:hAnsi="宋体"/>
                <w:sz w:val="22"/>
                <w:szCs w:val="22"/>
              </w:rPr>
            </w:pPr>
            <w:r>
              <w:rPr>
                <w:rFonts w:hint="eastAsia" w:ascii="宋体" w:hAnsi="宋体"/>
                <w:sz w:val="22"/>
                <w:szCs w:val="22"/>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pStyle w:val="13"/>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14F64AC3">
            <w:pPr>
              <w:pStyle w:val="13"/>
              <w:spacing w:line="360" w:lineRule="exact"/>
              <w:jc w:val="center"/>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3F751CA2">
            <w:pPr>
              <w:pStyle w:val="13"/>
              <w:spacing w:line="360" w:lineRule="exact"/>
              <w:jc w:val="center"/>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3"/>
              <w:spacing w:line="360" w:lineRule="exact"/>
              <w:jc w:val="center"/>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07FC10CD">
            <w:pPr>
              <w:pStyle w:val="13"/>
              <w:spacing w:line="360" w:lineRule="exact"/>
              <w:jc w:val="center"/>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pStyle w:val="13"/>
              <w:spacing w:line="360" w:lineRule="exact"/>
              <w:jc w:val="center"/>
              <w:rPr>
                <w:rFonts w:hint="eastAsia" w:ascii="宋体" w:hAnsi="宋体"/>
                <w:sz w:val="22"/>
                <w:szCs w:val="22"/>
              </w:rPr>
            </w:pPr>
            <w:r>
              <w:rPr>
                <w:rFonts w:hint="eastAsia" w:ascii="宋体" w:hAnsi="宋体"/>
                <w:sz w:val="22"/>
                <w:szCs w:val="22"/>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pStyle w:val="13"/>
              <w:spacing w:line="360" w:lineRule="exact"/>
              <w:rPr>
                <w:rFonts w:hint="eastAsia" w:ascii="宋体" w:hAnsi="宋体"/>
                <w:sz w:val="22"/>
                <w:szCs w:val="22"/>
              </w:rPr>
            </w:pPr>
            <w:r>
              <w:rPr>
                <w:rFonts w:hint="eastAsia" w:ascii="宋体" w:hAnsi="宋体"/>
                <w:sz w:val="22"/>
                <w:szCs w:val="22"/>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3"/>
              <w:spacing w:line="360" w:lineRule="exact"/>
              <w:rPr>
                <w:rFonts w:hint="eastAsia" w:ascii="宋体" w:hAnsi="宋体"/>
                <w:sz w:val="22"/>
                <w:szCs w:val="22"/>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pStyle w:val="13"/>
              <w:spacing w:line="360" w:lineRule="exact"/>
              <w:rPr>
                <w:rFonts w:hint="eastAsia" w:ascii="宋体" w:hAnsi="宋体"/>
                <w:sz w:val="22"/>
                <w:szCs w:val="22"/>
              </w:rPr>
            </w:pPr>
            <w:r>
              <w:rPr>
                <w:rFonts w:hint="eastAsia" w:ascii="宋体" w:hAnsi="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sz w:val="22"/>
                <w:szCs w:val="22"/>
                <w:lang w:val="en-US" w:eastAsia="zh-CN"/>
              </w:rPr>
              <w:t>5</w:t>
            </w:r>
            <w:r>
              <w:rPr>
                <w:rFonts w:hint="eastAsia" w:ascii="宋体" w:hAnsi="宋体"/>
                <w:sz w:val="22"/>
                <w:szCs w:val="22"/>
              </w:rPr>
              <w:t>分。（采购</w:t>
            </w:r>
            <w:r>
              <w:rPr>
                <w:rFonts w:hint="eastAsia" w:ascii="宋体" w:hAnsi="宋体"/>
                <w:sz w:val="22"/>
                <w:szCs w:val="22"/>
                <w:lang w:eastAsia="zh-CN"/>
              </w:rPr>
              <w:t>办</w:t>
            </w:r>
            <w:r>
              <w:rPr>
                <w:rFonts w:hint="eastAsia" w:ascii="宋体" w:hAnsi="宋体"/>
                <w:sz w:val="22"/>
                <w:szCs w:val="22"/>
              </w:rPr>
              <w:t>通过“信用中国”、“中国政府采购网”、“深圳市政府采购监管网”以及市、区财政部门认定的其他渠道查询供应商信用信息，投标人无需提供证明材料。）</w:t>
            </w:r>
          </w:p>
        </w:tc>
      </w:tr>
    </w:tbl>
    <w:p w14:paraId="37CB1355">
      <w:pPr>
        <w:pStyle w:val="13"/>
        <w:spacing w:line="360" w:lineRule="exact"/>
        <w:rPr>
          <w:rFonts w:hint="eastAsia" w:ascii="宋体" w:hAnsi="宋体"/>
          <w:sz w:val="22"/>
          <w:szCs w:val="22"/>
        </w:rPr>
      </w:pPr>
      <w:bookmarkStart w:id="0" w:name="InsertEnd"/>
      <w:bookmarkEnd w:id="0"/>
    </w:p>
    <w:p w14:paraId="38B30510">
      <w:pPr>
        <w:pStyle w:val="13"/>
        <w:spacing w:line="360" w:lineRule="exact"/>
        <w:rPr>
          <w:rFonts w:hint="eastAsia" w:ascii="宋体" w:hAnsi="宋体"/>
          <w:sz w:val="22"/>
          <w:szCs w:val="22"/>
        </w:rPr>
      </w:pPr>
      <w:r>
        <w:rPr>
          <w:rFonts w:hint="eastAsia" w:ascii="宋体" w:hAnsi="宋体"/>
          <w:sz w:val="22"/>
          <w:szCs w:val="22"/>
        </w:rPr>
        <w:t>说明：</w:t>
      </w:r>
    </w:p>
    <w:p w14:paraId="697C1AFD">
      <w:pPr>
        <w:pStyle w:val="13"/>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3"/>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3"/>
        <w:spacing w:line="360" w:lineRule="exact"/>
        <w:rPr>
          <w:rFonts w:hint="eastAsia" w:ascii="宋体" w:hAnsi="宋体"/>
          <w:sz w:val="22"/>
          <w:szCs w:val="22"/>
        </w:rPr>
      </w:pPr>
    </w:p>
    <w:p w14:paraId="700E954F">
      <w:pPr>
        <w:pStyle w:val="13"/>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万元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深圳市儿童医院“</w:t>
            </w:r>
            <w:bookmarkStart w:id="25" w:name="_GoBack"/>
            <w:bookmarkEnd w:id="25"/>
            <w:r>
              <w:rPr>
                <w:rFonts w:hint="eastAsia" w:ascii="宋体" w:hAnsi="宋体" w:eastAsia="宋体" w:cs="宋体"/>
                <w:color w:val="000000"/>
                <w:sz w:val="24"/>
                <w:szCs w:val="24"/>
              </w:rPr>
              <w:t>十五五”规划规划编撰项目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十五五”规划是对医院过去规划的全面审视及延续发展，更是医院未来发展的蓝图设计和行动指南，其对医院发展具有深远重大意义。为使医院的“十五五”规划能够更加全面、科学、合理，使医院更具有应对风险和挑战的能力，促进医院可持续发展，医院拟采购一家第三方服务团队协助编撰医院的“十五五”规划。</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4"/>
                <w:szCs w:val="24"/>
              </w:rPr>
            </w:pPr>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6"/>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35129CCA">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1、本项目</w:t>
                  </w:r>
                  <w:r>
                    <w:rPr>
                      <w:rFonts w:hint="eastAsia" w:ascii="宋体" w:hAnsi="宋体" w:eastAsia="宋体" w:cs="宋体"/>
                      <w:sz w:val="24"/>
                      <w:szCs w:val="24"/>
                      <w:lang w:eastAsia="zh-CN"/>
                    </w:rPr>
                    <w:t>预算</w:t>
                  </w:r>
                  <w:r>
                    <w:rPr>
                      <w:rFonts w:hint="eastAsia" w:ascii="宋体" w:hAnsi="宋体" w:eastAsia="宋体" w:cs="宋体"/>
                      <w:sz w:val="24"/>
                      <w:szCs w:val="24"/>
                    </w:rPr>
                    <w:t>8万元，包括</w:t>
                  </w:r>
                  <w:bookmarkStart w:id="1" w:name="OLE_LINK2"/>
                  <w:bookmarkStart w:id="2" w:name="OLE_LINK1"/>
                  <w:r>
                    <w:rPr>
                      <w:rFonts w:hint="eastAsia" w:ascii="宋体" w:hAnsi="宋体" w:eastAsia="宋体" w:cs="宋体"/>
                      <w:sz w:val="24"/>
                      <w:szCs w:val="24"/>
                    </w:rPr>
                    <w:t>开展“十五五”规划的前期调研、撰写规划报告、组织专家论证规划的可行性等</w:t>
                  </w:r>
                  <w:bookmarkEnd w:id="1"/>
                  <w:bookmarkEnd w:id="2"/>
                  <w:r>
                    <w:rPr>
                      <w:rFonts w:hint="eastAsia" w:ascii="宋体" w:hAnsi="宋体" w:eastAsia="宋体" w:cs="宋体"/>
                      <w:sz w:val="24"/>
                      <w:szCs w:val="24"/>
                    </w:rPr>
                    <w:t>所有费用的支出。</w:t>
                  </w:r>
                </w:p>
                <w:p w14:paraId="6B705F83">
                  <w:pPr>
                    <w:spacing w:after="78" w:line="360" w:lineRule="auto"/>
                    <w:rPr>
                      <w:rFonts w:hint="eastAsia" w:ascii="宋体" w:hAnsi="宋体" w:eastAsia="宋体" w:cs="宋体"/>
                      <w:sz w:val="24"/>
                      <w:szCs w:val="24"/>
                    </w:rPr>
                  </w:pPr>
                  <w:r>
                    <w:rPr>
                      <w:rFonts w:hint="eastAsia" w:ascii="宋体" w:hAnsi="宋体" w:eastAsia="宋体" w:cs="宋体"/>
                      <w:sz w:val="24"/>
                      <w:szCs w:val="24"/>
                    </w:rPr>
                    <w:t>2、支付方式：分两期支付，合同签订后</w:t>
                  </w:r>
                  <w:bookmarkStart w:id="3" w:name="OLE_LINK3"/>
                  <w:r>
                    <w:rPr>
                      <w:rFonts w:hint="eastAsia" w:ascii="宋体" w:hAnsi="宋体" w:eastAsia="宋体" w:cs="宋体"/>
                      <w:sz w:val="24"/>
                      <w:szCs w:val="24"/>
                    </w:rPr>
                    <w:t>20个工作日</w:t>
                  </w:r>
                  <w:bookmarkEnd w:id="3"/>
                  <w:r>
                    <w:rPr>
                      <w:rFonts w:hint="eastAsia" w:ascii="宋体" w:hAnsi="宋体" w:eastAsia="宋体" w:cs="宋体"/>
                      <w:sz w:val="24"/>
                      <w:szCs w:val="24"/>
                    </w:rPr>
                    <w:t>，甲方向乙方支付第一期款项：总额的50%，待项目服务完成验收后20个工作日，甲方向乙方支付第二期款项，50%尾款。</w:t>
                  </w:r>
                </w:p>
                <w:p w14:paraId="3DA8C237">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3、服务期限：自合同签订之日起至上级主管部门审核通过规划报告并同意印发执行止。项目工作开展时间节点以甲方要求为准。</w:t>
                  </w:r>
                </w:p>
                <w:p w14:paraId="6D38496C">
                  <w:pPr>
                    <w:pStyle w:val="2"/>
                    <w:rPr>
                      <w:rFonts w:hint="eastAsia" w:ascii="宋体" w:hAnsi="宋体" w:eastAsia="宋体" w:cs="宋体"/>
                      <w:sz w:val="24"/>
                      <w:szCs w:val="24"/>
                    </w:rPr>
                  </w:pPr>
                  <w:r>
                    <w:rPr>
                      <w:rFonts w:hint="eastAsia" w:ascii="宋体" w:hAnsi="宋体" w:eastAsia="宋体" w:cs="宋体"/>
                      <w:sz w:val="24"/>
                      <w:szCs w:val="24"/>
                    </w:rPr>
                    <w:t>4、投标方需具备医疗卫生领域发展规划或方案编制经验。</w:t>
                  </w:r>
                </w:p>
                <w:p w14:paraId="4855476D">
                  <w:pPr>
                    <w:pStyle w:val="2"/>
                    <w:spacing w:line="440" w:lineRule="exact"/>
                    <w:rPr>
                      <w:rFonts w:hint="eastAsia" w:ascii="宋体" w:hAnsi="宋体" w:eastAsia="宋体" w:cs="宋体"/>
                      <w:sz w:val="24"/>
                      <w:szCs w:val="24"/>
                    </w:rPr>
                  </w:pPr>
                  <w:r>
                    <w:rPr>
                      <w:rFonts w:hint="eastAsia" w:ascii="宋体" w:hAnsi="宋体" w:eastAsia="宋体" w:cs="宋体"/>
                      <w:sz w:val="24"/>
                      <w:szCs w:val="24"/>
                    </w:rPr>
                    <w:t>5、本项目所有成果（包括但不限于调研报告、规划报告、专家论证意见等）的知识产权归甲方所有，未经甲方书面同意，乙方不得将项目成果用于其他用途或向第三方披露。</w:t>
                  </w:r>
                </w:p>
                <w:p w14:paraId="7BD36E6C">
                  <w:pPr>
                    <w:pStyle w:val="2"/>
                    <w:rPr>
                      <w:rFonts w:hint="eastAsia" w:ascii="宋体" w:hAnsi="宋体" w:eastAsia="宋体" w:cs="宋体"/>
                      <w:sz w:val="24"/>
                      <w:szCs w:val="24"/>
                      <w:lang w:val="en-US" w:eastAsia="zh-CN"/>
                    </w:rPr>
                  </w:pPr>
                  <w:r>
                    <w:rPr>
                      <w:rFonts w:hint="eastAsia" w:ascii="宋体" w:hAnsi="宋体" w:eastAsia="宋体" w:cs="宋体"/>
                      <w:sz w:val="24"/>
                      <w:szCs w:val="24"/>
                    </w:rPr>
                    <w:t>6、乙方应对在项目执行过程中接触到的医院内部信息、数据、文件等严格保密，不得向任何第三方泄露。保密义务在合同终止后仍然有效，如因乙方违反保密义务导致甲方损失的，乙方应承担赔偿责任。</w:t>
                  </w:r>
                </w:p>
              </w:tc>
            </w:tr>
          </w:tbl>
          <w:p w14:paraId="25AB42DA">
            <w:pPr>
              <w:spacing w:after="78" w:line="360" w:lineRule="auto"/>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7A2F1579">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1、本项目的服务内容包括规划撰写的前期调研、规划报告撰写、专家论证报告等。</w:t>
            </w:r>
          </w:p>
          <w:p w14:paraId="13C96505">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（1）调研方式包括数据收集、实地调研访谈、对标分析等，并形成调研报告。</w:t>
            </w:r>
          </w:p>
          <w:p w14:paraId="3BE126DB">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（2）规划报告包括但不限于现状分析、指导思想、发展目标、重点任务、保障措施等，并按照甲方以及上级主管部门的要求进行修改，需形成初稿、修改稿、终稿报告。</w:t>
            </w:r>
          </w:p>
          <w:p w14:paraId="647731B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（3）规划报告形成后，需要组织包括医疗卫生领域在内的专家召开论证会，需要提交专家论证意见汇总，并结合甲方意见修改后形成规划报告终稿。</w:t>
            </w:r>
          </w:p>
          <w:p w14:paraId="05D654EF">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2、规划报告内容需规范严谨、数据准确，具有可行性，规划内容需符合国家、省、市各级的相关政策和法律法规。</w:t>
            </w:r>
          </w:p>
          <w:p w14:paraId="5C7558C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3、项目团队负责人需具有医疗卫生领域规划编制的服务经验。</w:t>
            </w:r>
          </w:p>
          <w:p w14:paraId="44353D1D">
            <w:pPr>
              <w:spacing w:after="78" w:line="360" w:lineRule="auto"/>
              <w:rPr>
                <w:rFonts w:hint="eastAsia" w:ascii="宋体" w:hAnsi="宋体" w:eastAsia="宋体" w:cs="宋体"/>
                <w:sz w:val="24"/>
                <w:szCs w:val="24"/>
              </w:rPr>
            </w:pPr>
            <w:r>
              <w:rPr>
                <w:rFonts w:hint="eastAsia" w:ascii="宋体" w:hAnsi="宋体" w:eastAsia="宋体" w:cs="宋体"/>
                <w:sz w:val="24"/>
                <w:szCs w:val="24"/>
              </w:rPr>
              <w:t>4、项目团队成员不少于5人，其中至少有2名博士。</w:t>
            </w:r>
          </w:p>
        </w:tc>
      </w:tr>
    </w:tbl>
    <w:p w14:paraId="47FA9FF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AB94F34">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4" w:name="_Toc211243316"/>
      <w:bookmarkStart w:id="5" w:name="_Toc311468376"/>
      <w:r>
        <w:rPr>
          <w:rFonts w:ascii="宋体" w:hAnsi="宋体"/>
          <w:color w:val="000000"/>
          <w:szCs w:val="21"/>
        </w:rPr>
        <w:t>格式2.</w:t>
      </w:r>
      <w:bookmarkEnd w:id="4"/>
      <w:r>
        <w:rPr>
          <w:rFonts w:ascii="宋体" w:hAnsi="宋体"/>
          <w:color w:val="000000"/>
          <w:szCs w:val="21"/>
        </w:rPr>
        <w:t xml:space="preserve"> 开标一览表格式</w:t>
      </w:r>
      <w:bookmarkEnd w:id="5"/>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6" w:name="_Toc211248414"/>
      <w:r>
        <w:rPr>
          <w:rFonts w:eastAsia="黑体"/>
          <w:color w:val="000000"/>
          <w:sz w:val="30"/>
          <w:szCs w:val="30"/>
        </w:rPr>
        <w:t>投标分项报价表</w:t>
      </w:r>
      <w:bookmarkEnd w:id="6"/>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CB6E1D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10" w:name="_Toc100052473"/>
      <w:bookmarkStart w:id="11"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707"/>
      <w:bookmarkStart w:id="13" w:name="_Toc101074904"/>
      <w:bookmarkStart w:id="14" w:name="_Toc100052474"/>
      <w:bookmarkStart w:id="15"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6" w:name="_Toc101074905"/>
      <w:bookmarkStart w:id="17" w:name="_Toc100052475"/>
      <w:bookmarkStart w:id="18" w:name="_Toc73521708"/>
      <w:bookmarkStart w:id="19"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20" w:name="_Toc201997946"/>
      <w:bookmarkStart w:id="21" w:name="_Toc201743116"/>
      <w:bookmarkStart w:id="22" w:name="_Toc201719118"/>
      <w:bookmarkStart w:id="23" w:name="_Toc201401658"/>
      <w:bookmarkStart w:id="24" w:name="_Toc201742861"/>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389F755C">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3"/>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2AF05562">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292A17"/>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055362"/>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63DA6"/>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样式 行距: 1.5 倍行距 首行缩进:  2 字符"/>
    <w:basedOn w:val="1"/>
    <w:qFormat/>
    <w:uiPriority w:val="0"/>
    <w:pPr>
      <w:adjustRightInd w:val="0"/>
      <w:snapToGrid w:val="0"/>
      <w:spacing w:line="460" w:lineRule="exact"/>
    </w:p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w:basedOn w:val="1"/>
    <w:next w:val="1"/>
    <w:qFormat/>
    <w:uiPriority w:val="0"/>
    <w:pPr>
      <w:spacing w:after="120"/>
    </w:p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4"/>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8"/>
    <w:link w:val="5"/>
    <w:qFormat/>
    <w:uiPriority w:val="0"/>
    <w:rPr>
      <w:b/>
      <w:kern w:val="2"/>
      <w:sz w:val="24"/>
    </w:rPr>
  </w:style>
  <w:style w:type="character" w:customStyle="1" w:styleId="24">
    <w:name w:val="纯文本 Char"/>
    <w:basedOn w:val="18"/>
    <w:link w:val="9"/>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8"/>
    <w:link w:val="12"/>
    <w:qFormat/>
    <w:uiPriority w:val="0"/>
    <w:rPr>
      <w:kern w:val="2"/>
      <w:sz w:val="18"/>
      <w:szCs w:val="18"/>
    </w:rPr>
  </w:style>
  <w:style w:type="character" w:customStyle="1" w:styleId="28">
    <w:name w:val="页脚 Char"/>
    <w:basedOn w:val="18"/>
    <w:link w:val="11"/>
    <w:qFormat/>
    <w:uiPriority w:val="99"/>
    <w:rPr>
      <w:kern w:val="2"/>
      <w:sz w:val="18"/>
      <w:szCs w:val="18"/>
    </w:rPr>
  </w:style>
  <w:style w:type="character" w:customStyle="1" w:styleId="29">
    <w:name w:val="标题 2 Char"/>
    <w:basedOn w:val="18"/>
    <w:link w:val="4"/>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8"/>
    <w:link w:val="3"/>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4842</Words>
  <Characters>4935</Characters>
  <Lines>48</Lines>
  <Paragraphs>13</Paragraphs>
  <TotalTime>2</TotalTime>
  <ScaleCrop>false</ScaleCrop>
  <LinksUpToDate>false</LinksUpToDate>
  <CharactersWithSpaces>5994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丘晓坡</cp:lastModifiedBy>
  <cp:lastPrinted>2024-12-04T23:44:00Z</cp:lastPrinted>
  <dcterms:modified xsi:type="dcterms:W3CDTF">2025-07-04T10:47:10Z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C4CE23A4FF9541EEA12A111E876447E5_13</vt:lpwstr>
  </property>
  <property fmtid="{D5CDD505-2E9C-101B-9397-08002B2CF9AE}" pid="4" name="KSOTemplateDocerSaveRecord">
    <vt:lpwstr>eyJoZGlkIjoiMjk3OWU1MzY1OTQ5OTJmMDNkZTgyMmQxZGM1NzFkMjQiLCJ1c2VySWQiOiIxNjg5ODM2NzQxIn0=</vt:lpwstr>
  </property>
</Properties>
</file>