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BB0A8E">
      <w:pPr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表1</w:t>
      </w:r>
    </w:p>
    <w:p w14:paraId="3C450654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78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1891"/>
        <w:gridCol w:w="1624"/>
        <w:gridCol w:w="1125"/>
        <w:gridCol w:w="1683"/>
        <w:gridCol w:w="1734"/>
        <w:gridCol w:w="86"/>
        <w:gridCol w:w="1637"/>
      </w:tblGrid>
      <w:tr w14:paraId="5F5912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899" w:type="dxa"/>
            <w:gridSpan w:val="2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EFED4C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一、项目名称</w:t>
            </w:r>
          </w:p>
        </w:tc>
        <w:tc>
          <w:tcPr>
            <w:tcW w:w="7889" w:type="dxa"/>
            <w:gridSpan w:val="6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6498E2F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全自动革兰染色分析仪</w:t>
            </w:r>
          </w:p>
        </w:tc>
      </w:tr>
      <w:tr w14:paraId="57AD81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899" w:type="dxa"/>
            <w:gridSpan w:val="2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8D4B54B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申请科室</w:t>
            </w:r>
          </w:p>
        </w:tc>
        <w:tc>
          <w:tcPr>
            <w:tcW w:w="2749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auto" w:fill="auto"/>
            <w:noWrap/>
            <w:vAlign w:val="center"/>
          </w:tcPr>
          <w:p w14:paraId="4E45262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检验科</w:t>
            </w:r>
          </w:p>
        </w:tc>
        <w:tc>
          <w:tcPr>
            <w:tcW w:w="3503" w:type="dxa"/>
            <w:gridSpan w:val="3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77C3927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负责人及电话</w:t>
            </w:r>
          </w:p>
        </w:tc>
        <w:tc>
          <w:tcPr>
            <w:tcW w:w="163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E05C16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陈运生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18938691083</w:t>
            </w:r>
            <w:bookmarkStart w:id="0" w:name="_GoBack"/>
            <w:bookmarkEnd w:id="0"/>
          </w:p>
        </w:tc>
      </w:tr>
      <w:tr w14:paraId="178E58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1891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4FEADF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设备名称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</w:rPr>
              <w:t>（与申报发改委设备名称保持一致）</w:t>
            </w:r>
          </w:p>
        </w:tc>
        <w:tc>
          <w:tcPr>
            <w:tcW w:w="162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DD08CAD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全自动革兰染色分析仪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1608E4E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数量</w:t>
            </w:r>
          </w:p>
        </w:tc>
        <w:tc>
          <w:tcPr>
            <w:tcW w:w="168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C5988B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FA2848B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单位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0DEB163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台</w:t>
            </w:r>
          </w:p>
        </w:tc>
      </w:tr>
      <w:tr w14:paraId="3CE07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1891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C04B743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单价（万元）</w:t>
            </w:r>
          </w:p>
        </w:tc>
        <w:tc>
          <w:tcPr>
            <w:tcW w:w="162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D074D1C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C288224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</w:rPr>
              <w:t>总价</w:t>
            </w:r>
          </w:p>
          <w:p w14:paraId="53CC206C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</w:rPr>
              <w:t>（万元）</w:t>
            </w:r>
          </w:p>
        </w:tc>
        <w:tc>
          <w:tcPr>
            <w:tcW w:w="168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2F7BD5E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73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C5FC7A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进口/国产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A98971C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国产</w:t>
            </w:r>
          </w:p>
        </w:tc>
      </w:tr>
      <w:tr w14:paraId="4EA987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1891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9959A8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配套耗材或试剂情况</w:t>
            </w:r>
          </w:p>
        </w:tc>
        <w:tc>
          <w:tcPr>
            <w:tcW w:w="2749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F097B2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开放   □</w:t>
            </w:r>
          </w:p>
        </w:tc>
        <w:tc>
          <w:tcPr>
            <w:tcW w:w="3417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B3BCB7C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 xml:space="preserve">专用   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eastAsia="zh-CN"/>
              </w:rPr>
              <w:t>☑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9505B2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 xml:space="preserve">无  </w:t>
            </w:r>
            <w:r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□</w:t>
            </w:r>
          </w:p>
        </w:tc>
      </w:tr>
      <w:tr w14:paraId="3D5887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1891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293E9A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是否有医疗器械</w:t>
            </w:r>
          </w:p>
          <w:p w14:paraId="1216ACB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注册证</w:t>
            </w:r>
          </w:p>
        </w:tc>
        <w:tc>
          <w:tcPr>
            <w:tcW w:w="2749" w:type="dxa"/>
            <w:gridSpan w:val="2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363C70C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 xml:space="preserve">有    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eastAsia="zh-CN"/>
              </w:rPr>
              <w:t>☑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 xml:space="preserve">                   </w:t>
            </w:r>
          </w:p>
        </w:tc>
        <w:tc>
          <w:tcPr>
            <w:tcW w:w="5140" w:type="dxa"/>
            <w:gridSpan w:val="4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EC5FAAC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无   □</w:t>
            </w:r>
          </w:p>
        </w:tc>
      </w:tr>
      <w:tr w14:paraId="1BE500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9780" w:type="dxa"/>
            <w:gridSpan w:val="7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53D1F30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二、市场情况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</w:rPr>
              <w:t>（采购总金额1</w:t>
            </w:r>
            <w:r>
              <w:rPr>
                <w:rFonts w:ascii="宋体" w:hAnsi="宋体" w:cs="宋体"/>
                <w:b/>
                <w:bCs/>
                <w:color w:val="FF0000"/>
                <w:kern w:val="0"/>
                <w:sz w:val="22"/>
              </w:rPr>
              <w:t>0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2"/>
              </w:rPr>
              <w:t>万元以上设备填写）</w:t>
            </w: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lang w:val="en-US" w:eastAsia="zh-CN"/>
              </w:rPr>
              <w:t>市场占有率35%。</w:t>
            </w:r>
          </w:p>
        </w:tc>
      </w:tr>
      <w:tr w14:paraId="0E8BB0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1891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462FBC3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推荐品牌</w:t>
            </w:r>
          </w:p>
        </w:tc>
        <w:tc>
          <w:tcPr>
            <w:tcW w:w="162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FD41CD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规格型号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FDB877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参考价格</w:t>
            </w:r>
          </w:p>
        </w:tc>
        <w:tc>
          <w:tcPr>
            <w:tcW w:w="168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578CE88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使用医院</w:t>
            </w:r>
          </w:p>
          <w:p w14:paraId="555A47E0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名称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59DC42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供应商</w:t>
            </w:r>
          </w:p>
        </w:tc>
        <w:tc>
          <w:tcPr>
            <w:tcW w:w="163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2E2B5B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联系人（电话）</w:t>
            </w:r>
          </w:p>
        </w:tc>
      </w:tr>
      <w:tr w14:paraId="5D1FBA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1891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7856945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1、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珠海迪尔</w:t>
            </w:r>
          </w:p>
        </w:tc>
        <w:tc>
          <w:tcPr>
            <w:tcW w:w="162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EE2E362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DL-DYE-GR</w:t>
            </w:r>
            <w:r>
              <w:rPr>
                <w:rFonts w:hint="eastAsia" w:cs="Times New Roman" w:asciiTheme="minorEastAsia" w:hAnsiTheme="minorEastAsia" w:eastAsiaTheme="minorEastAsia"/>
                <w:b/>
                <w:bCs/>
                <w:spacing w:val="8"/>
                <w:sz w:val="28"/>
                <w:szCs w:val="28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F84CBA1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15万元</w:t>
            </w:r>
          </w:p>
        </w:tc>
        <w:tc>
          <w:tcPr>
            <w:tcW w:w="168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6CA13DC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深圳大鹏南澳人民医院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732894B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lang w:val="en-US" w:eastAsia="zh-CN"/>
              </w:rPr>
              <w:t>深圳中西药业有限公司</w:t>
            </w:r>
          </w:p>
        </w:tc>
        <w:tc>
          <w:tcPr>
            <w:tcW w:w="163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F392C1F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075525921755</w:t>
            </w:r>
          </w:p>
        </w:tc>
      </w:tr>
      <w:tr w14:paraId="50D3F1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1891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0CA328B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2.法国梅里埃</w:t>
            </w:r>
          </w:p>
        </w:tc>
        <w:tc>
          <w:tcPr>
            <w:tcW w:w="162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686861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PREVI® Color Gram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8849BA6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40万元</w:t>
            </w:r>
          </w:p>
        </w:tc>
        <w:tc>
          <w:tcPr>
            <w:tcW w:w="168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32A096E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广州市第一人民医院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1916557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lang w:val="en-US" w:eastAsia="zh-CN"/>
              </w:rPr>
              <w:t>广州华鑫科技有限公司</w:t>
            </w:r>
          </w:p>
        </w:tc>
        <w:tc>
          <w:tcPr>
            <w:tcW w:w="163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67C0ABC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lang w:val="en-US" w:eastAsia="zh-CN"/>
              </w:rPr>
              <w:t>02066826868</w:t>
            </w:r>
          </w:p>
        </w:tc>
      </w:tr>
      <w:tr w14:paraId="7C84E8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85" w:hRule="atLeast"/>
          <w:jc w:val="center"/>
        </w:trPr>
        <w:tc>
          <w:tcPr>
            <w:tcW w:w="1891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D778E0D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3，上海浩信生物科技公司</w:t>
            </w:r>
          </w:p>
        </w:tc>
        <w:tc>
          <w:tcPr>
            <w:tcW w:w="1624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B7C6EB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(Micro STAINER Alpha)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A502160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35万元</w:t>
            </w:r>
          </w:p>
        </w:tc>
        <w:tc>
          <w:tcPr>
            <w:tcW w:w="168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15CE1BD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上海华东医院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52F0631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lang w:val="en-US" w:eastAsia="zh-CN"/>
              </w:rPr>
              <w:t>上海浩信生物科技有限公司</w:t>
            </w:r>
          </w:p>
        </w:tc>
        <w:tc>
          <w:tcPr>
            <w:tcW w:w="1637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EC48F6B"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lang w:val="en-US" w:eastAsia="zh-CN"/>
              </w:rPr>
              <w:t>02586978335</w:t>
            </w:r>
          </w:p>
        </w:tc>
      </w:tr>
    </w:tbl>
    <w:p w14:paraId="579A74A6">
      <w:pPr>
        <w:widowControl/>
        <w:jc w:val="left"/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，签字）交给设备科</w:t>
      </w:r>
    </w:p>
    <w:p w14:paraId="02833C7C">
      <w:pPr>
        <w:widowControl/>
        <w:jc w:val="left"/>
      </w:pPr>
      <w:r>
        <w:br w:type="page"/>
      </w: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表2</w:t>
      </w:r>
    </w:p>
    <w:p w14:paraId="572103BE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最终参数</w:t>
      </w:r>
    </w:p>
    <w:tbl>
      <w:tblPr>
        <w:tblStyle w:val="7"/>
        <w:tblW w:w="10296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755"/>
        <w:gridCol w:w="8881"/>
      </w:tblGrid>
      <w:tr w14:paraId="528B07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863D1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755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22316E5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888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 w14:paraId="33F187E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全自动革兰染色分析仪</w:t>
            </w:r>
          </w:p>
        </w:tc>
      </w:tr>
      <w:tr w14:paraId="28F83B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A1DA983">
            <w:pPr>
              <w:widowControl/>
              <w:jc w:val="center"/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1、</w:t>
            </w:r>
          </w:p>
          <w:p w14:paraId="525479E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61978A2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175C15F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495FB30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64443B4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755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E8BA7EC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 w14:paraId="2EF0ACE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 w14:paraId="2D7F654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 w14:paraId="14DF210C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888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5B2DC9FC">
            <w:pPr>
              <w:spacing w:line="360" w:lineRule="auto"/>
              <w:jc w:val="both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1.适用范围：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用于临床微生物标本的革兰氏染色。</w:t>
            </w:r>
          </w:p>
        </w:tc>
      </w:tr>
      <w:tr w14:paraId="1F073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7236A06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D153A0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88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2028CF63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2.工作原理：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根据《临床微生物检验标准化操作》流程，模拟手工染色，采用定量滴染技术和微量浸泡技术对标本进行染色。</w:t>
            </w:r>
          </w:p>
        </w:tc>
      </w:tr>
      <w:tr w14:paraId="693DEF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CC1F4B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49C6B69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88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48F8D057">
            <w:pPr>
              <w:spacing w:line="360" w:lineRule="auto"/>
              <w:jc w:val="both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3.染片容量：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可同时染≥8片</w:t>
            </w:r>
          </w:p>
        </w:tc>
      </w:tr>
      <w:tr w14:paraId="04FB83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4CFB73B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0517B45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88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4C1EB8A">
            <w:pPr>
              <w:spacing w:line="360" w:lineRule="auto"/>
              <w:jc w:val="both"/>
              <w:rPr>
                <w:rFonts w:hint="default" w:ascii="宋体" w:hAnsi="宋体" w:eastAsia="宋体" w:cs="宋体"/>
                <w:color w:val="3F3F3F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4.染色速度：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革兰染色≤10分钟完成8片染色。</w:t>
            </w:r>
          </w:p>
        </w:tc>
      </w:tr>
      <w:tr w14:paraId="120E17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1AE2545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1E0B124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88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D8FC87B">
            <w:p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5.仪器设计：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5.1配置独立玻片盒，保护标本，有效隔离玻片彼此交叉污染。</w:t>
            </w:r>
          </w:p>
          <w:p w14:paraId="6F0F1EFB">
            <w:p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5.2卡槽设置，保证染液与标本的充分接触，标本着色均匀。</w:t>
            </w:r>
          </w:p>
          <w:p w14:paraId="177A7BBF">
            <w:p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5.3加液头直径：加液头口径≥4mm，垂直滴加染液，避免加液头堵塞。</w:t>
            </w:r>
          </w:p>
          <w:p w14:paraId="188A5847">
            <w:p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5.4染色转速：转盘速度≥200RPM；脱水转速≤350RPM，避免标本脱落。</w:t>
            </w:r>
          </w:p>
          <w:p w14:paraId="7763FE9E">
            <w:pPr>
              <w:spacing w:line="360" w:lineRule="auto"/>
              <w:jc w:val="both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5.5仪器内置染色液，有效保护染色液。</w:t>
            </w:r>
          </w:p>
        </w:tc>
      </w:tr>
      <w:tr w14:paraId="68A02F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27B6F3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9679F4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88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884AD4F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仪器功能：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6.1智能染色：仪器自动检测标本涂片情况，识别涂片数量，自动染色，无需设置染片厚薄程度。</w:t>
            </w:r>
          </w:p>
          <w:p w14:paraId="11B57BD8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6.2仪器可显示染色量，当染液量不足时提示用户及时更换染液。</w:t>
            </w:r>
          </w:p>
          <w:p w14:paraId="4AF5C1C9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6.3仪器可自动清洗，防止设备内部污染，延长仪器使用寿命。</w:t>
            </w:r>
          </w:p>
          <w:p w14:paraId="25086AB7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6.4可直接使用自来水进行冲洗，无需特殊处理水。</w:t>
            </w:r>
          </w:p>
        </w:tc>
      </w:tr>
      <w:tr w14:paraId="6771A2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C87DC8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D28DB1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88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68E2353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7.人性化设计：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参数可根据操作者的需求进行更改设定，同时兼容不同品牌染色液。</w:t>
            </w:r>
          </w:p>
        </w:tc>
      </w:tr>
      <w:tr w14:paraId="278001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3386E6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5BD1C1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881" w:type="dxa"/>
            <w:tcBorders>
              <w:top w:val="nil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E39279D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8.仪器配置：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可选配玻片烤片装置，温度范围为60℃-80℃，可快速干燥涂片</w:t>
            </w:r>
          </w:p>
        </w:tc>
      </w:tr>
      <w:tr w14:paraId="11DDA7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DE12A5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CC2AC8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 w14:paraId="4395D810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9.配套耗材：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配套革兰染液，染液性能稳定且重复性好。</w:t>
            </w:r>
          </w:p>
        </w:tc>
      </w:tr>
      <w:tr w14:paraId="443D0F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B95B813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52C3FCF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 w14:paraId="6D5F21E7">
            <w:pPr>
              <w:spacing w:line="360" w:lineRule="auto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</w:tr>
      <w:tr w14:paraId="2D1F78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7116B0E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5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84DAE8B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1D779168"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</w:p>
        </w:tc>
      </w:tr>
    </w:tbl>
    <w:p w14:paraId="672F7023">
      <w:pPr>
        <w:widowControl/>
        <w:jc w:val="left"/>
        <w:rPr>
          <w:rFonts w:hint="eastAsia" w:ascii="微软雅黑" w:hAnsi="微软雅黑" w:eastAsia="微软雅黑" w:cs="宋体"/>
          <w:color w:val="3F3F3F"/>
          <w:kern w:val="0"/>
          <w:szCs w:val="21"/>
        </w:rPr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</w:t>
      </w:r>
      <w:r>
        <w:rPr>
          <w:rFonts w:hint="eastAsia" w:asciiTheme="minorEastAsia" w:hAnsiTheme="minorEastAsia" w:eastAsiaTheme="minorEastAsia"/>
          <w:sz w:val="21"/>
          <w:szCs w:val="21"/>
        </w:rPr>
        <w:t>以上全部技术参数响应需要提供彩页、设备手册、说明书等证明材料</w:t>
      </w:r>
    </w:p>
    <w:p w14:paraId="22A17CD8">
      <w:pPr>
        <w:widowControl/>
        <w:jc w:val="left"/>
        <w:rPr>
          <w:rFonts w:hint="eastAsia"/>
        </w:rPr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，签字）交给设备科</w:t>
      </w:r>
    </w:p>
    <w:p w14:paraId="015D8097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 w14:paraId="1F95E277"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footerReference r:id="rId3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666E2940"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  <w:r>
        <w:rPr>
          <w:rFonts w:hint="eastAsia" w:ascii="宋体" w:hAnsi="宋体" w:cs="宋体"/>
          <w:b/>
          <w:bCs/>
          <w:color w:val="3F3F3F"/>
          <w:kern w:val="0"/>
          <w:szCs w:val="21"/>
        </w:rPr>
        <w:t>表3</w:t>
      </w:r>
    </w:p>
    <w:p w14:paraId="18E257DA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4A465FBB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3D99A303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2BC49CC8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21CE3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420A6F57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5AC743DF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351210F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7F25530B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4958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860" w:type="dxa"/>
            <w:vAlign w:val="center"/>
          </w:tcPr>
          <w:p w14:paraId="7A5E4F76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26996A3C">
            <w:pPr>
              <w:jc w:val="both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val="en-US" w:eastAsia="zh-CN"/>
              </w:rPr>
              <w:t>玻片夹</w:t>
            </w:r>
          </w:p>
        </w:tc>
        <w:tc>
          <w:tcPr>
            <w:tcW w:w="1985" w:type="dxa"/>
            <w:vAlign w:val="center"/>
          </w:tcPr>
          <w:p w14:paraId="05B415C4">
            <w:pPr>
              <w:jc w:val="center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val="en-US" w:eastAsia="zh-CN"/>
              </w:rPr>
              <w:t>个</w:t>
            </w:r>
          </w:p>
        </w:tc>
        <w:tc>
          <w:tcPr>
            <w:tcW w:w="2126" w:type="dxa"/>
            <w:vAlign w:val="center"/>
          </w:tcPr>
          <w:p w14:paraId="374E5386">
            <w:pPr>
              <w:jc w:val="center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</w:tr>
      <w:tr w14:paraId="67DDB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0" w:type="dxa"/>
            <w:vAlign w:val="center"/>
          </w:tcPr>
          <w:p w14:paraId="6463790D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 w14:paraId="77CC56AD">
            <w:pPr>
              <w:jc w:val="both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 w14:paraId="7D6CAB28">
            <w:pPr>
              <w:jc w:val="both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126" w:type="dxa"/>
            <w:vAlign w:val="center"/>
          </w:tcPr>
          <w:p w14:paraId="1DEF0AA4">
            <w:pPr>
              <w:jc w:val="both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</w:p>
        </w:tc>
      </w:tr>
      <w:tr w14:paraId="27264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60" w:type="dxa"/>
            <w:vAlign w:val="center"/>
          </w:tcPr>
          <w:p w14:paraId="0FCBC078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3</w:t>
            </w:r>
          </w:p>
        </w:tc>
        <w:tc>
          <w:tcPr>
            <w:tcW w:w="5094" w:type="dxa"/>
            <w:vAlign w:val="center"/>
          </w:tcPr>
          <w:p w14:paraId="3C815578"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 w14:paraId="3FB11832"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2126" w:type="dxa"/>
            <w:vAlign w:val="center"/>
          </w:tcPr>
          <w:p w14:paraId="2A66E9B5"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</w:rPr>
            </w:pPr>
          </w:p>
        </w:tc>
      </w:tr>
      <w:tr w14:paraId="0E3F8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60" w:type="dxa"/>
            <w:vAlign w:val="center"/>
          </w:tcPr>
          <w:p w14:paraId="7ECA1892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4</w:t>
            </w:r>
          </w:p>
        </w:tc>
        <w:tc>
          <w:tcPr>
            <w:tcW w:w="5094" w:type="dxa"/>
            <w:vAlign w:val="center"/>
          </w:tcPr>
          <w:p w14:paraId="7CAC322C"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314547D"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6561C4E"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</w:rPr>
            </w:pPr>
          </w:p>
        </w:tc>
      </w:tr>
      <w:tr w14:paraId="2813B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60" w:type="dxa"/>
            <w:vAlign w:val="center"/>
          </w:tcPr>
          <w:p w14:paraId="7C986C22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5</w:t>
            </w:r>
          </w:p>
        </w:tc>
        <w:tc>
          <w:tcPr>
            <w:tcW w:w="5094" w:type="dxa"/>
            <w:vAlign w:val="center"/>
          </w:tcPr>
          <w:p w14:paraId="036A1984"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3ED3585"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57B3402"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</w:rPr>
            </w:pPr>
          </w:p>
        </w:tc>
      </w:tr>
      <w:tr w14:paraId="78F7B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60" w:type="dxa"/>
            <w:vAlign w:val="center"/>
          </w:tcPr>
          <w:p w14:paraId="465F6AE7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6</w:t>
            </w:r>
          </w:p>
        </w:tc>
        <w:tc>
          <w:tcPr>
            <w:tcW w:w="5094" w:type="dxa"/>
            <w:vAlign w:val="center"/>
          </w:tcPr>
          <w:p w14:paraId="574B965A"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BAA0AF2"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4035DA6"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1ADE7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60" w:type="dxa"/>
            <w:vAlign w:val="center"/>
          </w:tcPr>
          <w:p w14:paraId="3887BE05">
            <w:pPr>
              <w:jc w:val="center"/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  <w:lang w:val="en-US" w:eastAsia="zh-CN"/>
              </w:rPr>
              <w:t>7</w:t>
            </w:r>
          </w:p>
        </w:tc>
        <w:tc>
          <w:tcPr>
            <w:tcW w:w="5094" w:type="dxa"/>
            <w:vAlign w:val="center"/>
          </w:tcPr>
          <w:p w14:paraId="6FE44226"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6425E66"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FE122CD"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18"/>
                <w:szCs w:val="18"/>
                <w:lang w:val="en-US" w:eastAsia="zh-CN"/>
              </w:rPr>
            </w:pPr>
          </w:p>
        </w:tc>
      </w:tr>
    </w:tbl>
    <w:p w14:paraId="132197DB">
      <w:pPr>
        <w:jc w:val="left"/>
        <w:rPr>
          <w:rFonts w:ascii="Times New Roman" w:hAnsi="Times New Roman"/>
          <w:szCs w:val="21"/>
        </w:rPr>
      </w:pPr>
    </w:p>
    <w:p w14:paraId="2713945A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3C740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5E9CF4C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7EF55D5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2EE56E3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639BD736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</w:p>
        </w:tc>
      </w:tr>
      <w:tr w14:paraId="142A2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53284AC3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1C462024">
            <w:pPr>
              <w:jc w:val="left"/>
              <w:rPr>
                <w:rFonts w:hint="default" w:ascii="仿宋_GB2312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  <w:lang w:val="en-US" w:eastAsia="zh-CN"/>
              </w:rPr>
              <w:t>革兰氏染色液</w:t>
            </w:r>
          </w:p>
        </w:tc>
        <w:tc>
          <w:tcPr>
            <w:tcW w:w="1985" w:type="dxa"/>
            <w:vAlign w:val="center"/>
          </w:tcPr>
          <w:p w14:paraId="37170EC0">
            <w:pPr>
              <w:jc w:val="center"/>
              <w:rPr>
                <w:rFonts w:hint="default" w:ascii="仿宋_GB2312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  <w:lang w:val="en-US" w:eastAsia="zh-CN"/>
              </w:rPr>
              <w:t>套</w:t>
            </w:r>
          </w:p>
        </w:tc>
        <w:tc>
          <w:tcPr>
            <w:tcW w:w="2126" w:type="dxa"/>
            <w:vAlign w:val="center"/>
          </w:tcPr>
          <w:p w14:paraId="19431B5F">
            <w:pPr>
              <w:pStyle w:val="16"/>
              <w:spacing w:after="0" w:afterLines="0" w:line="240" w:lineRule="auto"/>
              <w:jc w:val="left"/>
              <w:rPr>
                <w:rFonts w:hint="default" w:ascii="仿宋_GB2312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  <w:lang w:val="en-US" w:eastAsia="zh-CN"/>
              </w:rPr>
              <w:t>380元</w:t>
            </w:r>
          </w:p>
        </w:tc>
      </w:tr>
      <w:tr w14:paraId="0D1C0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47" w:type="dxa"/>
            <w:vAlign w:val="center"/>
          </w:tcPr>
          <w:p w14:paraId="4950E139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2</w:t>
            </w:r>
          </w:p>
        </w:tc>
        <w:tc>
          <w:tcPr>
            <w:tcW w:w="5107" w:type="dxa"/>
            <w:vAlign w:val="center"/>
          </w:tcPr>
          <w:p w14:paraId="476EBAF5">
            <w:pPr>
              <w:jc w:val="left"/>
              <w:rPr>
                <w:rFonts w:hint="eastAsia" w:ascii="仿宋_GB2312" w:hAnsi="Times New Roman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 w14:paraId="06F7A320">
            <w:pPr>
              <w:jc w:val="center"/>
              <w:rPr>
                <w:rFonts w:hint="default" w:ascii="仿宋_GB2312" w:hAnsi="Times New Roman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126" w:type="dxa"/>
            <w:vAlign w:val="center"/>
          </w:tcPr>
          <w:p w14:paraId="0164467E">
            <w:pPr>
              <w:pStyle w:val="16"/>
              <w:spacing w:after="0" w:afterLines="0" w:line="240" w:lineRule="auto"/>
              <w:jc w:val="left"/>
              <w:rPr>
                <w:rFonts w:hint="default" w:ascii="仿宋_GB2312" w:hAnsi="Times New Roman" w:eastAsia="仿宋_GB2312"/>
                <w:sz w:val="28"/>
                <w:szCs w:val="28"/>
                <w:lang w:val="en-US" w:eastAsia="zh-CN"/>
              </w:rPr>
            </w:pPr>
          </w:p>
        </w:tc>
      </w:tr>
      <w:tr w14:paraId="73B50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69310B1D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3</w:t>
            </w:r>
          </w:p>
        </w:tc>
        <w:tc>
          <w:tcPr>
            <w:tcW w:w="5107" w:type="dxa"/>
            <w:vAlign w:val="center"/>
          </w:tcPr>
          <w:p w14:paraId="05ECF6A0">
            <w:pPr>
              <w:jc w:val="left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2EA8C4C9">
            <w:pPr>
              <w:jc w:val="center"/>
              <w:rPr>
                <w:rFonts w:hint="eastAsia" w:ascii="仿宋_GB2312" w:hAnsi="Times New Roman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126" w:type="dxa"/>
            <w:vAlign w:val="center"/>
          </w:tcPr>
          <w:p w14:paraId="414574D1">
            <w:pPr>
              <w:pStyle w:val="16"/>
              <w:spacing w:after="0" w:afterLines="0" w:line="240" w:lineRule="auto"/>
              <w:jc w:val="left"/>
              <w:rPr>
                <w:rFonts w:ascii="仿宋_GB2312" w:hAnsi="Times New Roman" w:eastAsia="仿宋_GB2312"/>
                <w:sz w:val="28"/>
                <w:szCs w:val="28"/>
              </w:rPr>
            </w:pPr>
          </w:p>
        </w:tc>
      </w:tr>
      <w:tr w14:paraId="10D9E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20BCA8B2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4</w:t>
            </w:r>
          </w:p>
        </w:tc>
        <w:tc>
          <w:tcPr>
            <w:tcW w:w="5107" w:type="dxa"/>
            <w:vAlign w:val="center"/>
          </w:tcPr>
          <w:p w14:paraId="6383127B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4E2A4E5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5AEA504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  <w:tr w14:paraId="382FC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47" w:type="dxa"/>
            <w:vAlign w:val="center"/>
          </w:tcPr>
          <w:p w14:paraId="1F296315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5</w:t>
            </w:r>
          </w:p>
        </w:tc>
        <w:tc>
          <w:tcPr>
            <w:tcW w:w="5107" w:type="dxa"/>
            <w:vAlign w:val="center"/>
          </w:tcPr>
          <w:p w14:paraId="7F77EB2E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634E3A47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51D5822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 w14:paraId="2B80017C">
      <w:pPr>
        <w:widowControl/>
        <w:jc w:val="left"/>
        <w:rPr>
          <w:rFonts w:ascii="宋体" w:hAnsi="宋体" w:cs="宋体"/>
          <w:b/>
          <w:bCs/>
          <w:kern w:val="0"/>
          <w:szCs w:val="21"/>
        </w:rPr>
        <w:sectPr>
          <w:footerReference r:id="rId4" w:type="default"/>
          <w:pgSz w:w="11906" w:h="16838"/>
          <w:pgMar w:top="1440" w:right="991" w:bottom="1440" w:left="1134" w:header="851" w:footer="992" w:gutter="0"/>
          <w:cols w:space="720" w:num="1"/>
          <w:docGrid w:type="lines" w:linePitch="312" w:charSpace="0"/>
        </w:sectPr>
      </w:pP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注：请将资料电子版（表1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-3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，OA或钉钉发送）与纸质版（表1</w:t>
      </w:r>
      <w:r>
        <w:rPr>
          <w:rFonts w:ascii="微软雅黑" w:hAnsi="微软雅黑" w:eastAsia="微软雅黑" w:cs="宋体"/>
          <w:color w:val="3F3F3F"/>
          <w:kern w:val="0"/>
          <w:szCs w:val="21"/>
        </w:rPr>
        <w:t>-6</w:t>
      </w:r>
      <w:r>
        <w:rPr>
          <w:rFonts w:hint="eastAsia" w:ascii="微软雅黑" w:hAnsi="微软雅黑" w:eastAsia="微软雅黑" w:cs="宋体"/>
          <w:color w:val="3F3F3F"/>
          <w:kern w:val="0"/>
          <w:szCs w:val="21"/>
        </w:rPr>
        <w:t>，签字）交给设</w:t>
      </w:r>
    </w:p>
    <w:p w14:paraId="32535652"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5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F7D7649F-D9E8-4118-A5E1-60B8275229D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6209980-729E-4D6B-A747-05E48CDB70A1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A9E3EBA7-F014-4B08-B348-0CB86FE5B0F7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7CACAD5E-4415-4A06-8BDC-0A7A123A9A22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6138BB3A-F840-45E9-9319-CA90E9D72C4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1A760DE9-4D79-4BE6-83A7-8DD9E50273F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15F57">
    <w:pPr>
      <w:pStyle w:val="5"/>
      <w:rPr>
        <w:sz w:val="28"/>
        <w:szCs w:val="28"/>
      </w:rPr>
    </w:pPr>
    <w:r>
      <w:rPr>
        <w:rFonts w:hint="eastAsia"/>
        <w:sz w:val="28"/>
        <w:szCs w:val="28"/>
      </w:rPr>
      <w:t>科室民主管理小组成员签字：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59A929">
    <w:pPr>
      <w:pStyle w:val="5"/>
      <w:rPr>
        <w:sz w:val="28"/>
        <w:szCs w:val="28"/>
      </w:rPr>
    </w:pPr>
    <w:r>
      <w:rPr>
        <w:rFonts w:hint="eastAsia"/>
        <w:sz w:val="28"/>
        <w:szCs w:val="28"/>
      </w:rPr>
      <w:t>科室民主管理小组成员签字：</w:t>
    </w:r>
  </w:p>
  <w:p w14:paraId="5F3BF577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59155" cy="147955"/>
              <wp:effectExtent l="0" t="0" r="0" b="0"/>
              <wp:wrapNone/>
              <wp:docPr id="1181128418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915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095642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1.65pt;width:67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YXVhmdIAAAAEAQAADwAAAAAAAAABACAAAAAiAAAAZHJzL2Rv&#10;d25yZXYueG1sUEsBAhQAFAAAAAgAh07iQLi7x33OAQAAlAMAAA4AAAAAAAAAAQAgAAAAIQ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6095642">
                    <w:pPr>
                      <w:pStyle w:val="5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32D6A5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hODZkMzVkNDYyNmEwMmVkZTljMGM3NjRiMDY3NG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45CAA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21138F7"/>
    <w:rsid w:val="08334B99"/>
    <w:rsid w:val="08541C5F"/>
    <w:rsid w:val="08D00E36"/>
    <w:rsid w:val="0A9114C7"/>
    <w:rsid w:val="0DE819AF"/>
    <w:rsid w:val="0E0E4C97"/>
    <w:rsid w:val="0EB36461"/>
    <w:rsid w:val="17654071"/>
    <w:rsid w:val="19604ACF"/>
    <w:rsid w:val="1B0D6EF9"/>
    <w:rsid w:val="1C7B60E4"/>
    <w:rsid w:val="1D272C58"/>
    <w:rsid w:val="1F0A7BCF"/>
    <w:rsid w:val="1FD06747"/>
    <w:rsid w:val="200D3FBF"/>
    <w:rsid w:val="20527BD7"/>
    <w:rsid w:val="21B75059"/>
    <w:rsid w:val="24612064"/>
    <w:rsid w:val="2580476C"/>
    <w:rsid w:val="2AA24F1E"/>
    <w:rsid w:val="2B6A5CA2"/>
    <w:rsid w:val="2E12397C"/>
    <w:rsid w:val="31945827"/>
    <w:rsid w:val="33CC67F8"/>
    <w:rsid w:val="35FE3BB6"/>
    <w:rsid w:val="3632560E"/>
    <w:rsid w:val="388434EC"/>
    <w:rsid w:val="38A32080"/>
    <w:rsid w:val="39B76556"/>
    <w:rsid w:val="42A930FC"/>
    <w:rsid w:val="44E7745A"/>
    <w:rsid w:val="45AB2CE7"/>
    <w:rsid w:val="45FB77CB"/>
    <w:rsid w:val="46603AD2"/>
    <w:rsid w:val="4DDE00FE"/>
    <w:rsid w:val="4E416BB6"/>
    <w:rsid w:val="50CD1257"/>
    <w:rsid w:val="50DB6B76"/>
    <w:rsid w:val="540C5299"/>
    <w:rsid w:val="562C1D69"/>
    <w:rsid w:val="5C9F2B61"/>
    <w:rsid w:val="5D027239"/>
    <w:rsid w:val="672F3320"/>
    <w:rsid w:val="6E5E3CFB"/>
    <w:rsid w:val="71C72AD3"/>
    <w:rsid w:val="759A22AD"/>
    <w:rsid w:val="76A07A2B"/>
    <w:rsid w:val="78BE2756"/>
    <w:rsid w:val="7B76523C"/>
    <w:rsid w:val="7BC01919"/>
    <w:rsid w:val="7BE61DA8"/>
    <w:rsid w:val="7DEB7B49"/>
    <w:rsid w:val="7E1B2C65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  <w:style w:type="paragraph" w:customStyle="1" w:styleId="16">
    <w:name w:val="Decimal Aligned"/>
    <w:basedOn w:val="1"/>
    <w:qFormat/>
    <w:uiPriority w:val="0"/>
    <w:pPr>
      <w:widowControl/>
      <w:tabs>
        <w:tab w:val="decimal" w:pos="360"/>
      </w:tabs>
      <w:spacing w:after="200" w:afterLines="0" w:line="276" w:lineRule="auto"/>
      <w:jc w:val="left"/>
    </w:pPr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1002</Words>
  <Characters>1138</Characters>
  <Lines>10</Lines>
  <Paragraphs>2</Paragraphs>
  <TotalTime>0</TotalTime>
  <ScaleCrop>false</ScaleCrop>
  <LinksUpToDate>false</LinksUpToDate>
  <CharactersWithSpaces>1195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2025-03-25T07:05:57Z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A63A4B650FCA4BCFAD399614EAB08E72_13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