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75" w:rsidRDefault="00CD7875">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CD7875">
        <w:trPr>
          <w:trHeight w:val="762"/>
        </w:trPr>
        <w:tc>
          <w:tcPr>
            <w:tcW w:w="795" w:type="dxa"/>
            <w:shd w:val="clear" w:color="auto" w:fill="auto"/>
            <w:vAlign w:val="center"/>
          </w:tcPr>
          <w:p w:rsidR="00CD7875" w:rsidRDefault="00075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CD7875" w:rsidRDefault="00075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CD7875" w:rsidRDefault="00075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CD7875">
        <w:trPr>
          <w:trHeight w:val="546"/>
        </w:trPr>
        <w:tc>
          <w:tcPr>
            <w:tcW w:w="795" w:type="dxa"/>
            <w:shd w:val="clear" w:color="auto" w:fill="auto"/>
            <w:vAlign w:val="center"/>
          </w:tcPr>
          <w:p w:rsidR="00CD7875" w:rsidRDefault="00075B79">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CD7875" w:rsidRDefault="00075B79">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CD7875">
        <w:trPr>
          <w:trHeight w:val="1038"/>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D7875" w:rsidRDefault="00075B79">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CD7875" w:rsidRDefault="00075B79">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CD7875" w:rsidRDefault="00075B7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szCs w:val="21"/>
              </w:rPr>
              <w:t>好</w:t>
            </w:r>
            <w:r>
              <w:rPr>
                <w:rFonts w:ascii="等线" w:eastAsia="等线" w:hAnsi="等线" w:cs="等线" w:hint="eastAsia"/>
                <w:szCs w:val="21"/>
              </w:rPr>
              <w:t xml:space="preserve">  ；得</w:t>
            </w:r>
            <w:r>
              <w:rPr>
                <w:rFonts w:ascii="等线" w:eastAsia="等线" w:hAnsi="等线" w:cs="等线"/>
                <w:szCs w:val="21"/>
              </w:rPr>
              <w:t>9</w:t>
            </w:r>
            <w:r>
              <w:rPr>
                <w:rFonts w:ascii="等线" w:eastAsia="等线" w:hAnsi="等线" w:cs="等线" w:hint="eastAsia"/>
                <w:szCs w:val="21"/>
              </w:rPr>
              <w:t>分；</w:t>
            </w:r>
          </w:p>
          <w:p w:rsidR="00CD7875" w:rsidRDefault="00075B7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；得6分；</w:t>
            </w:r>
          </w:p>
          <w:p w:rsidR="00CD7875" w:rsidRDefault="00075B7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CD7875">
        <w:trPr>
          <w:trHeight w:val="1331"/>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产品对比</w:t>
            </w:r>
          </w:p>
          <w:p w:rsidR="00CD7875" w:rsidRDefault="00075B79">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CD7875" w:rsidRDefault="00075B79">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CD7875" w:rsidRDefault="00075B79">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CD7875" w:rsidRDefault="00075B79">
            <w:pPr>
              <w:spacing w:line="300" w:lineRule="exact"/>
              <w:rPr>
                <w:rFonts w:ascii="宋体" w:eastAsia="等线" w:hAnsi="宋体"/>
                <w:szCs w:val="21"/>
              </w:rPr>
            </w:pPr>
            <w:r>
              <w:rPr>
                <w:rFonts w:ascii="等线" w:eastAsia="等线" w:hAnsi="等线"/>
                <w:szCs w:val="21"/>
              </w:rPr>
              <w:t>A、好  ；得20分；</w:t>
            </w:r>
          </w:p>
          <w:p w:rsidR="00CD7875" w:rsidRDefault="00075B79">
            <w:pPr>
              <w:spacing w:line="300" w:lineRule="exact"/>
              <w:rPr>
                <w:rFonts w:ascii="等线" w:eastAsia="等线" w:hAnsi="等线"/>
                <w:szCs w:val="21"/>
              </w:rPr>
            </w:pPr>
            <w:r>
              <w:rPr>
                <w:rFonts w:ascii="等线" w:eastAsia="等线" w:hAnsi="等线"/>
                <w:szCs w:val="21"/>
              </w:rPr>
              <w:t>B、较好；得13分；</w:t>
            </w:r>
            <w:r>
              <w:rPr>
                <w:rFonts w:ascii="等线" w:eastAsia="等线" w:hAnsi="等线" w:hint="eastAsia"/>
                <w:szCs w:val="21"/>
              </w:rPr>
              <w:t xml:space="preserve">                                                                                                                                                                                                                                                                                                                                                                                                                                                                                                                                                                                                         </w:t>
            </w:r>
          </w:p>
          <w:p w:rsidR="00CD7875" w:rsidRDefault="00075B79">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C、一般；得5分；</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CD7875">
        <w:trPr>
          <w:trHeight w:val="1269"/>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CD7875" w:rsidRDefault="00075B79">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CD7875" w:rsidRDefault="00075B79">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hint="eastAsia"/>
                <w:szCs w:val="21"/>
              </w:rPr>
              <w:t>齐全</w:t>
            </w:r>
            <w:r>
              <w:rPr>
                <w:rFonts w:ascii="等线" w:eastAsia="等线" w:hAnsi="等线" w:cs="等线"/>
                <w:szCs w:val="21"/>
              </w:rPr>
              <w:t xml:space="preserve">  ；得8分；</w:t>
            </w:r>
          </w:p>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齐全；得5分；</w:t>
            </w:r>
          </w:p>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hint="eastAsia"/>
                <w:szCs w:val="21"/>
              </w:rPr>
              <w:t>不齐全</w:t>
            </w:r>
            <w:r>
              <w:rPr>
                <w:rFonts w:ascii="等线" w:eastAsia="等线" w:hAnsi="等线" w:cs="等线"/>
                <w:szCs w:val="21"/>
              </w:rPr>
              <w:t>；得2分；</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CD7875">
        <w:trPr>
          <w:trHeight w:val="2289"/>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CD7875" w:rsidRDefault="00075B79">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CD7875" w:rsidRDefault="00075B79">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CD7875" w:rsidRDefault="00075B79">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CD7875" w:rsidRDefault="00075B79">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CD7875" w:rsidRDefault="00075B79">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CD7875" w:rsidRDefault="00075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8分，满足</w:t>
            </w:r>
            <w:r>
              <w:rPr>
                <w:rFonts w:ascii="等线" w:eastAsia="等线" w:hAnsi="等线" w:cs="等线" w:hint="eastAsia"/>
                <w:szCs w:val="21"/>
              </w:rPr>
              <w:t>第</w:t>
            </w:r>
            <w:r>
              <w:rPr>
                <w:rFonts w:ascii="等线" w:eastAsia="等线" w:hAnsi="等线" w:cs="等线"/>
                <w:szCs w:val="21"/>
              </w:rPr>
              <w:t>二项要求得5分，满足</w:t>
            </w:r>
            <w:r>
              <w:rPr>
                <w:rFonts w:ascii="等线" w:eastAsia="等线" w:hAnsi="等线" w:cs="等线" w:hint="eastAsia"/>
                <w:szCs w:val="21"/>
              </w:rPr>
              <w:t>第</w:t>
            </w:r>
            <w:r>
              <w:rPr>
                <w:rFonts w:ascii="等线" w:eastAsia="等线" w:hAnsi="等线" w:cs="等线"/>
                <w:szCs w:val="21"/>
              </w:rPr>
              <w:t>三项要求得2分，其它情况不得分。</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CD7875">
        <w:trPr>
          <w:trHeight w:val="567"/>
        </w:trPr>
        <w:tc>
          <w:tcPr>
            <w:tcW w:w="795" w:type="dxa"/>
            <w:shd w:val="clear" w:color="auto" w:fill="auto"/>
            <w:vAlign w:val="center"/>
          </w:tcPr>
          <w:p w:rsidR="00CD7875" w:rsidRDefault="00075B79">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CD7875" w:rsidRDefault="00075B79">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CD7875">
        <w:trPr>
          <w:trHeight w:val="703"/>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D7875" w:rsidRDefault="00075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CD7875" w:rsidRDefault="00075B79">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CD7875" w:rsidRDefault="00075B79">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CD7875" w:rsidRDefault="00075B79">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CD7875" w:rsidRDefault="00075B79">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CD7875">
        <w:trPr>
          <w:trHeight w:val="846"/>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CD7875" w:rsidRDefault="00075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CD7875" w:rsidRDefault="00075B79">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CD7875" w:rsidRDefault="00075B79">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CD7875" w:rsidRDefault="00075B79">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CD7875" w:rsidRDefault="00075B79">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CD7875" w:rsidRDefault="00075B79">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CD7875" w:rsidRDefault="00075B79">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CD7875" w:rsidRDefault="00075B79">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CD7875">
        <w:trPr>
          <w:trHeight w:val="2267"/>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CD7875" w:rsidRDefault="00075B79">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CD7875">
        <w:trPr>
          <w:trHeight w:val="411"/>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CD7875">
        <w:trPr>
          <w:trHeight w:val="972"/>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D7875" w:rsidRDefault="00075B79">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CD7875">
        <w:trPr>
          <w:trHeight w:val="1709"/>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CD7875" w:rsidRDefault="00075B79">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CD7875" w:rsidRDefault="00075B79">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CD7875" w:rsidRDefault="00075B79">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CD7875" w:rsidRDefault="00075B79">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CD7875" w:rsidRDefault="00075B79">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CD7875">
        <w:trPr>
          <w:trHeight w:val="1451"/>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CD7875" w:rsidRDefault="00075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CD7875" w:rsidRDefault="00075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CD7875" w:rsidRDefault="00075B79">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CD7875" w:rsidRDefault="00075B79">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3分</w:t>
            </w:r>
            <w:r>
              <w:rPr>
                <w:rFonts w:ascii="等线" w:eastAsia="等线" w:hAnsi="等线" w:cs="等线"/>
                <w:szCs w:val="21"/>
              </w:rPr>
              <w:t>，其他情况不得分。</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CD7875">
        <w:trPr>
          <w:trHeight w:val="331"/>
        </w:trPr>
        <w:tc>
          <w:tcPr>
            <w:tcW w:w="795" w:type="dxa"/>
            <w:shd w:val="clear" w:color="auto" w:fill="auto"/>
            <w:vAlign w:val="center"/>
          </w:tcPr>
          <w:p w:rsidR="00CD7875" w:rsidRDefault="00075B79">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CD7875" w:rsidRDefault="00075B79">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CD7875">
        <w:trPr>
          <w:trHeight w:val="703"/>
        </w:trPr>
        <w:tc>
          <w:tcPr>
            <w:tcW w:w="795"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D7875" w:rsidRDefault="00075B79">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CD7875" w:rsidRDefault="00075B79">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CD7875" w:rsidRDefault="00075B79">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CD7875" w:rsidRDefault="00075B79">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CD7875" w:rsidRDefault="00075B79">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CD7875">
        <w:trPr>
          <w:trHeight w:val="180"/>
        </w:trPr>
        <w:tc>
          <w:tcPr>
            <w:tcW w:w="8921" w:type="dxa"/>
            <w:gridSpan w:val="3"/>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CD7875" w:rsidRDefault="00075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CD7875" w:rsidRDefault="00075B79">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CD7875" w:rsidRDefault="00075B79">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CD7875" w:rsidRDefault="00CD7875">
      <w:pPr>
        <w:widowControl/>
        <w:spacing w:before="100" w:beforeAutospacing="1" w:after="100" w:afterAutospacing="1"/>
        <w:jc w:val="center"/>
        <w:rPr>
          <w:rFonts w:ascii="宋体" w:hAnsi="宋体"/>
          <w:b/>
          <w:bCs/>
          <w:sz w:val="28"/>
        </w:rPr>
      </w:pPr>
    </w:p>
    <w:p w:rsidR="00CD7875" w:rsidRDefault="00CD7875">
      <w:pPr>
        <w:widowControl/>
        <w:spacing w:before="100" w:beforeAutospacing="1" w:after="100" w:afterAutospacing="1"/>
        <w:jc w:val="center"/>
        <w:rPr>
          <w:rFonts w:ascii="宋体" w:hAnsi="宋体"/>
          <w:b/>
          <w:bCs/>
          <w:sz w:val="28"/>
        </w:rPr>
      </w:pPr>
    </w:p>
    <w:p w:rsidR="00CD7875" w:rsidRDefault="00CD7875">
      <w:pPr>
        <w:widowControl/>
        <w:spacing w:before="100" w:beforeAutospacing="1" w:after="100" w:afterAutospacing="1"/>
        <w:jc w:val="center"/>
        <w:rPr>
          <w:rFonts w:ascii="宋体" w:hAnsi="宋体"/>
          <w:b/>
          <w:bCs/>
          <w:sz w:val="28"/>
        </w:rPr>
      </w:pPr>
    </w:p>
    <w:p w:rsidR="00CD7875" w:rsidRDefault="00075B79" w:rsidP="0080394F">
      <w:pPr>
        <w:widowControl/>
        <w:spacing w:before="100" w:beforeAutospacing="1" w:after="100" w:afterAutospacing="1"/>
        <w:rPr>
          <w:rFonts w:ascii="宋体" w:hAnsi="宋体"/>
          <w:b/>
          <w:bCs/>
          <w:sz w:val="28"/>
        </w:rPr>
      </w:pPr>
      <w:r>
        <w:rPr>
          <w:rFonts w:ascii="宋体" w:hAnsi="宋体" w:hint="eastAsia"/>
          <w:b/>
          <w:bCs/>
          <w:sz w:val="28"/>
        </w:rPr>
        <w:lastRenderedPageBreak/>
        <w:t>二、耗材采购需求：</w:t>
      </w:r>
    </w:p>
    <w:tbl>
      <w:tblPr>
        <w:tblW w:w="111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7938"/>
        <w:gridCol w:w="944"/>
      </w:tblGrid>
      <w:tr w:rsidR="0080394F" w:rsidTr="0080394F">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80394F" w:rsidRDefault="0080394F" w:rsidP="0080394F">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80394F" w:rsidRDefault="0080394F" w:rsidP="0080394F">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7938" w:type="dxa"/>
            <w:tcBorders>
              <w:top w:val="single" w:sz="4" w:space="0" w:color="auto"/>
              <w:left w:val="single" w:sz="4" w:space="0" w:color="auto"/>
              <w:bottom w:val="single" w:sz="4" w:space="0" w:color="auto"/>
              <w:right w:val="single" w:sz="4" w:space="0" w:color="auto"/>
            </w:tcBorders>
            <w:vAlign w:val="center"/>
          </w:tcPr>
          <w:p w:rsidR="0080394F" w:rsidRDefault="0080394F" w:rsidP="0080394F">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c>
          <w:tcPr>
            <w:tcW w:w="944" w:type="dxa"/>
            <w:vAlign w:val="center"/>
          </w:tcPr>
          <w:p w:rsidR="0080394F" w:rsidRDefault="00652404" w:rsidP="0080394F">
            <w:pPr>
              <w:widowControl/>
              <w:spacing w:before="100" w:beforeAutospacing="1" w:after="100" w:afterAutospacing="1"/>
              <w:jc w:val="center"/>
              <w:rPr>
                <w:rFonts w:asciiTheme="minorEastAsia" w:eastAsiaTheme="minorEastAsia" w:hAnsiTheme="minorEastAsia" w:cs="宋体"/>
                <w:kern w:val="0"/>
                <w:sz w:val="24"/>
              </w:rPr>
            </w:pPr>
            <w:r w:rsidRPr="00652404">
              <w:rPr>
                <w:rFonts w:asciiTheme="minorEastAsia" w:eastAsiaTheme="minorEastAsia" w:hAnsiTheme="minorEastAsia" w:cs="宋体" w:hint="eastAsia"/>
                <w:kern w:val="0"/>
                <w:sz w:val="24"/>
              </w:rPr>
              <w:t>市场参考价格</w:t>
            </w:r>
          </w:p>
        </w:tc>
      </w:tr>
      <w:tr w:rsidR="0080394F" w:rsidTr="0080394F">
        <w:trPr>
          <w:trHeight w:val="3285"/>
        </w:trPr>
        <w:tc>
          <w:tcPr>
            <w:tcW w:w="710" w:type="dxa"/>
            <w:tcBorders>
              <w:top w:val="single" w:sz="4" w:space="0" w:color="auto"/>
              <w:left w:val="single" w:sz="4" w:space="0" w:color="auto"/>
              <w:bottom w:val="single" w:sz="4" w:space="0" w:color="auto"/>
              <w:right w:val="single" w:sz="4" w:space="0" w:color="auto"/>
            </w:tcBorders>
            <w:vAlign w:val="center"/>
          </w:tcPr>
          <w:p w:rsidR="0080394F" w:rsidRDefault="0080394F">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80394F" w:rsidRDefault="0080394F" w:rsidP="0080394F">
            <w:pPr>
              <w:widowControl/>
              <w:tabs>
                <w:tab w:val="right" w:pos="1910"/>
              </w:tabs>
              <w:spacing w:before="100" w:beforeAutospacing="1" w:after="100" w:afterAutospacing="1"/>
              <w:jc w:val="center"/>
              <w:rPr>
                <w:rFonts w:asciiTheme="minorEastAsia" w:eastAsiaTheme="minorEastAsia" w:hAnsiTheme="minorEastAsia" w:cs="宋体"/>
                <w:kern w:val="0"/>
                <w:sz w:val="24"/>
              </w:rPr>
            </w:pPr>
            <w:r>
              <w:rPr>
                <w:rFonts w:hint="eastAsia"/>
                <w:sz w:val="24"/>
              </w:rPr>
              <w:t>一次性可调可视喉罩气道导管</w:t>
            </w:r>
          </w:p>
        </w:tc>
        <w:tc>
          <w:tcPr>
            <w:tcW w:w="7938" w:type="dxa"/>
            <w:tcBorders>
              <w:top w:val="single" w:sz="4" w:space="0" w:color="auto"/>
              <w:left w:val="single" w:sz="4" w:space="0" w:color="auto"/>
              <w:bottom w:val="single" w:sz="4" w:space="0" w:color="auto"/>
              <w:right w:val="single" w:sz="4" w:space="0" w:color="auto"/>
            </w:tcBorders>
            <w:vAlign w:val="center"/>
          </w:tcPr>
          <w:p w:rsidR="0080394F" w:rsidRDefault="0080394F">
            <w:pPr>
              <w:numPr>
                <w:ilvl w:val="0"/>
                <w:numId w:val="2"/>
              </w:numPr>
              <w:rPr>
                <w:sz w:val="24"/>
              </w:rPr>
            </w:pPr>
            <w:r>
              <w:rPr>
                <w:sz w:val="24"/>
              </w:rPr>
              <w:t>一次性塑形喉罩，增强了喉罩稳定性和密闭性，最高</w:t>
            </w:r>
            <w:r>
              <w:rPr>
                <w:sz w:val="24"/>
              </w:rPr>
              <w:t>40cmH2O</w:t>
            </w:r>
            <w:r>
              <w:rPr>
                <w:sz w:val="24"/>
              </w:rPr>
              <w:t>。</w:t>
            </w:r>
          </w:p>
          <w:p w:rsidR="0080394F" w:rsidRDefault="0080394F">
            <w:pPr>
              <w:numPr>
                <w:ilvl w:val="0"/>
                <w:numId w:val="2"/>
              </w:numPr>
              <w:rPr>
                <w:sz w:val="24"/>
              </w:rPr>
            </w:pPr>
            <w:r>
              <w:rPr>
                <w:rFonts w:hint="eastAsia"/>
                <w:sz w:val="24"/>
              </w:rPr>
              <w:t>镜头可调节角度为</w:t>
            </w:r>
            <w:r>
              <w:rPr>
                <w:rFonts w:hint="eastAsia"/>
                <w:sz w:val="24"/>
              </w:rPr>
              <w:t>180</w:t>
            </w:r>
            <w:r>
              <w:rPr>
                <w:rFonts w:hint="eastAsia"/>
                <w:sz w:val="24"/>
              </w:rPr>
              <w:t>—</w:t>
            </w:r>
            <w:r>
              <w:rPr>
                <w:rFonts w:hint="eastAsia"/>
                <w:sz w:val="24"/>
              </w:rPr>
              <w:t>210</w:t>
            </w:r>
            <w:r>
              <w:rPr>
                <w:rFonts w:hint="eastAsia"/>
                <w:sz w:val="24"/>
              </w:rPr>
              <w:t>°，并具备阻尼悬停功能。视角约</w:t>
            </w:r>
            <w:r>
              <w:rPr>
                <w:rFonts w:hint="eastAsia"/>
                <w:sz w:val="24"/>
              </w:rPr>
              <w:t>120</w:t>
            </w:r>
            <w:r>
              <w:rPr>
                <w:rFonts w:hint="eastAsia"/>
                <w:sz w:val="24"/>
              </w:rPr>
              <w:t>°。</w:t>
            </w:r>
          </w:p>
          <w:p w:rsidR="0080394F" w:rsidRDefault="0080394F">
            <w:pPr>
              <w:numPr>
                <w:ilvl w:val="0"/>
                <w:numId w:val="2"/>
              </w:numPr>
              <w:rPr>
                <w:sz w:val="24"/>
              </w:rPr>
            </w:pPr>
            <w:r>
              <w:rPr>
                <w:rFonts w:hint="eastAsia"/>
                <w:sz w:val="24"/>
              </w:rPr>
              <w:t>镜头分辨率</w:t>
            </w:r>
            <w:r>
              <w:rPr>
                <w:rFonts w:hint="eastAsia"/>
                <w:sz w:val="24"/>
              </w:rPr>
              <w:t>CIF1080*720</w:t>
            </w:r>
            <w:r>
              <w:rPr>
                <w:rFonts w:hint="eastAsia"/>
                <w:sz w:val="24"/>
              </w:rPr>
              <w:t>。</w:t>
            </w:r>
          </w:p>
          <w:p w:rsidR="0080394F" w:rsidRDefault="0080394F">
            <w:pPr>
              <w:numPr>
                <w:ilvl w:val="0"/>
                <w:numId w:val="2"/>
              </w:numPr>
              <w:rPr>
                <w:sz w:val="24"/>
              </w:rPr>
            </w:pPr>
            <w:r>
              <w:rPr>
                <w:rFonts w:hint="eastAsia"/>
                <w:sz w:val="24"/>
              </w:rPr>
              <w:t>可调</w:t>
            </w:r>
            <w:r>
              <w:rPr>
                <w:sz w:val="24"/>
              </w:rPr>
              <w:t>喉罩带有冲洗镜头功能，同时具备录像</w:t>
            </w:r>
            <w:r>
              <w:rPr>
                <w:sz w:val="24"/>
              </w:rPr>
              <w:t>/</w:t>
            </w:r>
            <w:r>
              <w:rPr>
                <w:sz w:val="24"/>
              </w:rPr>
              <w:t>截屏功能。</w:t>
            </w:r>
          </w:p>
          <w:p w:rsidR="0080394F" w:rsidRDefault="0080394F">
            <w:pPr>
              <w:numPr>
                <w:ilvl w:val="0"/>
                <w:numId w:val="2"/>
              </w:numPr>
              <w:rPr>
                <w:sz w:val="24"/>
              </w:rPr>
            </w:pPr>
            <w:r>
              <w:rPr>
                <w:sz w:val="24"/>
              </w:rPr>
              <w:t>持续监测术中喉罩相对位置、持续监测术中声门开合状态、持续监测术中分泌物状况</w:t>
            </w:r>
            <w:r>
              <w:rPr>
                <w:rFonts w:hint="eastAsia"/>
                <w:sz w:val="24"/>
              </w:rPr>
              <w:t>。</w:t>
            </w:r>
          </w:p>
          <w:p w:rsidR="0080394F" w:rsidRDefault="0080394F">
            <w:pPr>
              <w:numPr>
                <w:ilvl w:val="0"/>
                <w:numId w:val="2"/>
              </w:numPr>
              <w:rPr>
                <w:sz w:val="24"/>
              </w:rPr>
            </w:pPr>
            <w:r>
              <w:rPr>
                <w:sz w:val="24"/>
              </w:rPr>
              <w:t>独立的胃管引流通道，防止反流误吸</w:t>
            </w:r>
            <w:r>
              <w:rPr>
                <w:rFonts w:hint="eastAsia"/>
                <w:sz w:val="24"/>
              </w:rPr>
              <w:t>；</w:t>
            </w:r>
          </w:p>
          <w:p w:rsidR="0080394F" w:rsidRDefault="0080394F">
            <w:pPr>
              <w:numPr>
                <w:ilvl w:val="0"/>
                <w:numId w:val="2"/>
              </w:numPr>
              <w:rPr>
                <w:rFonts w:asciiTheme="minorEastAsia" w:eastAsiaTheme="minorEastAsia" w:hAnsiTheme="minorEastAsia" w:cs="宋体"/>
                <w:kern w:val="0"/>
                <w:sz w:val="24"/>
              </w:rPr>
            </w:pPr>
            <w:r>
              <w:rPr>
                <w:sz w:val="24"/>
              </w:rPr>
              <w:t>可视化引导喉罩交换成一定范围直径的气管插管</w:t>
            </w:r>
            <w:r>
              <w:rPr>
                <w:rFonts w:hint="eastAsia"/>
                <w:sz w:val="24"/>
              </w:rPr>
              <w:t>。</w:t>
            </w:r>
          </w:p>
        </w:tc>
        <w:tc>
          <w:tcPr>
            <w:tcW w:w="944" w:type="dxa"/>
            <w:vAlign w:val="center"/>
          </w:tcPr>
          <w:p w:rsidR="0080394F" w:rsidRDefault="00476CE4" w:rsidP="0080394F">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298</w:t>
            </w:r>
            <w:bookmarkStart w:id="0" w:name="_GoBack"/>
            <w:bookmarkEnd w:id="0"/>
            <w:r w:rsidR="0080394F">
              <w:rPr>
                <w:rFonts w:asciiTheme="minorEastAsia" w:eastAsiaTheme="minorEastAsia" w:hAnsiTheme="minorEastAsia" w:cs="宋体" w:hint="eastAsia"/>
                <w:kern w:val="0"/>
                <w:sz w:val="24"/>
              </w:rPr>
              <w:t>元</w:t>
            </w:r>
          </w:p>
        </w:tc>
      </w:tr>
    </w:tbl>
    <w:p w:rsidR="00CD7875" w:rsidRDefault="00CD7875" w:rsidP="0080394F">
      <w:pPr>
        <w:widowControl/>
        <w:spacing w:before="100" w:beforeAutospacing="1" w:after="100" w:afterAutospacing="1"/>
        <w:jc w:val="left"/>
        <w:rPr>
          <w:rFonts w:ascii="宋体" w:hAnsi="宋体"/>
          <w:bCs/>
          <w:sz w:val="24"/>
        </w:rPr>
      </w:pPr>
    </w:p>
    <w:sectPr w:rsidR="00CD7875">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37" w:rsidRDefault="00401737">
      <w:r>
        <w:separator/>
      </w:r>
    </w:p>
    <w:p w:rsidR="00401737" w:rsidRDefault="00401737"/>
    <w:p w:rsidR="00401737" w:rsidRDefault="00401737" w:rsidP="0080394F"/>
  </w:endnote>
  <w:endnote w:type="continuationSeparator" w:id="0">
    <w:p w:rsidR="00401737" w:rsidRDefault="00401737">
      <w:r>
        <w:continuationSeparator/>
      </w:r>
    </w:p>
    <w:p w:rsidR="00401737" w:rsidRDefault="00401737"/>
    <w:p w:rsidR="00401737" w:rsidRDefault="00401737" w:rsidP="00803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CD7875" w:rsidRDefault="00075B79">
        <w:pPr>
          <w:pStyle w:val="a5"/>
          <w:jc w:val="center"/>
        </w:pPr>
        <w:r>
          <w:fldChar w:fldCharType="begin"/>
        </w:r>
        <w:r>
          <w:instrText>PAGE   \* MERGEFORMAT</w:instrText>
        </w:r>
        <w:r>
          <w:fldChar w:fldCharType="separate"/>
        </w:r>
        <w:r w:rsidR="00476CE4" w:rsidRPr="00476CE4">
          <w:rPr>
            <w:noProof/>
            <w:lang w:val="zh-CN"/>
          </w:rPr>
          <w:t>-</w:t>
        </w:r>
        <w:r w:rsidR="00476CE4">
          <w:rPr>
            <w:noProof/>
          </w:rPr>
          <w:t xml:space="preserve"> 3 -</w:t>
        </w:r>
        <w:r>
          <w:fldChar w:fldCharType="end"/>
        </w:r>
      </w:p>
    </w:sdtContent>
  </w:sdt>
  <w:p w:rsidR="00CD7875" w:rsidRDefault="00CD7875">
    <w:pPr>
      <w:pStyle w:val="a5"/>
    </w:pPr>
  </w:p>
  <w:p w:rsidR="000C4331" w:rsidRDefault="000C4331"/>
  <w:p w:rsidR="000C4331" w:rsidRDefault="000C4331" w:rsidP="008039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37" w:rsidRDefault="00401737">
      <w:r>
        <w:separator/>
      </w:r>
    </w:p>
    <w:p w:rsidR="00401737" w:rsidRDefault="00401737"/>
    <w:p w:rsidR="00401737" w:rsidRDefault="00401737" w:rsidP="0080394F"/>
  </w:footnote>
  <w:footnote w:type="continuationSeparator" w:id="0">
    <w:p w:rsidR="00401737" w:rsidRDefault="00401737">
      <w:r>
        <w:continuationSeparator/>
      </w:r>
    </w:p>
    <w:p w:rsidR="00401737" w:rsidRDefault="00401737"/>
    <w:p w:rsidR="00401737" w:rsidRDefault="00401737" w:rsidP="0080394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6DA9"/>
    <w:multiLevelType w:val="singleLevel"/>
    <w:tmpl w:val="02EB6DA9"/>
    <w:lvl w:ilvl="0">
      <w:start w:val="1"/>
      <w:numFmt w:val="decimal"/>
      <w:suff w:val="nothing"/>
      <w:lvlText w:val="%1、"/>
      <w:lvlJc w:val="left"/>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FFBED258"/>
    <w:rsid w:val="0001717B"/>
    <w:rsid w:val="000346EE"/>
    <w:rsid w:val="00075B79"/>
    <w:rsid w:val="000865FB"/>
    <w:rsid w:val="000A2D9F"/>
    <w:rsid w:val="000B2248"/>
    <w:rsid w:val="000C4331"/>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01737"/>
    <w:rsid w:val="00425B19"/>
    <w:rsid w:val="00476CE4"/>
    <w:rsid w:val="00480440"/>
    <w:rsid w:val="004F336A"/>
    <w:rsid w:val="00515A8F"/>
    <w:rsid w:val="00546B4C"/>
    <w:rsid w:val="005708F0"/>
    <w:rsid w:val="00584E0A"/>
    <w:rsid w:val="005B3A63"/>
    <w:rsid w:val="005D0EE1"/>
    <w:rsid w:val="005D33F2"/>
    <w:rsid w:val="005E1470"/>
    <w:rsid w:val="005E3E42"/>
    <w:rsid w:val="005F6C47"/>
    <w:rsid w:val="0063213A"/>
    <w:rsid w:val="00641317"/>
    <w:rsid w:val="00652404"/>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0394F"/>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D7875"/>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39527768"/>
    <w:rsid w:val="47164442"/>
    <w:rsid w:val="48AE321A"/>
    <w:rsid w:val="48F8086D"/>
    <w:rsid w:val="54D57D13"/>
    <w:rsid w:val="57FC301A"/>
    <w:rsid w:val="598444C5"/>
    <w:rsid w:val="5A761F7B"/>
    <w:rsid w:val="5FF2755C"/>
    <w:rsid w:val="60B540C1"/>
    <w:rsid w:val="690507DD"/>
    <w:rsid w:val="704B11CB"/>
    <w:rsid w:val="72BFB1C7"/>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2F5EAE6"/>
  <w15:docId w15:val="{CB3B84C3-44DA-4760-BDF8-F2CB55B2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styleId="aa">
    <w:name w:val="List Paragraph"/>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cp:lastPrinted>2022-11-03T14:35:00Z</cp:lastPrinted>
  <dcterms:created xsi:type="dcterms:W3CDTF">2023-05-04T17:04:00Z</dcterms:created>
  <dcterms:modified xsi:type="dcterms:W3CDTF">2025-06-25T09:23:00Z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5A8D0AE701864FDB8675C88565B73E89_13</vt:lpwstr>
  </property>
  <property fmtid="{D5CDD505-2E9C-101B-9397-08002B2CF9AE}" pid="4" name="KSOTemplateDocerSaveRecord">
    <vt:lpwstr>eyJoZGlkIjoiYWE3ZmVjN2JmNGE2YjJkZGE1MzAyMmE5NGFmZDE5NjMiLCJ1c2VySWQiOiIzMjA2NDY2MzIifQ==</vt:lpwstr>
  </property>
</Properties>
</file>