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FF0000"/>
                <w:sz w:val="24"/>
                <w:szCs w:val="24"/>
              </w:rPr>
              <w:t>30分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FF0000"/>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hint="eastAsia" w:ascii="宋体" w:hAnsi="宋体" w:cs="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hint="eastAsia" w:ascii="宋体" w:hAnsi="宋体" w:cs="宋体"/>
                <w:sz w:val="24"/>
                <w:szCs w:val="24"/>
              </w:rPr>
            </w:pPr>
            <w:r>
              <w:rPr>
                <w:rFonts w:hint="eastAsia" w:ascii="宋体" w:hAnsi="宋体"/>
                <w:sz w:val="24"/>
                <w:szCs w:val="24"/>
              </w:rPr>
              <w:t>专家评分</w:t>
            </w:r>
          </w:p>
        </w:tc>
        <w:tc>
          <w:tcPr>
            <w:tcW w:w="5500" w:type="dxa"/>
            <w:noWrap w:val="0"/>
            <w:vAlign w:val="center"/>
          </w:tcPr>
          <w:p w14:paraId="5F102B35">
            <w:pPr>
              <w:spacing w:line="280" w:lineRule="exact"/>
              <w:rPr>
                <w:rFonts w:ascii="宋体" w:hAnsi="宋体" w:cs="宋体"/>
                <w:sz w:val="24"/>
                <w:szCs w:val="24"/>
              </w:rPr>
            </w:pPr>
            <w:r>
              <w:rPr>
                <w:rFonts w:hint="eastAsia" w:ascii="宋体" w:hAnsi="宋体" w:cs="宋体"/>
                <w:sz w:val="24"/>
                <w:szCs w:val="24"/>
              </w:rPr>
              <w:t>投标人应如实填写《技术规格偏离表》，评审委员会根据技术需求参数响应情况进行打分，各项技术参数指标及要求全部满足的得45分，</w:t>
            </w:r>
            <w:r>
              <w:rPr>
                <w:rFonts w:hint="eastAsia" w:ascii="宋体" w:hAnsi="宋体" w:cs="宋体"/>
                <w:color w:val="FF0000"/>
                <w:sz w:val="24"/>
                <w:szCs w:val="24"/>
              </w:rPr>
              <w:t>带“</w:t>
            </w:r>
            <w:r>
              <w:rPr>
                <w:rFonts w:hint="eastAsia" w:ascii="宋体" w:hAnsi="宋体"/>
                <w:bCs/>
                <w:color w:val="FF0000"/>
                <w:sz w:val="24"/>
                <w:szCs w:val="24"/>
              </w:rPr>
              <w:t>▲</w:t>
            </w:r>
            <w:r>
              <w:rPr>
                <w:rFonts w:hint="eastAsia" w:ascii="宋体" w:hAnsi="宋体" w:cs="宋体"/>
                <w:color w:val="FF0000"/>
                <w:sz w:val="24"/>
                <w:szCs w:val="24"/>
              </w:rPr>
              <w:t>”为重要参数，每负偏离一项扣</w:t>
            </w:r>
            <w:r>
              <w:rPr>
                <w:rFonts w:hint="eastAsia" w:ascii="宋体" w:hAnsi="宋体" w:cs="宋体"/>
                <w:color w:val="FF0000"/>
                <w:sz w:val="24"/>
                <w:szCs w:val="24"/>
                <w:lang w:val="en-US" w:eastAsia="zh-CN"/>
              </w:rPr>
              <w:t>4</w:t>
            </w:r>
            <w:r>
              <w:rPr>
                <w:rFonts w:hint="eastAsia" w:ascii="宋体" w:hAnsi="宋体" w:cs="宋体"/>
                <w:color w:val="FF0000"/>
                <w:sz w:val="24"/>
                <w:szCs w:val="24"/>
              </w:rPr>
              <w:t>分</w:t>
            </w:r>
            <w:r>
              <w:rPr>
                <w:rFonts w:hint="eastAsia" w:ascii="宋体" w:hAnsi="宋体" w:cs="宋体"/>
                <w:sz w:val="24"/>
                <w:szCs w:val="24"/>
              </w:rPr>
              <w:t>，其他参数每负偏离一项扣</w:t>
            </w:r>
            <w:r>
              <w:rPr>
                <w:rFonts w:hint="eastAsia" w:ascii="宋体" w:hAnsi="宋体" w:cs="宋体"/>
                <w:sz w:val="24"/>
                <w:szCs w:val="24"/>
                <w:lang w:val="en-US" w:eastAsia="zh-CN"/>
              </w:rPr>
              <w:t>2.5</w:t>
            </w:r>
            <w:r>
              <w:rPr>
                <w:rFonts w:hint="eastAsia" w:ascii="宋体" w:hAnsi="宋体" w:cs="宋体"/>
                <w:sz w:val="24"/>
                <w:szCs w:val="24"/>
              </w:rPr>
              <w:t>分，</w:t>
            </w:r>
            <w:r>
              <w:rPr>
                <w:rFonts w:hint="eastAsia" w:ascii="宋体" w:hAnsi="宋体"/>
                <w:color w:val="FF0000"/>
                <w:sz w:val="24"/>
                <w:szCs w:val="24"/>
              </w:rPr>
              <w:t>（可自行决定每项参数的分值），</w:t>
            </w:r>
            <w:r>
              <w:rPr>
                <w:rFonts w:hint="eastAsia" w:ascii="宋体" w:hAnsi="宋体" w:cs="宋体"/>
                <w:sz w:val="24"/>
                <w:szCs w:val="24"/>
              </w:rPr>
              <w:t>扣完为止。正偏离不加分。</w:t>
            </w:r>
          </w:p>
          <w:p w14:paraId="52DCBEAF">
            <w:pPr>
              <w:spacing w:line="280" w:lineRule="exact"/>
              <w:rPr>
                <w:rFonts w:hint="eastAsia" w:ascii="宋体" w:hAnsi="宋体" w:cs="宋体"/>
                <w:sz w:val="24"/>
                <w:szCs w:val="24"/>
              </w:rPr>
            </w:pPr>
            <w:r>
              <w:rPr>
                <w:rFonts w:hint="eastAsia" w:ascii="宋体" w:hAnsi="宋体" w:cs="宋体"/>
                <w:kern w:val="0"/>
                <w:sz w:val="24"/>
                <w:szCs w:val="24"/>
              </w:rPr>
              <w:t>注：</w:t>
            </w:r>
            <w:r>
              <w:rPr>
                <w:rFonts w:ascii="宋体" w:hAnsi="宋体" w:cs="宋体"/>
                <w:kern w:val="0"/>
                <w:sz w:val="24"/>
                <w:szCs w:val="24"/>
              </w:rPr>
              <w:t>对带三角号（</w:t>
            </w:r>
            <w:r>
              <w:rPr>
                <w:rFonts w:hint="eastAsia" w:ascii="宋体" w:hAnsi="宋体" w:cs="宋体"/>
                <w:sz w:val="24"/>
                <w:szCs w:val="24"/>
              </w:rPr>
              <w:t>“</w:t>
            </w:r>
            <w:r>
              <w:rPr>
                <w:rFonts w:hint="eastAsia" w:ascii="宋体" w:hAnsi="宋体"/>
                <w:bCs/>
                <w:sz w:val="24"/>
                <w:szCs w:val="24"/>
              </w:rPr>
              <w:t>▲</w:t>
            </w:r>
            <w:r>
              <w:rPr>
                <w:rFonts w:hint="eastAsia" w:ascii="宋体" w:hAnsi="宋体" w:cs="宋体"/>
                <w:sz w:val="24"/>
                <w:szCs w:val="24"/>
              </w:rPr>
              <w:t>”</w:t>
            </w:r>
            <w:r>
              <w:rPr>
                <w:rFonts w:ascii="宋体" w:hAnsi="宋体" w:cs="宋体"/>
                <w:kern w:val="0"/>
                <w:sz w:val="24"/>
                <w:szCs w:val="24"/>
              </w:rPr>
              <w:t>）的重要技术参数投标人必须提供相关证明材料（技术白皮书、彩页、产品说明书或检测报告等），否则按负偏离进行扣分。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hint="eastAsia" w:ascii="宋体" w:hAnsi="宋体" w:cs="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hint="eastAsia" w:ascii="宋体" w:hAnsi="宋体" w:cs="宋体"/>
                <w:sz w:val="24"/>
                <w:szCs w:val="24"/>
              </w:rPr>
            </w:pPr>
            <w:r>
              <w:rPr>
                <w:rFonts w:hint="eastAsia" w:ascii="宋体" w:hAnsi="宋体"/>
                <w:sz w:val="24"/>
                <w:szCs w:val="24"/>
              </w:rPr>
              <w:t>专家打分</w:t>
            </w:r>
          </w:p>
        </w:tc>
        <w:tc>
          <w:tcPr>
            <w:tcW w:w="5500" w:type="dxa"/>
            <w:noWrap w:val="0"/>
            <w:vAlign w:val="center"/>
          </w:tcPr>
          <w:p w14:paraId="16F35A7C">
            <w:pPr>
              <w:spacing w:line="280" w:lineRule="exact"/>
              <w:rPr>
                <w:rFonts w:hint="eastAsia" w:ascii="宋体" w:hAnsi="宋体" w:cs="宋体"/>
                <w:sz w:val="24"/>
                <w:szCs w:val="24"/>
              </w:rPr>
            </w:pPr>
            <w:r>
              <w:rPr>
                <w:rFonts w:hint="eastAsia" w:ascii="宋体" w:hAnsi="宋体" w:cs="宋体"/>
                <w:color w:val="auto"/>
                <w:szCs w:val="21"/>
              </w:rPr>
              <w:t>在投标文件中详细说明保障措施（包括技术团队和技术方案、所投产品在同类产品中性能水平及应用程度等），评审委员会根据</w:t>
            </w:r>
            <w:r>
              <w:rPr>
                <w:rFonts w:hint="eastAsia" w:ascii="宋体" w:hAnsi="宋体" w:cs="宋体"/>
                <w:sz w:val="24"/>
                <w:szCs w:val="24"/>
              </w:rPr>
              <w:t>响应情况进行横向比较，按优3分，良2分，中1分，差0分打分。</w:t>
            </w:r>
          </w:p>
          <w:p w14:paraId="0F4D25BE">
            <w:pPr>
              <w:spacing w:line="280" w:lineRule="exact"/>
              <w:rPr>
                <w:rFonts w:hint="eastAsia" w:ascii="宋体" w:hAnsi="宋体" w:cs="宋体"/>
                <w:sz w:val="24"/>
                <w:szCs w:val="24"/>
              </w:rPr>
            </w:pPr>
            <w:r>
              <w:rPr>
                <w:rFonts w:hint="eastAsia" w:ascii="宋体" w:hAnsi="宋体" w:cs="宋体"/>
                <w:sz w:val="24"/>
                <w:szCs w:val="24"/>
              </w:rPr>
              <w:t>优：技术团队和技术方案完善、所投产品在同类产品中性能水平高及应用程度高。</w:t>
            </w:r>
          </w:p>
          <w:p w14:paraId="00A12D39">
            <w:pPr>
              <w:spacing w:line="280" w:lineRule="exact"/>
              <w:rPr>
                <w:rFonts w:hint="eastAsia" w:ascii="宋体" w:hAnsi="宋体" w:cs="宋体"/>
                <w:sz w:val="24"/>
                <w:szCs w:val="24"/>
              </w:rPr>
            </w:pPr>
            <w:r>
              <w:rPr>
                <w:rFonts w:hint="eastAsia" w:ascii="宋体" w:hAnsi="宋体" w:cs="宋体"/>
                <w:sz w:val="24"/>
                <w:szCs w:val="24"/>
              </w:rPr>
              <w:t>良：技术团队和技术方案较完善、所投产品在同类产品中性能水平较高及应用程度较高。</w:t>
            </w:r>
          </w:p>
          <w:p w14:paraId="4A9BD5A8">
            <w:pPr>
              <w:spacing w:line="280" w:lineRule="exact"/>
              <w:rPr>
                <w:rFonts w:hint="eastAsia" w:ascii="宋体" w:hAnsi="宋体" w:cs="宋体"/>
                <w:sz w:val="24"/>
                <w:szCs w:val="24"/>
              </w:rPr>
            </w:pPr>
            <w:r>
              <w:rPr>
                <w:rFonts w:hint="eastAsia" w:ascii="宋体" w:hAnsi="宋体" w:cs="宋体"/>
                <w:sz w:val="24"/>
                <w:szCs w:val="24"/>
              </w:rPr>
              <w:t>中：技术团队和技术方案基本完善、所投产品在同类产品中性能水平普通及应用程度普通。</w:t>
            </w:r>
          </w:p>
          <w:p w14:paraId="173DD4C0">
            <w:pPr>
              <w:spacing w:line="280" w:lineRule="exact"/>
              <w:rPr>
                <w:rFonts w:hint="eastAsia" w:ascii="宋体" w:hAnsi="宋体" w:cs="宋体"/>
                <w:sz w:val="24"/>
                <w:szCs w:val="24"/>
              </w:rPr>
            </w:pPr>
            <w:r>
              <w:rPr>
                <w:rFonts w:hint="eastAsia" w:ascii="宋体" w:hAnsi="宋体" w:cs="宋体"/>
                <w:color w:val="auto"/>
                <w:szCs w:val="21"/>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FF0000"/>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DB66599">
            <w:pPr>
              <w:spacing w:line="280" w:lineRule="exact"/>
              <w:rPr>
                <w:rFonts w:ascii="宋体" w:hAnsi="宋体" w:cs="宋体"/>
                <w:sz w:val="24"/>
                <w:szCs w:val="24"/>
              </w:rPr>
            </w:pPr>
            <w:r>
              <w:rPr>
                <w:rFonts w:hint="eastAsia" w:ascii="宋体" w:hAnsi="宋体" w:cs="宋体"/>
                <w:sz w:val="24"/>
                <w:szCs w:val="24"/>
              </w:rPr>
              <w:t>(1)投标人应如实填写《免费保修期内售后服务条款偏离表》，评审委员会根据响应情况进行打分。满足免费保修期的得2分，每增加一年加0.5分，最高得3分。</w:t>
            </w:r>
          </w:p>
          <w:p w14:paraId="490108AB">
            <w:pPr>
              <w:spacing w:line="280" w:lineRule="exact"/>
              <w:rPr>
                <w:rFonts w:ascii="宋体" w:hAnsi="宋体" w:cs="宋体"/>
                <w:sz w:val="24"/>
                <w:szCs w:val="24"/>
              </w:rPr>
            </w:pPr>
            <w:r>
              <w:rPr>
                <w:rFonts w:hint="eastAsia" w:ascii="宋体" w:hAnsi="宋体" w:cs="宋体"/>
                <w:sz w:val="24"/>
                <w:szCs w:val="24"/>
              </w:rPr>
              <w:t>(2)其他要求全部满足要求的得2分，每负偏离一项扣1分。</w:t>
            </w:r>
          </w:p>
          <w:p w14:paraId="13F6B068">
            <w:pPr>
              <w:spacing w:line="280" w:lineRule="exact"/>
              <w:rPr>
                <w:rFonts w:hint="eastAsia" w:ascii="宋体" w:hAnsi="宋体" w:cs="宋体"/>
                <w:sz w:val="24"/>
                <w:szCs w:val="24"/>
              </w:rPr>
            </w:pPr>
            <w:r>
              <w:rPr>
                <w:rFonts w:hint="eastAsia" w:ascii="宋体" w:hAnsi="宋体" w:cs="宋体"/>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hint="eastAsia" w:ascii="宋体" w:hAnsi="宋体" w:cs="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4C6595F">
            <w:pPr>
              <w:numPr>
                <w:ilvl w:val="0"/>
                <w:numId w:val="3"/>
              </w:numPr>
              <w:rPr>
                <w:rFonts w:hint="eastAsia" w:ascii="宋体" w:hAnsi="宋体"/>
              </w:rPr>
            </w:pPr>
            <w:r>
              <w:rPr>
                <w:rFonts w:hint="eastAsia" w:ascii="宋体" w:hAnsi="宋体"/>
              </w:rPr>
              <w:t>对招标文件的实质性要求作出有效响应且投标文件按招标文件要求具有有效性和完整性，得优：6分；</w:t>
            </w:r>
          </w:p>
          <w:p w14:paraId="70120DAE">
            <w:pPr>
              <w:numPr>
                <w:ilvl w:val="0"/>
                <w:numId w:val="3"/>
              </w:numPr>
              <w:rPr>
                <w:rFonts w:hint="eastAsia" w:ascii="宋体" w:hAnsi="宋体"/>
              </w:rPr>
            </w:pPr>
            <w:r>
              <w:rPr>
                <w:rFonts w:hint="eastAsia" w:ascii="宋体" w:hAnsi="宋体"/>
              </w:rPr>
              <w:t>投标文件不缺项，表达不清晰，需现场解答，得良：3分；</w:t>
            </w:r>
          </w:p>
          <w:p w14:paraId="5309CB17">
            <w:pPr>
              <w:numPr>
                <w:ilvl w:val="0"/>
                <w:numId w:val="3"/>
              </w:numPr>
              <w:rPr>
                <w:rFonts w:hint="eastAsia" w:ascii="宋体" w:hAnsi="宋体"/>
              </w:rPr>
            </w:pPr>
            <w:r>
              <w:rPr>
                <w:rFonts w:hint="eastAsia" w:ascii="宋体" w:hAnsi="宋体"/>
              </w:rPr>
              <w:t>投标文件缺项，经现场答辩，不影响评标，得中：1分；</w:t>
            </w:r>
          </w:p>
          <w:p w14:paraId="4BC0F343">
            <w:pPr>
              <w:spacing w:line="280" w:lineRule="exact"/>
              <w:rPr>
                <w:rFonts w:hint="eastAsia" w:ascii="宋体" w:hAnsi="宋体" w:cs="宋体"/>
                <w:sz w:val="24"/>
                <w:szCs w:val="24"/>
              </w:rPr>
            </w:pPr>
            <w:r>
              <w:rPr>
                <w:rFonts w:hint="eastAsia" w:ascii="宋体" w:hAnsi="宋体"/>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90EA594">
            <w:pPr>
              <w:numPr>
                <w:ilvl w:val="0"/>
                <w:numId w:val="0"/>
              </w:numPr>
              <w:ind w:left="0" w:leftChars="0" w:firstLine="0" w:firstLineChars="0"/>
              <w:rPr>
                <w:rFonts w:ascii="宋体" w:hAnsi="宋体" w:cs="宋体"/>
                <w:sz w:val="24"/>
                <w:szCs w:val="24"/>
              </w:rPr>
            </w:pPr>
            <w:r>
              <w:rPr>
                <w:rFonts w:hint="eastAsia" w:ascii="宋体" w:hAnsi="宋体" w:eastAsia="宋体" w:cs="Times New Roma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401658"/>
      <w:bookmarkStart w:id="3" w:name="_Toc201742861"/>
      <w:bookmarkStart w:id="4" w:name="_Toc201997946"/>
      <w:bookmarkStart w:id="5" w:name="_Toc201743116"/>
      <w:bookmarkStart w:id="6" w:name="_Toc201719118"/>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4"/>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4"/>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5"/>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5"/>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5"/>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5"/>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5"/>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9"/>
        <w:jc w:val="left"/>
        <w:rPr>
          <w:rFonts w:asciiTheme="minorEastAsia" w:hAnsiTheme="minorEastAsia" w:eastAsiaTheme="minorEastAsia"/>
          <w:sz w:val="24"/>
          <w:szCs w:val="24"/>
        </w:rPr>
      </w:pP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9"/>
              <w:rPr>
                <w:rFonts w:asciiTheme="minorEastAsia" w:hAnsiTheme="minorEastAsia" w:eastAsiaTheme="minorEastAsia"/>
                <w:sz w:val="24"/>
                <w:szCs w:val="24"/>
              </w:rPr>
            </w:pPr>
          </w:p>
        </w:tc>
        <w:tc>
          <w:tcPr>
            <w:tcW w:w="3290" w:type="dxa"/>
            <w:vAlign w:val="center"/>
          </w:tcPr>
          <w:p w14:paraId="751EA538">
            <w:pPr>
              <w:pStyle w:val="9"/>
              <w:rPr>
                <w:rFonts w:asciiTheme="minorEastAsia" w:hAnsiTheme="minorEastAsia" w:eastAsiaTheme="minorEastAsia"/>
                <w:sz w:val="24"/>
                <w:szCs w:val="24"/>
              </w:rPr>
            </w:pPr>
          </w:p>
        </w:tc>
        <w:tc>
          <w:tcPr>
            <w:tcW w:w="1376" w:type="dxa"/>
            <w:vAlign w:val="center"/>
          </w:tcPr>
          <w:p w14:paraId="0E76601A">
            <w:pPr>
              <w:pStyle w:val="9"/>
              <w:rPr>
                <w:rFonts w:asciiTheme="minorEastAsia" w:hAnsiTheme="minorEastAsia" w:eastAsiaTheme="minorEastAsia"/>
                <w:sz w:val="24"/>
                <w:szCs w:val="24"/>
              </w:rPr>
            </w:pPr>
          </w:p>
        </w:tc>
        <w:tc>
          <w:tcPr>
            <w:tcW w:w="698" w:type="dxa"/>
            <w:vAlign w:val="center"/>
          </w:tcPr>
          <w:p w14:paraId="4E7DEE7C">
            <w:pPr>
              <w:pStyle w:val="9"/>
              <w:jc w:val="left"/>
              <w:rPr>
                <w:rFonts w:asciiTheme="minorEastAsia" w:hAnsiTheme="minorEastAsia" w:eastAsiaTheme="minorEastAsia"/>
                <w:sz w:val="24"/>
                <w:szCs w:val="24"/>
              </w:rPr>
            </w:pPr>
          </w:p>
        </w:tc>
        <w:tc>
          <w:tcPr>
            <w:tcW w:w="1994" w:type="dxa"/>
            <w:vAlign w:val="center"/>
          </w:tcPr>
          <w:p w14:paraId="5A88AF64">
            <w:pPr>
              <w:pStyle w:val="9"/>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9"/>
              <w:rPr>
                <w:rFonts w:asciiTheme="minorEastAsia" w:hAnsiTheme="minorEastAsia" w:eastAsiaTheme="minorEastAsia"/>
                <w:sz w:val="24"/>
                <w:szCs w:val="24"/>
              </w:rPr>
            </w:pPr>
          </w:p>
        </w:tc>
        <w:tc>
          <w:tcPr>
            <w:tcW w:w="3290" w:type="dxa"/>
            <w:vAlign w:val="center"/>
          </w:tcPr>
          <w:p w14:paraId="7766B78B">
            <w:pPr>
              <w:pStyle w:val="9"/>
              <w:rPr>
                <w:rFonts w:asciiTheme="minorEastAsia" w:hAnsiTheme="minorEastAsia" w:eastAsiaTheme="minorEastAsia"/>
                <w:sz w:val="24"/>
                <w:szCs w:val="24"/>
              </w:rPr>
            </w:pPr>
          </w:p>
        </w:tc>
        <w:tc>
          <w:tcPr>
            <w:tcW w:w="1376" w:type="dxa"/>
            <w:vAlign w:val="center"/>
          </w:tcPr>
          <w:p w14:paraId="659F9764">
            <w:pPr>
              <w:pStyle w:val="9"/>
              <w:rPr>
                <w:rFonts w:asciiTheme="minorEastAsia" w:hAnsiTheme="minorEastAsia" w:eastAsiaTheme="minorEastAsia"/>
                <w:sz w:val="24"/>
                <w:szCs w:val="24"/>
              </w:rPr>
            </w:pPr>
          </w:p>
        </w:tc>
        <w:tc>
          <w:tcPr>
            <w:tcW w:w="698" w:type="dxa"/>
            <w:vAlign w:val="center"/>
          </w:tcPr>
          <w:p w14:paraId="22C5594F">
            <w:pPr>
              <w:pStyle w:val="9"/>
              <w:jc w:val="left"/>
              <w:rPr>
                <w:rFonts w:asciiTheme="minorEastAsia" w:hAnsiTheme="minorEastAsia" w:eastAsiaTheme="minorEastAsia"/>
                <w:sz w:val="24"/>
                <w:szCs w:val="24"/>
              </w:rPr>
            </w:pPr>
          </w:p>
        </w:tc>
        <w:tc>
          <w:tcPr>
            <w:tcW w:w="1994" w:type="dxa"/>
            <w:vAlign w:val="center"/>
          </w:tcPr>
          <w:p w14:paraId="298BEC36">
            <w:pPr>
              <w:pStyle w:val="9"/>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9"/>
              <w:rPr>
                <w:rFonts w:asciiTheme="minorEastAsia" w:hAnsiTheme="minorEastAsia" w:eastAsiaTheme="minorEastAsia"/>
                <w:sz w:val="24"/>
                <w:szCs w:val="24"/>
              </w:rPr>
            </w:pPr>
          </w:p>
        </w:tc>
        <w:tc>
          <w:tcPr>
            <w:tcW w:w="3290" w:type="dxa"/>
            <w:vAlign w:val="center"/>
          </w:tcPr>
          <w:p w14:paraId="02E8FF26">
            <w:pPr>
              <w:pStyle w:val="9"/>
              <w:rPr>
                <w:rFonts w:asciiTheme="minorEastAsia" w:hAnsiTheme="minorEastAsia" w:eastAsiaTheme="minorEastAsia"/>
                <w:sz w:val="24"/>
                <w:szCs w:val="24"/>
              </w:rPr>
            </w:pPr>
          </w:p>
        </w:tc>
        <w:tc>
          <w:tcPr>
            <w:tcW w:w="1376" w:type="dxa"/>
            <w:vAlign w:val="center"/>
          </w:tcPr>
          <w:p w14:paraId="5675BE6D">
            <w:pPr>
              <w:pStyle w:val="9"/>
              <w:rPr>
                <w:rFonts w:asciiTheme="minorEastAsia" w:hAnsiTheme="minorEastAsia" w:eastAsiaTheme="minorEastAsia"/>
                <w:sz w:val="24"/>
                <w:szCs w:val="24"/>
              </w:rPr>
            </w:pPr>
          </w:p>
        </w:tc>
        <w:tc>
          <w:tcPr>
            <w:tcW w:w="698" w:type="dxa"/>
            <w:vAlign w:val="center"/>
          </w:tcPr>
          <w:p w14:paraId="3244B010">
            <w:pPr>
              <w:pStyle w:val="9"/>
              <w:jc w:val="left"/>
              <w:rPr>
                <w:rFonts w:asciiTheme="minorEastAsia" w:hAnsiTheme="minorEastAsia" w:eastAsiaTheme="minorEastAsia"/>
                <w:sz w:val="24"/>
                <w:szCs w:val="24"/>
              </w:rPr>
            </w:pPr>
          </w:p>
        </w:tc>
        <w:tc>
          <w:tcPr>
            <w:tcW w:w="1994" w:type="dxa"/>
            <w:vAlign w:val="center"/>
          </w:tcPr>
          <w:p w14:paraId="3C3190E7">
            <w:pPr>
              <w:pStyle w:val="9"/>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9"/>
              <w:rPr>
                <w:rFonts w:asciiTheme="minorEastAsia" w:hAnsiTheme="minorEastAsia" w:eastAsiaTheme="minorEastAsia"/>
                <w:sz w:val="24"/>
                <w:szCs w:val="24"/>
              </w:rPr>
            </w:pPr>
          </w:p>
        </w:tc>
        <w:tc>
          <w:tcPr>
            <w:tcW w:w="3290" w:type="dxa"/>
            <w:vAlign w:val="center"/>
          </w:tcPr>
          <w:p w14:paraId="10BCCADC">
            <w:pPr>
              <w:pStyle w:val="9"/>
              <w:rPr>
                <w:rFonts w:asciiTheme="minorEastAsia" w:hAnsiTheme="minorEastAsia" w:eastAsiaTheme="minorEastAsia"/>
                <w:sz w:val="24"/>
                <w:szCs w:val="24"/>
              </w:rPr>
            </w:pPr>
          </w:p>
        </w:tc>
        <w:tc>
          <w:tcPr>
            <w:tcW w:w="1376" w:type="dxa"/>
            <w:vAlign w:val="center"/>
          </w:tcPr>
          <w:p w14:paraId="610D7C65">
            <w:pPr>
              <w:pStyle w:val="9"/>
              <w:rPr>
                <w:rFonts w:asciiTheme="minorEastAsia" w:hAnsiTheme="minorEastAsia" w:eastAsiaTheme="minorEastAsia"/>
                <w:sz w:val="24"/>
                <w:szCs w:val="24"/>
              </w:rPr>
            </w:pPr>
          </w:p>
        </w:tc>
        <w:tc>
          <w:tcPr>
            <w:tcW w:w="698" w:type="dxa"/>
            <w:vAlign w:val="center"/>
          </w:tcPr>
          <w:p w14:paraId="149155F6">
            <w:pPr>
              <w:pStyle w:val="9"/>
              <w:jc w:val="left"/>
              <w:rPr>
                <w:rFonts w:asciiTheme="minorEastAsia" w:hAnsiTheme="minorEastAsia" w:eastAsiaTheme="minorEastAsia"/>
                <w:sz w:val="24"/>
                <w:szCs w:val="24"/>
              </w:rPr>
            </w:pPr>
          </w:p>
        </w:tc>
        <w:tc>
          <w:tcPr>
            <w:tcW w:w="1994" w:type="dxa"/>
            <w:vAlign w:val="center"/>
          </w:tcPr>
          <w:p w14:paraId="6B4E58C6">
            <w:pPr>
              <w:pStyle w:val="9"/>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9"/>
              <w:rPr>
                <w:rFonts w:asciiTheme="minorEastAsia" w:hAnsiTheme="minorEastAsia" w:eastAsiaTheme="minorEastAsia"/>
                <w:sz w:val="24"/>
                <w:szCs w:val="24"/>
              </w:rPr>
            </w:pPr>
          </w:p>
        </w:tc>
        <w:tc>
          <w:tcPr>
            <w:tcW w:w="3290" w:type="dxa"/>
            <w:vAlign w:val="center"/>
          </w:tcPr>
          <w:p w14:paraId="45C654BA">
            <w:pPr>
              <w:pStyle w:val="9"/>
              <w:rPr>
                <w:rFonts w:asciiTheme="minorEastAsia" w:hAnsiTheme="minorEastAsia" w:eastAsiaTheme="minorEastAsia"/>
                <w:sz w:val="24"/>
                <w:szCs w:val="24"/>
              </w:rPr>
            </w:pPr>
          </w:p>
          <w:p w14:paraId="7FC2E893">
            <w:pPr>
              <w:pStyle w:val="9"/>
              <w:rPr>
                <w:rFonts w:asciiTheme="minorEastAsia" w:hAnsiTheme="minorEastAsia" w:eastAsiaTheme="minorEastAsia"/>
                <w:sz w:val="24"/>
                <w:szCs w:val="24"/>
              </w:rPr>
            </w:pPr>
          </w:p>
        </w:tc>
        <w:tc>
          <w:tcPr>
            <w:tcW w:w="1376" w:type="dxa"/>
            <w:vAlign w:val="center"/>
          </w:tcPr>
          <w:p w14:paraId="669052A9">
            <w:pPr>
              <w:pStyle w:val="9"/>
              <w:rPr>
                <w:rFonts w:asciiTheme="minorEastAsia" w:hAnsiTheme="minorEastAsia" w:eastAsiaTheme="minorEastAsia"/>
                <w:sz w:val="24"/>
                <w:szCs w:val="24"/>
              </w:rPr>
            </w:pPr>
          </w:p>
        </w:tc>
        <w:tc>
          <w:tcPr>
            <w:tcW w:w="698" w:type="dxa"/>
            <w:vAlign w:val="center"/>
          </w:tcPr>
          <w:p w14:paraId="437BE05C">
            <w:pPr>
              <w:pStyle w:val="9"/>
              <w:jc w:val="left"/>
              <w:rPr>
                <w:rFonts w:asciiTheme="minorEastAsia" w:hAnsiTheme="minorEastAsia" w:eastAsiaTheme="minorEastAsia"/>
                <w:sz w:val="24"/>
                <w:szCs w:val="24"/>
              </w:rPr>
            </w:pPr>
          </w:p>
        </w:tc>
        <w:tc>
          <w:tcPr>
            <w:tcW w:w="1994" w:type="dxa"/>
            <w:vAlign w:val="center"/>
          </w:tcPr>
          <w:p w14:paraId="08663968">
            <w:pPr>
              <w:pStyle w:val="9"/>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9"/>
              <w:rPr>
                <w:rFonts w:asciiTheme="minorEastAsia" w:hAnsiTheme="minorEastAsia" w:eastAsiaTheme="minorEastAsia"/>
                <w:sz w:val="24"/>
                <w:szCs w:val="24"/>
              </w:rPr>
            </w:pPr>
          </w:p>
        </w:tc>
        <w:tc>
          <w:tcPr>
            <w:tcW w:w="3290" w:type="dxa"/>
            <w:vAlign w:val="center"/>
          </w:tcPr>
          <w:p w14:paraId="3DD15B7A">
            <w:pPr>
              <w:pStyle w:val="9"/>
              <w:rPr>
                <w:rFonts w:asciiTheme="minorEastAsia" w:hAnsiTheme="minorEastAsia" w:eastAsiaTheme="minorEastAsia"/>
                <w:sz w:val="24"/>
                <w:szCs w:val="24"/>
              </w:rPr>
            </w:pPr>
          </w:p>
        </w:tc>
        <w:tc>
          <w:tcPr>
            <w:tcW w:w="1376" w:type="dxa"/>
            <w:vAlign w:val="center"/>
          </w:tcPr>
          <w:p w14:paraId="21238873">
            <w:pPr>
              <w:pStyle w:val="9"/>
              <w:rPr>
                <w:rFonts w:asciiTheme="minorEastAsia" w:hAnsiTheme="minorEastAsia" w:eastAsiaTheme="minorEastAsia"/>
                <w:sz w:val="24"/>
                <w:szCs w:val="24"/>
              </w:rPr>
            </w:pPr>
          </w:p>
        </w:tc>
        <w:tc>
          <w:tcPr>
            <w:tcW w:w="698" w:type="dxa"/>
            <w:vAlign w:val="center"/>
          </w:tcPr>
          <w:p w14:paraId="24730236">
            <w:pPr>
              <w:pStyle w:val="9"/>
              <w:jc w:val="left"/>
              <w:rPr>
                <w:rFonts w:asciiTheme="minorEastAsia" w:hAnsiTheme="minorEastAsia" w:eastAsiaTheme="minorEastAsia"/>
                <w:sz w:val="24"/>
                <w:szCs w:val="24"/>
              </w:rPr>
            </w:pPr>
          </w:p>
        </w:tc>
        <w:tc>
          <w:tcPr>
            <w:tcW w:w="1994" w:type="dxa"/>
            <w:vAlign w:val="center"/>
          </w:tcPr>
          <w:p w14:paraId="78242D64">
            <w:pPr>
              <w:pStyle w:val="9"/>
              <w:jc w:val="left"/>
              <w:rPr>
                <w:rFonts w:asciiTheme="minorEastAsia" w:hAnsiTheme="minorEastAsia" w:eastAsiaTheme="minorEastAsia"/>
                <w:sz w:val="24"/>
                <w:szCs w:val="24"/>
              </w:rPr>
            </w:pPr>
          </w:p>
        </w:tc>
      </w:tr>
    </w:tbl>
    <w:p w14:paraId="2C84AE11">
      <w:pPr>
        <w:pStyle w:val="9"/>
        <w:jc w:val="left"/>
        <w:rPr>
          <w:rFonts w:asciiTheme="minorEastAsia" w:hAnsiTheme="minorEastAsia" w:eastAsiaTheme="minorEastAsia"/>
          <w:sz w:val="24"/>
          <w:szCs w:val="24"/>
        </w:rPr>
      </w:pPr>
    </w:p>
    <w:p w14:paraId="048772BC">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5"/>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5"/>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5"/>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default" w:ascii="宋体" w:hAnsi="宋体" w:eastAsia="宋体" w:cs="宋体"/>
                      <w:color w:val="auto"/>
                      <w:sz w:val="24"/>
                      <w:szCs w:val="24"/>
                      <w:lang w:val="en-US" w:eastAsia="zh-CN"/>
                    </w:rPr>
                  </w:pPr>
                  <w:r>
                    <w:rPr>
                      <w:rFonts w:hint="eastAsia" w:ascii="宋体" w:hAnsi="宋体" w:eastAsia="宋体" w:cs="宋体"/>
                      <w:b w:val="0"/>
                      <w:bCs w:val="0"/>
                      <w:sz w:val="24"/>
                      <w:szCs w:val="24"/>
                      <w:lang w:val="en-US" w:eastAsia="zh-CN"/>
                    </w:rPr>
                    <w:t>验光仪 （智能）</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lang w:val="en-US"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rPr>
                    <w:t>99800</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lang w:val="en-US" w:eastAsia="zh-CN"/>
                    </w:rPr>
                    <w:t>拒绝</w:t>
                  </w:r>
                  <w:r>
                    <w:rPr>
                      <w:rFonts w:hint="eastAsia" w:ascii="宋体" w:hAnsi="宋体" w:cs="宋体"/>
                      <w:color w:val="FF0000"/>
                      <w:kern w:val="0"/>
                      <w:sz w:val="24"/>
                      <w:szCs w:val="24"/>
                    </w:rPr>
                    <w:t>进口</w:t>
                  </w:r>
                </w:p>
              </w:tc>
            </w:tr>
          </w:tbl>
          <w:p w14:paraId="63049289">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D9BAF5E">
            <w:pPr>
              <w:widowControl/>
              <w:spacing w:before="100" w:beforeAutospacing="1" w:after="100" w:afterAutospacing="1"/>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color w:val="FF0000"/>
                <w:sz w:val="24"/>
                <w:szCs w:val="24"/>
                <w:lang w:val="en-US" w:eastAsia="zh-CN"/>
              </w:rPr>
              <w:t>▲</w:t>
            </w:r>
            <w:r>
              <w:rPr>
                <w:rFonts w:hint="eastAsia" w:ascii="宋体" w:hAnsi="宋体" w:eastAsia="宋体" w:cs="宋体"/>
                <w:sz w:val="24"/>
                <w:szCs w:val="24"/>
                <w:lang w:val="en-US" w:eastAsia="zh-CN"/>
              </w:rPr>
              <w:t>1</w:t>
            </w:r>
          </w:p>
        </w:tc>
        <w:tc>
          <w:tcPr>
            <w:tcW w:w="6648" w:type="dxa"/>
            <w:tcBorders>
              <w:top w:val="single" w:color="auto" w:sz="6" w:space="0"/>
              <w:left w:val="single" w:color="auto" w:sz="6" w:space="0"/>
              <w:bottom w:val="nil"/>
              <w:right w:val="nil"/>
            </w:tcBorders>
            <w:shd w:val="clear"/>
            <w:noWrap w:val="0"/>
            <w:vAlign w:val="center"/>
          </w:tcPr>
          <w:p w14:paraId="2292A4C7">
            <w:pPr>
              <w:widowControl/>
              <w:spacing w:before="100" w:beforeAutospacing="1" w:after="100" w:afterAutospacing="1"/>
              <w:jc w:val="left"/>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显示器：≥10英寸彩色TFT液晶显示器，可触反转显示屏幕</w:t>
            </w:r>
          </w:p>
        </w:tc>
        <w:tc>
          <w:tcPr>
            <w:tcW w:w="1109" w:type="dxa"/>
            <w:tcBorders>
              <w:top w:val="single" w:color="auto" w:sz="6" w:space="0"/>
              <w:left w:val="single" w:color="auto" w:sz="6" w:space="0"/>
              <w:bottom w:val="nil"/>
              <w:right w:val="nil"/>
            </w:tcBorders>
            <w:shd w:val="clear"/>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BD88AB9">
            <w:pPr>
              <w:widowControl/>
              <w:spacing w:before="100" w:beforeAutospacing="1" w:after="100" w:afterAutospacing="1"/>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sz w:val="24"/>
                <w:szCs w:val="24"/>
                <w:lang w:val="en-US" w:eastAsia="zh-CN"/>
              </w:rPr>
              <w:t>▲</w:t>
            </w:r>
            <w:r>
              <w:rPr>
                <w:rFonts w:hint="eastAsia" w:ascii="宋体" w:hAnsi="宋体" w:eastAsia="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shd w:val="clear"/>
            <w:noWrap w:val="0"/>
            <w:vAlign w:val="center"/>
          </w:tcPr>
          <w:p w14:paraId="1E4961DA">
            <w:pPr>
              <w:keepNext w:val="0"/>
              <w:keepLines w:val="0"/>
              <w:widowControl/>
              <w:suppressLineNumbers w:val="0"/>
              <w:jc w:val="left"/>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sz w:val="24"/>
                <w:szCs w:val="24"/>
                <w:lang w:val="en-US" w:eastAsia="zh-CN"/>
              </w:rPr>
              <w:t>操作模式：自动自助</w:t>
            </w:r>
          </w:p>
        </w:tc>
        <w:tc>
          <w:tcPr>
            <w:tcW w:w="1109" w:type="dxa"/>
            <w:tcBorders>
              <w:top w:val="single" w:color="auto" w:sz="6" w:space="0"/>
              <w:left w:val="single" w:color="auto" w:sz="6" w:space="0"/>
              <w:bottom w:val="nil"/>
              <w:right w:val="nil"/>
            </w:tcBorders>
            <w:shd w:val="clear"/>
            <w:noWrap w:val="0"/>
            <w:vAlign w:val="center"/>
          </w:tcPr>
          <w:p w14:paraId="2793BCD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DB596F1">
            <w:pPr>
              <w:widowControl/>
              <w:spacing w:before="100" w:beforeAutospacing="1" w:after="100" w:afterAutospacing="1"/>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FF0000"/>
                <w:sz w:val="24"/>
                <w:szCs w:val="24"/>
                <w:lang w:val="en-US" w:eastAsia="zh-CN"/>
              </w:rPr>
              <w:t>▲</w:t>
            </w:r>
            <w:r>
              <w:rPr>
                <w:rFonts w:hint="eastAsia" w:ascii="宋体" w:hAnsi="宋体" w:eastAsia="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shd w:val="clear"/>
            <w:noWrap w:val="0"/>
            <w:vAlign w:val="center"/>
          </w:tcPr>
          <w:p w14:paraId="748E7C82">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数据传输模式：支持wifi传输、蓝牙传输（Ble4.2），直接传输各种系统服务器，将数据在线或离线上传入服务器，屏幕可配置个系统IP（域名）。</w:t>
            </w:r>
          </w:p>
        </w:tc>
        <w:tc>
          <w:tcPr>
            <w:tcW w:w="1109" w:type="dxa"/>
            <w:tcBorders>
              <w:top w:val="single" w:color="auto" w:sz="6" w:space="0"/>
              <w:left w:val="single" w:color="auto" w:sz="6" w:space="0"/>
              <w:bottom w:val="nil"/>
              <w:right w:val="nil"/>
            </w:tcBorders>
            <w:shd w:val="clear"/>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FF0000"/>
                <w:sz w:val="24"/>
                <w:szCs w:val="24"/>
                <w:lang w:val="en-US" w:eastAsia="zh-CN"/>
              </w:rPr>
              <w:t>▲</w:t>
            </w:r>
            <w:r>
              <w:rPr>
                <w:rFonts w:hint="eastAsia" w:ascii="宋体" w:hAnsi="宋体" w:eastAsia="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shd w:val="clear"/>
            <w:noWrap w:val="0"/>
            <w:vAlign w:val="center"/>
          </w:tcPr>
          <w:p w14:paraId="78A2EC55">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语音提示：全程语音提示，指导患者自主检测</w:t>
            </w:r>
          </w:p>
        </w:tc>
        <w:tc>
          <w:tcPr>
            <w:tcW w:w="1109" w:type="dxa"/>
            <w:tcBorders>
              <w:top w:val="single" w:color="auto" w:sz="6" w:space="0"/>
              <w:left w:val="single" w:color="auto" w:sz="6" w:space="0"/>
              <w:bottom w:val="nil"/>
              <w:right w:val="nil"/>
            </w:tcBorders>
            <w:shd w:val="clear"/>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3B3245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FF0000"/>
                <w:sz w:val="24"/>
                <w:szCs w:val="24"/>
                <w:lang w:val="en-US" w:eastAsia="zh-CN"/>
              </w:rPr>
              <w:t>▲</w:t>
            </w:r>
            <w:r>
              <w:rPr>
                <w:rFonts w:hint="eastAsia" w:ascii="宋体" w:hAnsi="宋体" w:eastAsia="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shd w:val="clear"/>
            <w:noWrap w:val="0"/>
            <w:vAlign w:val="center"/>
          </w:tcPr>
          <w:p w14:paraId="31069815">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测量方式：扫码模式、无码模式</w:t>
            </w:r>
          </w:p>
        </w:tc>
        <w:tc>
          <w:tcPr>
            <w:tcW w:w="1109" w:type="dxa"/>
            <w:tcBorders>
              <w:top w:val="single" w:color="auto" w:sz="6" w:space="0"/>
              <w:left w:val="single" w:color="auto" w:sz="6" w:space="0"/>
              <w:bottom w:val="nil"/>
              <w:right w:val="nil"/>
            </w:tcBorders>
            <w:shd w:val="clear"/>
            <w:noWrap w:val="0"/>
            <w:vAlign w:val="center"/>
          </w:tcPr>
          <w:p w14:paraId="7F06A14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C478AB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shd w:val="clear"/>
            <w:noWrap w:val="0"/>
            <w:vAlign w:val="center"/>
          </w:tcPr>
          <w:p w14:paraId="14D66A74">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测量模式：人眼识别定位系统，全自动捕捉、全自动定位、全自动对焦、全自动调节下颚托</w:t>
            </w:r>
          </w:p>
        </w:tc>
        <w:tc>
          <w:tcPr>
            <w:tcW w:w="1109" w:type="dxa"/>
            <w:tcBorders>
              <w:top w:val="single" w:color="auto" w:sz="6" w:space="0"/>
              <w:left w:val="single" w:color="auto" w:sz="6" w:space="0"/>
              <w:bottom w:val="nil"/>
              <w:right w:val="nil"/>
            </w:tcBorders>
            <w:shd w:val="clear"/>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2.5</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5C6590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shd w:val="clear"/>
            <w:noWrap w:val="0"/>
            <w:vAlign w:val="center"/>
          </w:tcPr>
          <w:p w14:paraId="254EE882">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数据存储：验光仪内置数据本地存储功能，可缓存检测数据，数据储存量5G以上</w:t>
            </w:r>
          </w:p>
        </w:tc>
        <w:tc>
          <w:tcPr>
            <w:tcW w:w="1109" w:type="dxa"/>
            <w:tcBorders>
              <w:top w:val="single" w:color="auto" w:sz="6" w:space="0"/>
              <w:left w:val="single" w:color="auto" w:sz="6" w:space="0"/>
              <w:bottom w:val="nil"/>
              <w:right w:val="nil"/>
            </w:tcBorders>
            <w:shd w:val="clear"/>
            <w:noWrap w:val="0"/>
            <w:vAlign w:val="center"/>
          </w:tcPr>
          <w:p w14:paraId="14B21C4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2.5</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D285BA5">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shd w:val="clear"/>
            <w:noWrap w:val="0"/>
            <w:vAlign w:val="center"/>
          </w:tcPr>
          <w:p w14:paraId="7B923E82">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球镜：-30.00D至+25.00D (增量为0.12/0.25D)</w:t>
            </w:r>
          </w:p>
        </w:tc>
        <w:tc>
          <w:tcPr>
            <w:tcW w:w="1109" w:type="dxa"/>
            <w:tcBorders>
              <w:top w:val="single" w:color="auto" w:sz="6" w:space="0"/>
              <w:left w:val="single" w:color="auto" w:sz="6" w:space="0"/>
              <w:bottom w:val="nil"/>
              <w:right w:val="nil"/>
            </w:tcBorders>
            <w:shd w:val="clear"/>
            <w:noWrap w:val="0"/>
            <w:vAlign w:val="center"/>
          </w:tcPr>
          <w:p w14:paraId="5C47029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2.5</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56A4647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9</w:t>
            </w:r>
          </w:p>
        </w:tc>
        <w:tc>
          <w:tcPr>
            <w:tcW w:w="6648" w:type="dxa"/>
            <w:tcBorders>
              <w:top w:val="single" w:color="auto" w:sz="6" w:space="0"/>
              <w:left w:val="single" w:color="auto" w:sz="6" w:space="0"/>
              <w:bottom w:val="nil"/>
              <w:right w:val="nil"/>
            </w:tcBorders>
            <w:shd w:val="clear"/>
            <w:noWrap w:val="0"/>
            <w:vAlign w:val="center"/>
          </w:tcPr>
          <w:p w14:paraId="737382B7">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柱镜：0.00D至12.00D (增量为0.12D/0.25D)</w:t>
            </w:r>
          </w:p>
        </w:tc>
        <w:tc>
          <w:tcPr>
            <w:tcW w:w="1109" w:type="dxa"/>
            <w:tcBorders>
              <w:top w:val="single" w:color="auto" w:sz="6" w:space="0"/>
              <w:left w:val="single" w:color="auto" w:sz="6" w:space="0"/>
              <w:bottom w:val="nil"/>
              <w:right w:val="nil"/>
            </w:tcBorders>
            <w:shd w:val="clear"/>
            <w:noWrap w:val="0"/>
            <w:vAlign w:val="center"/>
          </w:tcPr>
          <w:p w14:paraId="64FC5F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2.5</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5C9D3C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10</w:t>
            </w:r>
          </w:p>
        </w:tc>
        <w:tc>
          <w:tcPr>
            <w:tcW w:w="6648" w:type="dxa"/>
            <w:tcBorders>
              <w:top w:val="single" w:color="auto" w:sz="6" w:space="0"/>
              <w:left w:val="single" w:color="auto" w:sz="6" w:space="0"/>
              <w:bottom w:val="nil"/>
              <w:right w:val="nil"/>
            </w:tcBorders>
            <w:shd w:val="clear"/>
            <w:noWrap w:val="0"/>
            <w:vAlign w:val="center"/>
          </w:tcPr>
          <w:p w14:paraId="278E06E0">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轴位：0至180°(1增量)</w:t>
            </w:r>
          </w:p>
        </w:tc>
        <w:tc>
          <w:tcPr>
            <w:tcW w:w="1109" w:type="dxa"/>
            <w:tcBorders>
              <w:top w:val="single" w:color="auto" w:sz="6" w:space="0"/>
              <w:left w:val="single" w:color="auto" w:sz="6" w:space="0"/>
              <w:bottom w:val="nil"/>
              <w:right w:val="nil"/>
            </w:tcBorders>
            <w:shd w:val="clear"/>
            <w:noWrap w:val="0"/>
            <w:vAlign w:val="center"/>
          </w:tcPr>
          <w:p w14:paraId="13A645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2.5</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6C8111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11</w:t>
            </w:r>
          </w:p>
        </w:tc>
        <w:tc>
          <w:tcPr>
            <w:tcW w:w="6648" w:type="dxa"/>
            <w:tcBorders>
              <w:top w:val="single" w:color="auto" w:sz="6" w:space="0"/>
              <w:left w:val="single" w:color="auto" w:sz="6" w:space="0"/>
              <w:bottom w:val="nil"/>
              <w:right w:val="nil"/>
            </w:tcBorders>
            <w:shd w:val="clear"/>
            <w:noWrap w:val="0"/>
            <w:vAlign w:val="center"/>
          </w:tcPr>
          <w:p w14:paraId="11FE3807">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角膜曲率半径：5.0～13.0mm（增量为0.02mm）</w:t>
            </w:r>
          </w:p>
        </w:tc>
        <w:tc>
          <w:tcPr>
            <w:tcW w:w="1109" w:type="dxa"/>
            <w:tcBorders>
              <w:top w:val="single" w:color="auto" w:sz="6" w:space="0"/>
              <w:left w:val="single" w:color="auto" w:sz="6" w:space="0"/>
              <w:bottom w:val="nil"/>
              <w:right w:val="nil"/>
            </w:tcBorders>
            <w:shd w:val="clear"/>
            <w:noWrap w:val="0"/>
            <w:vAlign w:val="center"/>
          </w:tcPr>
          <w:p w14:paraId="6AE42D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2.5</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5C7FC6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12</w:t>
            </w:r>
          </w:p>
        </w:tc>
        <w:tc>
          <w:tcPr>
            <w:tcW w:w="6648" w:type="dxa"/>
            <w:tcBorders>
              <w:top w:val="single" w:color="auto" w:sz="6" w:space="0"/>
              <w:left w:val="single" w:color="auto" w:sz="6" w:space="0"/>
              <w:bottom w:val="nil"/>
              <w:right w:val="nil"/>
            </w:tcBorders>
            <w:shd w:val="clear"/>
            <w:noWrap w:val="0"/>
            <w:vAlign w:val="center"/>
          </w:tcPr>
          <w:p w14:paraId="4F549E1A">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角膜散光轴位：0至180°(1增量)</w:t>
            </w:r>
          </w:p>
        </w:tc>
        <w:tc>
          <w:tcPr>
            <w:tcW w:w="1109" w:type="dxa"/>
            <w:tcBorders>
              <w:top w:val="single" w:color="auto" w:sz="6" w:space="0"/>
              <w:left w:val="single" w:color="auto" w:sz="6" w:space="0"/>
              <w:bottom w:val="nil"/>
              <w:right w:val="nil"/>
            </w:tcBorders>
            <w:shd w:val="clear"/>
            <w:noWrap w:val="0"/>
            <w:vAlign w:val="center"/>
          </w:tcPr>
          <w:p w14:paraId="1799EC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2.5</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46700F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13</w:t>
            </w:r>
          </w:p>
        </w:tc>
        <w:tc>
          <w:tcPr>
            <w:tcW w:w="6648" w:type="dxa"/>
            <w:tcBorders>
              <w:top w:val="single" w:color="auto" w:sz="6" w:space="0"/>
              <w:left w:val="single" w:color="auto" w:sz="6" w:space="0"/>
              <w:bottom w:val="nil"/>
              <w:right w:val="nil"/>
            </w:tcBorders>
            <w:shd w:val="clear"/>
            <w:noWrap w:val="0"/>
            <w:vAlign w:val="center"/>
          </w:tcPr>
          <w:p w14:paraId="052BC92D">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顶点距离标记：12mm，13.5mm，15mm</w:t>
            </w:r>
          </w:p>
        </w:tc>
        <w:tc>
          <w:tcPr>
            <w:tcW w:w="1109" w:type="dxa"/>
            <w:tcBorders>
              <w:top w:val="single" w:color="auto" w:sz="6" w:space="0"/>
              <w:left w:val="single" w:color="auto" w:sz="6" w:space="0"/>
              <w:bottom w:val="nil"/>
              <w:right w:val="nil"/>
            </w:tcBorders>
            <w:shd w:val="clear"/>
            <w:noWrap w:val="0"/>
            <w:vAlign w:val="center"/>
          </w:tcPr>
          <w:p w14:paraId="03E656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2.5</w:t>
            </w:r>
          </w:p>
        </w:tc>
      </w:tr>
      <w:tr w14:paraId="15EEEF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575268E">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2C9B42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14</w:t>
            </w:r>
          </w:p>
        </w:tc>
        <w:tc>
          <w:tcPr>
            <w:tcW w:w="6648" w:type="dxa"/>
            <w:tcBorders>
              <w:top w:val="single" w:color="auto" w:sz="6" w:space="0"/>
              <w:left w:val="single" w:color="auto" w:sz="6" w:space="0"/>
              <w:bottom w:val="nil"/>
              <w:right w:val="nil"/>
            </w:tcBorders>
            <w:shd w:val="clear"/>
            <w:noWrap w:val="0"/>
            <w:vAlign w:val="center"/>
          </w:tcPr>
          <w:p w14:paraId="1E65D729">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机头行程范围：左右±42.5mm，前后±18mm，上下±20mm</w:t>
            </w:r>
          </w:p>
        </w:tc>
        <w:tc>
          <w:tcPr>
            <w:tcW w:w="1109" w:type="dxa"/>
            <w:tcBorders>
              <w:top w:val="single" w:color="auto" w:sz="6" w:space="0"/>
              <w:left w:val="single" w:color="auto" w:sz="6" w:space="0"/>
              <w:bottom w:val="nil"/>
              <w:right w:val="nil"/>
            </w:tcBorders>
            <w:shd w:val="clear"/>
            <w:noWrap w:val="0"/>
            <w:vAlign w:val="center"/>
          </w:tcPr>
          <w:p w14:paraId="66D07A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2.5</w:t>
            </w:r>
          </w:p>
        </w:tc>
      </w:tr>
      <w:tr w14:paraId="1DD0E97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74B02E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C72209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15</w:t>
            </w:r>
          </w:p>
        </w:tc>
        <w:tc>
          <w:tcPr>
            <w:tcW w:w="6648" w:type="dxa"/>
            <w:tcBorders>
              <w:top w:val="single" w:color="auto" w:sz="6" w:space="0"/>
              <w:left w:val="single" w:color="auto" w:sz="6" w:space="0"/>
              <w:bottom w:val="nil"/>
              <w:right w:val="nil"/>
            </w:tcBorders>
            <w:shd w:val="clear"/>
            <w:noWrap w:val="0"/>
            <w:vAlign w:val="center"/>
          </w:tcPr>
          <w:p w14:paraId="34345589">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sz w:val="24"/>
                <w:szCs w:val="24"/>
                <w:lang w:val="en-US" w:eastAsia="zh-CN"/>
              </w:rPr>
              <w:t>额托行程范围：±15</w:t>
            </w:r>
            <w:r>
              <w:rPr>
                <w:rFonts w:hint="default" w:ascii="宋体" w:hAnsi="宋体" w:eastAsia="宋体" w:cs="宋体"/>
                <w:b w:val="0"/>
                <w:bCs w:val="0"/>
                <w:sz w:val="24"/>
                <w:szCs w:val="24"/>
                <w:lang w:val="en-US" w:eastAsia="zh-CN"/>
              </w:rPr>
              <w:t>cm</w:t>
            </w:r>
          </w:p>
        </w:tc>
        <w:tc>
          <w:tcPr>
            <w:tcW w:w="1109" w:type="dxa"/>
            <w:tcBorders>
              <w:top w:val="single" w:color="auto" w:sz="6" w:space="0"/>
              <w:left w:val="single" w:color="auto" w:sz="6" w:space="0"/>
              <w:bottom w:val="nil"/>
              <w:right w:val="nil"/>
            </w:tcBorders>
            <w:shd w:val="clear"/>
            <w:noWrap w:val="0"/>
            <w:vAlign w:val="center"/>
          </w:tcPr>
          <w:p w14:paraId="5A50A7C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2.5</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5"/>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74"/>
              <w:gridCol w:w="37"/>
              <w:gridCol w:w="23"/>
              <w:gridCol w:w="1161"/>
              <w:gridCol w:w="258"/>
              <w:gridCol w:w="6472"/>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18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73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b w:val="0"/>
                      <w:bCs w:val="0"/>
                      <w:kern w:val="0"/>
                      <w:sz w:val="24"/>
                    </w:rPr>
                  </w:pPr>
                  <w:r>
                    <w:rPr>
                      <w:rFonts w:ascii="宋体" w:hAnsi="宋体" w:cs="宋体"/>
                      <w:b/>
                      <w:bCs/>
                      <w:kern w:val="0"/>
                      <w:sz w:val="24"/>
                      <w:szCs w:val="24"/>
                    </w:rPr>
                    <w:t>1</w:t>
                  </w:r>
                </w:p>
              </w:tc>
              <w:tc>
                <w:tcPr>
                  <w:tcW w:w="14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免费保修期</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8"/>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b w:val="0"/>
                      <w:bCs w:val="0"/>
                      <w:kern w:val="0"/>
                      <w:sz w:val="24"/>
                    </w:rPr>
                  </w:pPr>
                  <w:r>
                    <w:rPr>
                      <w:rFonts w:ascii="宋体" w:hAnsi="宋体" w:cs="宋体"/>
                      <w:b/>
                      <w:bCs/>
                      <w:kern w:val="0"/>
                      <w:sz w:val="24"/>
                      <w:szCs w:val="24"/>
                    </w:rPr>
                    <w:t>2</w:t>
                  </w:r>
                </w:p>
              </w:tc>
              <w:tc>
                <w:tcPr>
                  <w:tcW w:w="1419"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ascii="宋体" w:hAnsi="宋体" w:cs="宋体"/>
                      <w:kern w:val="0"/>
                      <w:sz w:val="24"/>
                      <w:szCs w:val="24"/>
                    </w:rPr>
                    <w:t>维修响应及故障解决时间</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hint="eastAsia" w:ascii="宋体" w:hAnsi="宋体" w:eastAsia="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宋体" w:hAnsi="宋体" w:eastAsia="宋体" w:cs="宋体"/>
                      <w:color w:val="auto"/>
                      <w:kern w:val="0"/>
                      <w:szCs w:val="21"/>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ascii="宋体" w:hAnsi="宋体" w:eastAsia="宋体" w:cs="宋体"/>
                      <w:color w:val="auto"/>
                      <w:kern w:val="0"/>
                      <w:szCs w:val="21"/>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ascii="宋体" w:hAnsi="宋体" w:eastAsia="宋体" w:cs="宋体"/>
                      <w:color w:val="auto"/>
                      <w:kern w:val="0"/>
                      <w:szCs w:val="21"/>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34" w:type="dxa"/>
                  <w:gridSpan w:val="3"/>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b w:val="0"/>
                      <w:bCs w:val="0"/>
                      <w:kern w:val="0"/>
                      <w:sz w:val="24"/>
                    </w:rPr>
                  </w:pPr>
                  <w:r>
                    <w:rPr>
                      <w:rFonts w:ascii="宋体" w:hAnsi="宋体" w:cs="宋体"/>
                      <w:kern w:val="0"/>
                      <w:sz w:val="24"/>
                      <w:szCs w:val="24"/>
                    </w:rPr>
                    <w:t>3</w:t>
                  </w:r>
                </w:p>
              </w:tc>
              <w:tc>
                <w:tcPr>
                  <w:tcW w:w="1419" w:type="dxa"/>
                  <w:gridSpan w:val="2"/>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hint="eastAsia" w:ascii="宋体" w:hAnsi="宋体" w:cs="宋体"/>
                      <w:kern w:val="0"/>
                      <w:sz w:val="24"/>
                      <w:szCs w:val="24"/>
                    </w:rPr>
                    <w:t>软件升级及服务</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ascii="宋体" w:hAnsi="宋体" w:eastAsia="宋体" w:cs="宋体"/>
                      <w:color w:val="auto"/>
                      <w:kern w:val="0"/>
                      <w:szCs w:val="21"/>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ascii="Times New Roman" w:hAnsi="Times New Roman" w:eastAsia="宋体" w:cs="Times New Roman"/>
                      <w:lang w:val="en-US" w:eastAsia="zh-CN"/>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b w:val="0"/>
                      <w:bCs w:val="0"/>
                      <w:kern w:val="0"/>
                      <w:sz w:val="24"/>
                    </w:rPr>
                  </w:pPr>
                  <w:r>
                    <w:rPr>
                      <w:rFonts w:ascii="宋体" w:hAnsi="宋体" w:cs="宋体"/>
                      <w:kern w:val="0"/>
                      <w:sz w:val="24"/>
                      <w:szCs w:val="24"/>
                    </w:rPr>
                    <w:t>4</w:t>
                  </w:r>
                </w:p>
              </w:tc>
              <w:tc>
                <w:tcPr>
                  <w:tcW w:w="14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相关培训</w:t>
                  </w:r>
                </w:p>
              </w:tc>
              <w:tc>
                <w:tcPr>
                  <w:tcW w:w="6472"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b w:val="0"/>
                      <w:bCs w:val="0"/>
                      <w:kern w:val="0"/>
                      <w:sz w:val="24"/>
                    </w:rPr>
                  </w:pPr>
                  <w:r>
                    <w:rPr>
                      <w:rFonts w:ascii="宋体" w:hAnsi="宋体" w:cs="宋体"/>
                      <w:kern w:val="0"/>
                      <w:sz w:val="24"/>
                      <w:szCs w:val="24"/>
                    </w:rPr>
                    <w:t>5</w:t>
                  </w:r>
                </w:p>
              </w:tc>
              <w:tc>
                <w:tcPr>
                  <w:tcW w:w="14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开机率及赔偿</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b w:val="0"/>
                      <w:bCs w:val="0"/>
                      <w:kern w:val="0"/>
                      <w:sz w:val="24"/>
                      <w:szCs w:val="24"/>
                    </w:rPr>
                  </w:pPr>
                  <w:r>
                    <w:rPr>
                      <w:rFonts w:ascii="宋体" w:hAnsi="宋体" w:cs="宋体"/>
                      <w:b/>
                      <w:bCs/>
                      <w:color w:val="000000"/>
                      <w:kern w:val="0"/>
                      <w:sz w:val="24"/>
                      <w:szCs w:val="24"/>
                    </w:rPr>
                    <w:t>（二）免费保修期外售后服务要求</w:t>
                  </w:r>
                  <w:r>
                    <w:rPr>
                      <w:rFonts w:hint="eastAsia" w:ascii="宋体" w:hAnsi="宋体" w:cs="宋体"/>
                      <w:b/>
                      <w:bCs/>
                      <w:color w:val="FF0000"/>
                      <w:kern w:val="0"/>
                      <w:sz w:val="24"/>
                      <w:szCs w:val="24"/>
                    </w:rPr>
                    <w:t>（根据货物种类不同自行改写）</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b w:val="0"/>
                      <w:bCs w:val="0"/>
                      <w:kern w:val="0"/>
                      <w:sz w:val="24"/>
                    </w:rPr>
                  </w:pPr>
                  <w:r>
                    <w:rPr>
                      <w:rFonts w:ascii="宋体" w:hAnsi="宋体" w:cs="宋体"/>
                      <w:b/>
                      <w:bCs/>
                      <w:kern w:val="0"/>
                      <w:sz w:val="24"/>
                      <w:szCs w:val="24"/>
                    </w:rPr>
                    <w:t>1</w:t>
                  </w:r>
                </w:p>
              </w:tc>
              <w:tc>
                <w:tcPr>
                  <w:tcW w:w="1479" w:type="dxa"/>
                  <w:gridSpan w:val="4"/>
                  <w:vMerge w:val="restart"/>
                  <w:tcBorders>
                    <w:top w:val="nil"/>
                    <w:left w:val="single" w:color="auto" w:sz="8" w:space="0"/>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b w:val="0"/>
                      <w:bCs w:val="0"/>
                      <w:kern w:val="0"/>
                      <w:sz w:val="24"/>
                    </w:rPr>
                  </w:pPr>
                  <w:r>
                    <w:rPr>
                      <w:rFonts w:hint="eastAsia" w:ascii="宋体" w:hAnsi="宋体" w:cs="宋体"/>
                      <w:b w:val="0"/>
                      <w:bCs w:val="0"/>
                      <w:color w:val="auto"/>
                      <w:kern w:val="0"/>
                      <w:szCs w:val="21"/>
                    </w:rPr>
                    <w:t>维修零配件、消耗品和延续保修合同的报价</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Times New Roman" w:hAnsi="Times New Roman" w:eastAsia="宋体" w:cs="Times New Roman"/>
                      <w:lang w:eastAsia="zh-CN"/>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3ADDD80B">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192C7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3287F470">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F5BAF5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4F56B9C6">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53E40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7E9BB700">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849B45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8EA2DF9">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b w:val="0"/>
                      <w:bCs w:val="0"/>
                      <w:kern w:val="0"/>
                      <w:sz w:val="24"/>
                      <w:szCs w:val="24"/>
                    </w:rPr>
                  </w:pPr>
                  <w:r>
                    <w:rPr>
                      <w:rFonts w:ascii="宋体" w:hAnsi="宋体" w:cs="宋体"/>
                      <w:b/>
                      <w:bCs/>
                      <w:color w:val="000000"/>
                      <w:kern w:val="0"/>
                      <w:sz w:val="24"/>
                      <w:szCs w:val="24"/>
                    </w:rPr>
                    <w:t>（三）其他商务要求</w:t>
                  </w:r>
                  <w:r>
                    <w:rPr>
                      <w:rFonts w:hint="eastAsia" w:ascii="宋体" w:hAnsi="宋体" w:cs="宋体"/>
                      <w:b/>
                      <w:bCs/>
                      <w:color w:val="FF0000"/>
                      <w:kern w:val="0"/>
                      <w:sz w:val="24"/>
                      <w:szCs w:val="24"/>
                    </w:rPr>
                    <w:t>（根据货物种类不同自行改写）</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34" w:type="dxa"/>
                  <w:gridSpan w:val="3"/>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b w:val="0"/>
                      <w:bCs w:val="0"/>
                      <w:kern w:val="0"/>
                      <w:sz w:val="24"/>
                      <w:szCs w:val="24"/>
                    </w:rPr>
                  </w:pPr>
                  <w:r>
                    <w:rPr>
                      <w:rFonts w:ascii="宋体" w:hAnsi="宋体" w:cs="宋体"/>
                      <w:kern w:val="0"/>
                      <w:sz w:val="24"/>
                      <w:szCs w:val="24"/>
                    </w:rPr>
                    <w:t>1</w:t>
                  </w:r>
                </w:p>
              </w:tc>
              <w:tc>
                <w:tcPr>
                  <w:tcW w:w="1419" w:type="dxa"/>
                  <w:gridSpan w:val="2"/>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sz w:val="24"/>
                      <w:szCs w:val="24"/>
                      <w:lang w:eastAsia="zh-CN"/>
                    </w:rPr>
                    <w:t>交货要求</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34" w:type="dxa"/>
                  <w:gridSpan w:val="3"/>
                  <w:vMerge w:val="continue"/>
                  <w:tcBorders>
                    <w:left w:val="single" w:color="auto" w:sz="8" w:space="0"/>
                    <w:right w:val="single" w:color="auto" w:sz="8" w:space="0"/>
                  </w:tcBorders>
                  <w:noWrap w:val="0"/>
                  <w:vAlign w:val="center"/>
                </w:tcPr>
                <w:p w14:paraId="453719D4">
                  <w:pPr>
                    <w:widowControl/>
                    <w:jc w:val="left"/>
                    <w:rPr>
                      <w:rFonts w:ascii="宋体" w:hAnsi="宋体" w:cs="宋体"/>
                      <w:b w:val="0"/>
                      <w:bCs w:val="0"/>
                      <w:kern w:val="0"/>
                      <w:sz w:val="24"/>
                      <w:szCs w:val="24"/>
                    </w:rPr>
                  </w:pPr>
                </w:p>
              </w:tc>
              <w:tc>
                <w:tcPr>
                  <w:tcW w:w="1419" w:type="dxa"/>
                  <w:gridSpan w:val="2"/>
                  <w:vMerge w:val="continue"/>
                  <w:tcBorders>
                    <w:left w:val="nil"/>
                    <w:right w:val="single" w:color="auto" w:sz="8" w:space="0"/>
                  </w:tcBorders>
                  <w:noWrap w:val="0"/>
                  <w:vAlign w:val="center"/>
                </w:tcPr>
                <w:p w14:paraId="73061C55">
                  <w:pPr>
                    <w:widowControl/>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34" w:type="dxa"/>
                  <w:gridSpan w:val="3"/>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b w:val="0"/>
                      <w:bCs w:val="0"/>
                      <w:kern w:val="0"/>
                      <w:sz w:val="24"/>
                      <w:szCs w:val="24"/>
                    </w:rPr>
                  </w:pPr>
                </w:p>
              </w:tc>
              <w:tc>
                <w:tcPr>
                  <w:tcW w:w="1419" w:type="dxa"/>
                  <w:gridSpan w:val="2"/>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b w:val="0"/>
                      <w:bCs w:val="0"/>
                      <w:kern w:val="0"/>
                      <w:sz w:val="24"/>
                      <w:szCs w:val="24"/>
                    </w:rPr>
                  </w:pPr>
                </w:p>
              </w:tc>
              <w:tc>
                <w:tcPr>
                  <w:tcW w:w="6472"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2</w:t>
                  </w:r>
                </w:p>
              </w:tc>
              <w:tc>
                <w:tcPr>
                  <w:tcW w:w="1419"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color w:val="auto"/>
                      <w:kern w:val="0"/>
                      <w:szCs w:val="21"/>
                    </w:rPr>
                    <w:t>运输、安装和验收</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3</w:t>
                  </w:r>
                </w:p>
              </w:tc>
              <w:tc>
                <w:tcPr>
                  <w:tcW w:w="141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color w:val="auto"/>
                      <w:kern w:val="0"/>
                      <w:szCs w:val="21"/>
                    </w:rPr>
                    <w:t>培训</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4</w:t>
                  </w:r>
                </w:p>
              </w:tc>
              <w:tc>
                <w:tcPr>
                  <w:tcW w:w="1419"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color w:val="auto"/>
                      <w:kern w:val="0"/>
                      <w:szCs w:val="21"/>
                    </w:rPr>
                    <w:t>知识产权</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color w:val="auto"/>
                      <w:kern w:val="0"/>
                      <w:szCs w:val="21"/>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color w:val="auto"/>
                      <w:kern w:val="0"/>
                      <w:szCs w:val="21"/>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b w:val="0"/>
                      <w:bCs w:val="0"/>
                      <w:kern w:val="0"/>
                      <w:sz w:val="24"/>
                      <w:szCs w:val="24"/>
                      <w:lang w:eastAsia="zh-CN"/>
                    </w:rPr>
                  </w:pPr>
                  <w:r>
                    <w:rPr>
                      <w:rFonts w:hint="eastAsia" w:ascii="宋体" w:hAnsi="宋体" w:cs="宋体"/>
                      <w:kern w:val="0"/>
                      <w:sz w:val="24"/>
                      <w:szCs w:val="24"/>
                      <w:lang w:val="en-US" w:eastAsia="zh-CN"/>
                    </w:rPr>
                    <w:t>5</w:t>
                  </w:r>
                </w:p>
              </w:tc>
              <w:tc>
                <w:tcPr>
                  <w:tcW w:w="1419" w:type="dxa"/>
                  <w:gridSpan w:val="2"/>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b w:val="0"/>
                      <w:bCs w:val="0"/>
                      <w:kern w:val="0"/>
                      <w:sz w:val="24"/>
                      <w:szCs w:val="24"/>
                    </w:rPr>
                  </w:pPr>
                  <w:r>
                    <w:rPr>
                      <w:rFonts w:ascii="宋体" w:hAnsi="宋体" w:cs="宋体"/>
                      <w:b w:val="0"/>
                      <w:bCs w:val="0"/>
                      <w:kern w:val="0"/>
                      <w:sz w:val="24"/>
                      <w:szCs w:val="24"/>
                    </w:rPr>
                    <w:t>付款</w:t>
                  </w:r>
                </w:p>
              </w:tc>
              <w:tc>
                <w:tcPr>
                  <w:tcW w:w="647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color w:val="auto"/>
                      <w:kern w:val="0"/>
                      <w:szCs w:val="21"/>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b w:val="0"/>
                      <w:bCs w:val="0"/>
                      <w:kern w:val="0"/>
                      <w:sz w:val="24"/>
                      <w:szCs w:val="24"/>
                      <w:lang w:val="en-US"/>
                    </w:rPr>
                  </w:pPr>
                </w:p>
              </w:tc>
              <w:tc>
                <w:tcPr>
                  <w:tcW w:w="1419" w:type="dxa"/>
                  <w:gridSpan w:val="2"/>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240" w:lineRule="auto"/>
                    <w:jc w:val="left"/>
                    <w:rPr>
                      <w:rFonts w:hint="default" w:ascii="宋体" w:hAnsi="宋体" w:cs="宋体"/>
                      <w:color w:val="auto"/>
                      <w:kern w:val="0"/>
                      <w:szCs w:val="21"/>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b w:val="0"/>
                      <w:bCs w:val="0"/>
                      <w:kern w:val="0"/>
                      <w:sz w:val="24"/>
                      <w:szCs w:val="24"/>
                      <w:lang w:eastAsia="zh-CN"/>
                    </w:rPr>
                  </w:pPr>
                </w:p>
              </w:tc>
              <w:tc>
                <w:tcPr>
                  <w:tcW w:w="1419" w:type="dxa"/>
                  <w:gridSpan w:val="2"/>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hint="eastAsia" w:ascii="宋体" w:hAnsi="宋体" w:cs="宋体"/>
                      <w:color w:val="auto"/>
                      <w:kern w:val="0"/>
                      <w:szCs w:val="21"/>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34" w:type="dxa"/>
                  <w:gridSpan w:val="3"/>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6</w:t>
                  </w:r>
                </w:p>
              </w:tc>
              <w:tc>
                <w:tcPr>
                  <w:tcW w:w="1419"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b w:val="0"/>
                      <w:bCs w:val="0"/>
                      <w:kern w:val="0"/>
                      <w:sz w:val="24"/>
                      <w:szCs w:val="24"/>
                    </w:rPr>
                  </w:pPr>
                  <w:r>
                    <w:rPr>
                      <w:rFonts w:hint="eastAsia" w:ascii="宋体" w:hAnsi="宋体" w:cs="宋体"/>
                      <w:b w:val="0"/>
                      <w:bCs w:val="0"/>
                      <w:color w:val="auto"/>
                      <w:kern w:val="0"/>
                      <w:szCs w:val="21"/>
                    </w:rPr>
                    <w:t>违约责任</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hint="eastAsia" w:ascii="宋体" w:hAnsi="宋体" w:cs="宋体"/>
                      <w:color w:val="auto"/>
                      <w:kern w:val="0"/>
                      <w:szCs w:val="21"/>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34" w:type="dxa"/>
                  <w:gridSpan w:val="3"/>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419"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419"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34"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lang w:val="en-US" w:eastAsia="zh-CN"/>
                    </w:rPr>
                    <w:t>7</w:t>
                  </w:r>
                </w:p>
              </w:tc>
              <w:tc>
                <w:tcPr>
                  <w:tcW w:w="141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hint="eastAsia" w:ascii="宋体" w:hAnsi="宋体" w:eastAsia="宋体" w:cs="宋体"/>
                      <w:b w:val="0"/>
                      <w:bCs w:val="0"/>
                      <w:kern w:val="0"/>
                      <w:sz w:val="24"/>
                      <w:szCs w:val="24"/>
                      <w:lang w:val="en-US" w:eastAsia="zh-CN"/>
                    </w:rPr>
                  </w:pPr>
                  <w:r>
                    <w:rPr>
                      <w:rFonts w:hint="eastAsia" w:ascii="宋体" w:hAnsi="宋体" w:cs="宋体"/>
                      <w:b w:val="0"/>
                      <w:bCs w:val="0"/>
                      <w:color w:val="auto"/>
                      <w:kern w:val="0"/>
                      <w:szCs w:val="21"/>
                    </w:rPr>
                    <w:t>其他</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color w:val="auto"/>
                      <w:kern w:val="0"/>
                      <w:szCs w:val="21"/>
                    </w:rPr>
                    <w:t>7.1投标人应按其投标文件中的承诺，进行其他售后服务工作。</w:t>
                  </w:r>
                </w:p>
              </w:tc>
            </w:tr>
          </w:tbl>
          <w:p w14:paraId="4AA699D8">
            <w:pPr>
              <w:widowControl/>
              <w:jc w:val="left"/>
              <w:rPr>
                <w:rFonts w:ascii="宋体" w:hAnsi="宋体" w:cs="宋体"/>
                <w:kern w:val="0"/>
                <w:sz w:val="24"/>
                <w:szCs w:val="24"/>
              </w:rPr>
            </w:pPr>
            <w:bookmarkStart w:id="15" w:name="_GoBack"/>
            <w:bookmarkEnd w:id="15"/>
          </w:p>
        </w:tc>
      </w:tr>
    </w:tbl>
    <w:p w14:paraId="783FC23E">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313109540"/>
      <w:bookmarkStart w:id="13" w:name="_Toc201998022"/>
      <w:bookmarkStart w:id="14" w:name="_Toc201743194"/>
      <w:r>
        <w:rPr>
          <w:rFonts w:hint="eastAsia" w:asciiTheme="minorEastAsia" w:hAnsiTheme="minorEastAsia" w:eastAsiaTheme="minorEastAsia"/>
          <w:szCs w:val="24"/>
        </w:rPr>
        <w:t>具体技术要求表</w:t>
      </w:r>
    </w:p>
    <w:bookmarkEnd w:id="12"/>
    <w:bookmarkEnd w:id="13"/>
    <w:bookmarkEnd w:id="14"/>
    <w:tbl>
      <w:tblPr>
        <w:tblStyle w:val="15"/>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4878C05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6"/>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AF61AF"/>
    <w:multiLevelType w:val="singleLevel"/>
    <w:tmpl w:val="5AAF61AF"/>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1B41FB"/>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77B520C"/>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0F0D0C"/>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1073A2"/>
    <w:rsid w:val="3F6D6B69"/>
    <w:rsid w:val="3F844337"/>
    <w:rsid w:val="3FD3744D"/>
    <w:rsid w:val="3FEF7ADA"/>
    <w:rsid w:val="402D58E8"/>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754863"/>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5">
    <w:name w:val="List 3"/>
    <w:basedOn w:val="1"/>
    <w:qFormat/>
    <w:uiPriority w:val="0"/>
    <w:pPr>
      <w:widowControl w:val="0"/>
      <w:spacing w:before="0" w:after="0"/>
      <w:ind w:left="100" w:leftChars="400" w:right="0" w:hanging="200" w:hangingChars="200"/>
      <w:jc w:val="both"/>
    </w:pPr>
    <w:rPr>
      <w:rFonts w:ascii="Times New Roman" w:hAnsi="Times New Roman" w:eastAsia="宋体" w:cs="Times New Roman"/>
      <w:spacing w:val="0"/>
      <w:kern w:val="2"/>
      <w:sz w:val="21"/>
      <w:lang w:val="en-US" w:eastAsia="zh-CN" w:bidi="ar-SA"/>
    </w:rPr>
  </w:style>
  <w:style w:type="paragraph" w:styleId="6">
    <w:name w:val="annotation text"/>
    <w:basedOn w:val="1"/>
    <w:autoRedefine/>
    <w:unhideWhenUsed/>
    <w:qFormat/>
    <w:uiPriority w:val="99"/>
    <w:pPr>
      <w:jc w:val="left"/>
    </w:pPr>
  </w:style>
  <w:style w:type="paragraph" w:styleId="7">
    <w:name w:val="Body Text"/>
    <w:basedOn w:val="1"/>
    <w:autoRedefine/>
    <w:qFormat/>
    <w:uiPriority w:val="0"/>
    <w:pPr>
      <w:jc w:val="center"/>
    </w:pPr>
    <w:rPr>
      <w:rFonts w:ascii="宋体" w:hAnsi="宋体"/>
      <w:color w:val="FF0000"/>
      <w:szCs w:val="24"/>
    </w:rPr>
  </w:style>
  <w:style w:type="paragraph" w:styleId="8">
    <w:name w:val="Body Text Indent"/>
    <w:basedOn w:val="1"/>
    <w:autoRedefine/>
    <w:qFormat/>
    <w:uiPriority w:val="0"/>
    <w:pPr>
      <w:spacing w:line="360" w:lineRule="auto"/>
      <w:ind w:left="720" w:hanging="720" w:hangingChars="300"/>
    </w:pPr>
    <w:rPr>
      <w:sz w:val="24"/>
      <w:szCs w:val="20"/>
    </w:rPr>
  </w:style>
  <w:style w:type="paragraph" w:styleId="9">
    <w:name w:val="Plain Text"/>
    <w:basedOn w:val="1"/>
    <w:link w:val="23"/>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paragraph" w:styleId="14">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styleId="20">
    <w:name w:val="annotation reference"/>
    <w:autoRedefine/>
    <w:unhideWhenUsed/>
    <w:qFormat/>
    <w:uiPriority w:val="99"/>
    <w:rPr>
      <w:sz w:val="21"/>
      <w:szCs w:val="21"/>
    </w:rPr>
  </w:style>
  <w:style w:type="paragraph" w:customStyle="1" w:styleId="21">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2">
    <w:name w:val="标题 3 Char"/>
    <w:basedOn w:val="17"/>
    <w:link w:val="4"/>
    <w:autoRedefine/>
    <w:qFormat/>
    <w:uiPriority w:val="0"/>
    <w:rPr>
      <w:b/>
      <w:kern w:val="2"/>
      <w:sz w:val="24"/>
    </w:rPr>
  </w:style>
  <w:style w:type="character" w:customStyle="1" w:styleId="23">
    <w:name w:val="纯文本 Char"/>
    <w:basedOn w:val="17"/>
    <w:link w:val="9"/>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2"/>
    <w:autoRedefine/>
    <w:qFormat/>
    <w:uiPriority w:val="0"/>
    <w:rPr>
      <w:kern w:val="2"/>
      <w:sz w:val="18"/>
      <w:szCs w:val="18"/>
    </w:rPr>
  </w:style>
  <w:style w:type="character" w:customStyle="1" w:styleId="27">
    <w:name w:val="页脚 Char"/>
    <w:basedOn w:val="17"/>
    <w:link w:val="11"/>
    <w:autoRedefine/>
    <w:qFormat/>
    <w:uiPriority w:val="99"/>
    <w:rPr>
      <w:kern w:val="2"/>
      <w:sz w:val="18"/>
      <w:szCs w:val="18"/>
    </w:rPr>
  </w:style>
  <w:style w:type="character" w:customStyle="1" w:styleId="28">
    <w:name w:val="标题 2 Char"/>
    <w:basedOn w:val="17"/>
    <w:link w:val="3"/>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7"/>
    <w:link w:val="2"/>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3">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4">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5">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6">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7">
    <w:name w:val="font51"/>
    <w:basedOn w:val="17"/>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4943</Words>
  <Characters>5132</Characters>
  <Lines>48</Lines>
  <Paragraphs>13</Paragraphs>
  <TotalTime>1</TotalTime>
  <ScaleCrop>false</ScaleCrop>
  <LinksUpToDate>false</LinksUpToDate>
  <CharactersWithSpaces>6214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2025-06-18T02:06:28Z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60A193F6776B4C99AD21560A3E00443E_13</vt:lpwstr>
  </property>
  <property fmtid="{D5CDD505-2E9C-101B-9397-08002B2CF9AE}" pid="4" name="KSOTemplateDocerSaveRecord">
    <vt:lpwstr>eyJoZGlkIjoiMmYwOTdmZGI1ODcxNzY3NTA5ZGUxOGE4NmVjYWUxMDUiLCJ1c2VySWQiOiIzMTc3OTE5NzcifQ==</vt:lpwstr>
  </property>
</Properties>
</file>