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6D81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深圳市儿童医院设</w:t>
      </w:r>
      <w:bookmarkStart w:id="0" w:name="_GoBack"/>
      <w:bookmarkEnd w:id="0"/>
      <w:r>
        <w:rPr>
          <w:rFonts w:hint="eastAsia"/>
        </w:rPr>
        <w:t>备采购参数申请表</w:t>
      </w:r>
    </w:p>
    <w:tbl>
      <w:tblPr>
        <w:tblStyle w:val="8"/>
        <w:tblpPr w:leftFromText="180" w:rightFromText="180" w:vertAnchor="text" w:horzAnchor="page" w:tblpX="1449" w:tblpY="6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547"/>
        <w:gridCol w:w="1807"/>
        <w:gridCol w:w="1137"/>
        <w:gridCol w:w="10039"/>
      </w:tblGrid>
      <w:tr w14:paraId="3BD6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7" w:type="pct"/>
            <w:vAlign w:val="center"/>
          </w:tcPr>
          <w:p w14:paraId="4BB49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科室</w:t>
            </w:r>
          </w:p>
        </w:tc>
        <w:tc>
          <w:tcPr>
            <w:tcW w:w="193" w:type="pct"/>
            <w:vAlign w:val="center"/>
          </w:tcPr>
          <w:p w14:paraId="298BF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37" w:type="pct"/>
            <w:vAlign w:val="center"/>
          </w:tcPr>
          <w:p w14:paraId="0BBAE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401" w:type="pct"/>
            <w:vAlign w:val="center"/>
          </w:tcPr>
          <w:p w14:paraId="3DF12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是否医疗设备</w:t>
            </w:r>
          </w:p>
        </w:tc>
        <w:tc>
          <w:tcPr>
            <w:tcW w:w="3540" w:type="pct"/>
            <w:vAlign w:val="center"/>
          </w:tcPr>
          <w:p w14:paraId="2E37D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技术要求</w:t>
            </w:r>
          </w:p>
        </w:tc>
      </w:tr>
      <w:tr w14:paraId="1DDE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27" w:type="pct"/>
            <w:vMerge w:val="restart"/>
            <w:vAlign w:val="center"/>
          </w:tcPr>
          <w:p w14:paraId="657E4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国际医疗部健康管理中心</w:t>
            </w:r>
          </w:p>
        </w:tc>
        <w:tc>
          <w:tcPr>
            <w:tcW w:w="193" w:type="pct"/>
            <w:vAlign w:val="center"/>
          </w:tcPr>
          <w:p w14:paraId="04596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431B2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卧式婴儿秤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CAC3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49705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最大称重20kg；特大尺寸和符合人体工程学设计的托盘；检定分度值：5g&lt;7.5kg&gt;10g；无线传输技术；功能：除皮，喂奶量测量，保持，自动保持，量程转换，减震可调节，自动关机；选配：头脚部定位板、量高；准确度等级：⑩</w:t>
            </w:r>
          </w:p>
        </w:tc>
      </w:tr>
      <w:tr w14:paraId="23160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vMerge w:val="continue"/>
            <w:vAlign w:val="center"/>
          </w:tcPr>
          <w:p w14:paraId="798DC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vAlign w:val="center"/>
          </w:tcPr>
          <w:p w14:paraId="732CB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3480C1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立式体重秤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3596D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320630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无接触式测高、测量后自动显示结果：LED显示及语音播报、可数据传输至电脑、身高测量范围0-230cm，分度值0.1cm；体重1-200kg，分度值100g&lt; 150 kg&gt;200 g；体质指数BMI，除皮，保持，自动关机功能</w:t>
            </w:r>
          </w:p>
        </w:tc>
      </w:tr>
      <w:tr w14:paraId="587B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vMerge w:val="continue"/>
            <w:vAlign w:val="center"/>
          </w:tcPr>
          <w:p w14:paraId="0E0E21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vAlign w:val="center"/>
          </w:tcPr>
          <w:p w14:paraId="3C3F74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BE960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移动式空气消毒机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AEB95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62292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采用等离子体＋静电吸附消毒灭菌，杀菌广谱、彻底；内含复合式过滤器，可有效除去空气中的挥发性气体、各种异味以及过滤毛发、粉尘等大尘埃颗粒；人机共存，可在有人状态下进行连续动态消毒，对人及物品没有任何伤害；额定循环风量≥600m3/h，可适用60m3体积及以下的场所 </w:t>
            </w:r>
          </w:p>
        </w:tc>
      </w:tr>
      <w:tr w14:paraId="6394D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vMerge w:val="continue"/>
            <w:vAlign w:val="center"/>
          </w:tcPr>
          <w:p w14:paraId="788A44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vAlign w:val="center"/>
          </w:tcPr>
          <w:p w14:paraId="02D0C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5D9854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视力表灯箱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E95AB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6D5164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E字板；挂壁；带散光红绿检验功能；多距离选择</w:t>
            </w:r>
          </w:p>
        </w:tc>
      </w:tr>
      <w:tr w14:paraId="3A8B5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vMerge w:val="restart"/>
            <w:shd w:val="clear" w:color="auto" w:fill="auto"/>
            <w:vAlign w:val="center"/>
          </w:tcPr>
          <w:p w14:paraId="158CDA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日间手术中心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6496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32F82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壁式吸引器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0509B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3DFC01F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设备由负压表显调节装置和负压终端接头组成，必须自带溢流保护装置。</w:t>
            </w:r>
          </w:p>
          <w:p w14:paraId="2F99412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设备采取夜光表盘，顺时针、逆时针两种模式，表盘直径必须在2“以上，并且不同的负压段，采用不同的颜色标识，以便读数更清晰;设备的表盘有“0--21Kpa“0--40Kpa“0--100Kpa”可选，以便科室使用选择;设备的负压精度必须是满量程的负压吸引士5%以内(含士5%);设备外壳采用工程塑料，流线型紧凑设计，结构牢固，并可用消毒剂即可清洁干净，设备自带位于顶部的指拨式切换开关</w:t>
            </w:r>
          </w:p>
          <w:p w14:paraId="6344B1C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“调节“、”关闭“工作指示模式指示标贴，简单操作，方便使用者从容应对突发事件;</w:t>
            </w:r>
          </w:p>
          <w:p w14:paraId="72A14E7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设备抽吸压力可依要求无级设定采用大旋钮，纳米防菌技术，并有ISO 色标可供选择;设备内部所用机械部件比较少，耐腐蚀、无需润滑以便轻量化设计，维护方便;设备的负压口可兼容不同形状的接头，吸引器和接头可立即拆卸，方便维修;必须兼容德标，并可根据客户需求定制;设备自带溢流保护装置，有效防止废液集满后倒流，确保气体管路安全。</w:t>
            </w:r>
          </w:p>
          <w:p w14:paraId="2B98DD9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需配置配套一次性引流袋可重复使用引流瓶底座架子。</w:t>
            </w:r>
          </w:p>
        </w:tc>
      </w:tr>
      <w:tr w14:paraId="4720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vMerge w:val="continue"/>
            <w:shd w:val="clear" w:color="auto" w:fill="auto"/>
            <w:vAlign w:val="center"/>
          </w:tcPr>
          <w:p w14:paraId="1AAB1E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C003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33FEC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输液泵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FB2D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27B264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1、支持输血功能，并提供证明文件；支持临床常用输血管路，无需专用输血管路</w:t>
            </w:r>
          </w:p>
          <w:p w14:paraId="7C88DC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2、可升级肠内营养液输液功能</w:t>
            </w:r>
          </w:p>
          <w:p w14:paraId="5BEA50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3、全自动止液夹，安装或取出输液管时，无需任何操作，止液夹可自动关闭或打开</w:t>
            </w:r>
          </w:p>
          <w:p w14:paraId="0DA9F7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4、报警时可通过示意图片直观提示报警信息</w:t>
            </w:r>
          </w:p>
          <w:p w14:paraId="03F4B9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5、无需滴数传感器，泵可自动识别空瓶状态并报警</w:t>
            </w:r>
          </w:p>
          <w:p w14:paraId="71110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6.配固定设备的可移动架</w:t>
            </w:r>
          </w:p>
        </w:tc>
      </w:tr>
      <w:tr w14:paraId="5F33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vMerge w:val="continue"/>
            <w:shd w:val="clear" w:color="auto" w:fill="auto"/>
            <w:vAlign w:val="center"/>
          </w:tcPr>
          <w:p w14:paraId="6FE489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B8645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382C4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注射泵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C387C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2D65C2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1、注射精度≤±1.8%，机械精度≤±0.5%</w:t>
            </w:r>
          </w:p>
          <w:p w14:paraId="71638B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2、速率范围：0.01-2300ml/h, 最小步进0.01ml/h</w:t>
            </w:r>
          </w:p>
          <w:p w14:paraId="7461CB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3、可自动统计四种累计量：24h累计量、最近累计量、自定义</w:t>
            </w:r>
          </w:p>
          <w:p w14:paraId="4D3B8A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时间段累计量、定时间隔累计量</w:t>
            </w:r>
          </w:p>
          <w:p w14:paraId="58C4A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4、不小于3.5英寸彩色显示屏，电容触摸屏技术，支持上下左右滑动操作</w:t>
            </w:r>
          </w:p>
          <w:p w14:paraId="6CD306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5、具备阻塞后自动重启输液功能，短暂性阻塞触发报警后，泵检测到阻塞压力缓解时，无需人为干预，泵自动重新启动输液</w:t>
            </w:r>
          </w:p>
          <w:p w14:paraId="55516E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6.配固定设备的可移动架</w:t>
            </w:r>
          </w:p>
        </w:tc>
      </w:tr>
      <w:tr w14:paraId="4AC3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vMerge w:val="continue"/>
            <w:shd w:val="clear" w:color="auto" w:fill="auto"/>
            <w:vAlign w:val="center"/>
          </w:tcPr>
          <w:p w14:paraId="3F9D5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4E5D54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3C7C8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输液架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2B17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2A1C1104">
            <w:pPr>
              <w:keepNext w:val="0"/>
              <w:keepLines w:val="0"/>
              <w:pageBreakBefore w:val="0"/>
              <w:tabs>
                <w:tab w:val="left" w:pos="3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带万向轮、底座稳安全不易倾倒、可调节高矮，不锈钢防锈。</w:t>
            </w:r>
          </w:p>
        </w:tc>
      </w:tr>
      <w:tr w14:paraId="2110A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</w:trPr>
        <w:tc>
          <w:tcPr>
            <w:tcW w:w="227" w:type="pct"/>
            <w:shd w:val="clear" w:color="auto" w:fill="auto"/>
            <w:vAlign w:val="center"/>
          </w:tcPr>
          <w:p w14:paraId="36AC1E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外科诊区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0E34F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8E80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石膏电锯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4A565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57F23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left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电源电压 ：220V±10% 50Hz±2%</w:t>
            </w:r>
          </w:p>
          <w:p w14:paraId="64C22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left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2、功耗 ：200W</w:t>
            </w:r>
          </w:p>
          <w:p w14:paraId="76278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left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3、刃具硬度 ：HRC58</w:t>
            </w:r>
          </w:p>
          <w:p w14:paraId="28DF2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jc w:val="left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4、扭矩 ：1600g.cm</w:t>
            </w:r>
          </w:p>
          <w:p w14:paraId="453EEA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★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5、动力手柄 ：</w:t>
            </w:r>
            <w:r>
              <w:rPr>
                <w:rFonts w:hint="eastAsia"/>
                <w:sz w:val="24"/>
                <w:szCs w:val="22"/>
              </w:rPr>
              <w:t>高温高压消毒，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转速0-10000 rpm/min，摆幅4°。</w:t>
            </w:r>
          </w:p>
          <w:p w14:paraId="1EEEB6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数量：1把。</w:t>
            </w:r>
          </w:p>
          <w:p w14:paraId="668F0E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6、锯片：</w:t>
            </w:r>
            <w:r>
              <w:rPr>
                <w:rFonts w:hint="eastAsia"/>
                <w:sz w:val="24"/>
                <w:szCs w:val="22"/>
              </w:rPr>
              <w:t>高温高压消毒，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刃具硬度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HRC58。数量：3支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 w14:paraId="059D6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27" w:type="pct"/>
            <w:shd w:val="clear" w:color="auto" w:fill="auto"/>
            <w:vAlign w:val="center"/>
          </w:tcPr>
          <w:p w14:paraId="0B4EE9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骨科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C25A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4B202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阅片灯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2747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540" w:type="pct"/>
            <w:shd w:val="clear" w:color="auto" w:fill="auto"/>
            <w:vAlign w:val="center"/>
          </w:tcPr>
          <w:p w14:paraId="223E06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产品亮度:0-4500cd/m2</w:t>
            </w:r>
          </w:p>
          <w:p w14:paraId="16FCD0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亮度均匀性:290%</w:t>
            </w:r>
          </w:p>
          <w:p w14:paraId="4D263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产品类型:LED观片灯</w:t>
            </w:r>
          </w:p>
          <w:p w14:paraId="6C38DF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调光方式:不调光/遥控调光/无极调光</w:t>
            </w:r>
          </w:p>
          <w:p w14:paraId="0977A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出线口位置:标准右出</w:t>
            </w:r>
          </w:p>
          <w:p w14:paraId="27681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额定电压:DC15V</w:t>
            </w:r>
          </w:p>
          <w:p w14:paraId="1D7D0B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适用胶片:普通模拟X线胶片、高密度数字X线胶片、钼靶乳腺医用胶片</w:t>
            </w:r>
          </w:p>
          <w:p w14:paraId="413953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色温:7500K</w:t>
            </w:r>
          </w:p>
        </w:tc>
      </w:tr>
    </w:tbl>
    <w:p w14:paraId="17041B18">
      <w:pPr>
        <w:jc w:val="center"/>
        <w:rPr>
          <w:rFonts w:hint="eastAsia" w:ascii="黑体" w:hAnsi="黑体" w:eastAsia="黑体"/>
          <w:b/>
          <w:sz w:val="44"/>
          <w:szCs w:val="44"/>
          <w:lang w:val="en-US" w:eastAsia="zh-CN"/>
        </w:rPr>
      </w:pPr>
    </w:p>
    <w:p w14:paraId="0B183C4D">
      <w:pPr>
        <w:ind w:left="0" w:leftChars="0" w:firstLine="0" w:firstLineChars="0"/>
        <w:rPr>
          <w:rFonts w:hint="eastAsia" w:asciiTheme="minorEastAsia" w:hAnsiTheme="minorEastAsia" w:eastAsiaTheme="minorEastAsia"/>
          <w:b w:val="0"/>
          <w:bCs/>
          <w:color w:val="FF0000"/>
          <w:sz w:val="20"/>
          <w:szCs w:val="20"/>
          <w:lang w:val="en-US" w:eastAsia="zh-CN"/>
        </w:rPr>
      </w:pPr>
    </w:p>
    <w:p w14:paraId="624E12E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sym w:font="Wingdings 2" w:char="00A3"/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46E6D84">
      <w:pPr>
        <w:jc w:val="left"/>
        <w:rPr>
          <w:rFonts w:ascii="宋体" w:hAnsi="宋体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  <w:gridCol w:w="2126"/>
      </w:tblGrid>
      <w:tr w14:paraId="23A38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60" w:type="dxa"/>
            <w:vAlign w:val="center"/>
          </w:tcPr>
          <w:p w14:paraId="1C1CAD86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094" w:type="dxa"/>
            <w:vAlign w:val="center"/>
          </w:tcPr>
          <w:p w14:paraId="17BAC15B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985" w:type="dxa"/>
            <w:vAlign w:val="center"/>
          </w:tcPr>
          <w:p w14:paraId="370B5C17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8E4F60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8C71EB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预算单价（元）</w:t>
            </w:r>
          </w:p>
        </w:tc>
      </w:tr>
      <w:tr w14:paraId="203A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60" w:type="dxa"/>
            <w:vAlign w:val="center"/>
          </w:tcPr>
          <w:p w14:paraId="5169C8F6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094" w:type="dxa"/>
            <w:shd w:val="clear" w:color="auto" w:fill="auto"/>
            <w:vAlign w:val="center"/>
          </w:tcPr>
          <w:p w14:paraId="2BCAFE0D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壁式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医用负压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吸引器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547DA6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负压引流器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9E42FF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52B269">
            <w:pPr>
              <w:jc w:val="both"/>
              <w:rPr>
                <w:rFonts w:hint="default" w:cs="Times New Roman" w:asciiTheme="minorEastAsia" w:hAnsiTheme="minorEastAsia" w:eastAsiaTheme="minorEastAsia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13.8</w:t>
            </w:r>
          </w:p>
        </w:tc>
      </w:tr>
    </w:tbl>
    <w:p w14:paraId="6B171249">
      <w:pPr>
        <w:jc w:val="center"/>
        <w:rPr>
          <w:rFonts w:hint="eastAsia" w:cs="Times New Roman" w:asciiTheme="minorEastAsia" w:hAnsiTheme="minorEastAsia" w:eastAsiaTheme="minorEastAsia"/>
          <w:b/>
          <w:sz w:val="24"/>
          <w:szCs w:val="24"/>
          <w:vertAlign w:val="baseline"/>
          <w:lang w:val="en-US" w:eastAsia="zh-CN"/>
        </w:rPr>
      </w:pPr>
    </w:p>
    <w:p w14:paraId="146E5BCA">
      <w:pPr>
        <w:jc w:val="both"/>
        <w:rPr>
          <w:rFonts w:hint="eastAsia" w:cs="Times New Roman" w:asciiTheme="minorEastAsia" w:hAnsiTheme="minorEastAsia" w:eastAsiaTheme="minorEastAsia"/>
          <w:b/>
          <w:color w:val="FF0000"/>
          <w:sz w:val="24"/>
          <w:szCs w:val="24"/>
          <w:vertAlign w:val="baseline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b/>
          <w:color w:val="FF0000"/>
          <w:sz w:val="24"/>
          <w:szCs w:val="24"/>
          <w:vertAlign w:val="baseline"/>
          <w:lang w:val="en-US" w:eastAsia="zh-CN"/>
        </w:rPr>
        <w:t xml:space="preserve">配套试剂 </w:t>
      </w:r>
    </w:p>
    <w:tbl>
      <w:tblPr>
        <w:tblStyle w:val="7"/>
        <w:tblW w:w="1219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  <w:gridCol w:w="2126"/>
      </w:tblGrid>
      <w:tr w14:paraId="6C19D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47" w:type="dxa"/>
            <w:vAlign w:val="center"/>
          </w:tcPr>
          <w:p w14:paraId="60E2F6E9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107" w:type="dxa"/>
            <w:vAlign w:val="center"/>
          </w:tcPr>
          <w:p w14:paraId="294468DD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985" w:type="dxa"/>
            <w:vAlign w:val="center"/>
          </w:tcPr>
          <w:p w14:paraId="6BFDE249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试剂名称</w:t>
            </w:r>
          </w:p>
        </w:tc>
        <w:tc>
          <w:tcPr>
            <w:tcW w:w="2126" w:type="dxa"/>
            <w:vAlign w:val="center"/>
          </w:tcPr>
          <w:p w14:paraId="163481DC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2126" w:type="dxa"/>
            <w:vAlign w:val="center"/>
          </w:tcPr>
          <w:p w14:paraId="0593968D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预算单价（元）</w:t>
            </w:r>
          </w:p>
        </w:tc>
      </w:tr>
      <w:tr w14:paraId="4E87B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4DBE217A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107" w:type="dxa"/>
            <w:vAlign w:val="center"/>
          </w:tcPr>
          <w:p w14:paraId="1812FC31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9827501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EC73CE2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7034275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</w:tbl>
    <w:p w14:paraId="3DC03784">
      <w:pPr>
        <w:rPr>
          <w:rFonts w:asciiTheme="minorEastAsia" w:hAnsiTheme="minorEastAsia" w:eastAsiaTheme="minorEastAsia"/>
          <w:sz w:val="24"/>
          <w:szCs w:val="24"/>
        </w:rPr>
      </w:pPr>
    </w:p>
    <w:p w14:paraId="5B582AC9">
      <w:pPr>
        <w:jc w:val="righ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825C1"/>
    <w:multiLevelType w:val="singleLevel"/>
    <w:tmpl w:val="626825C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MDQ0ZTg0OGM0NmNhNTllYWZhZjA0MDdkYWU3OTgifQ=="/>
    <w:docVar w:name="KSO_WPS_MARK_KEY" w:val="c851586a-f286-4b60-a7b9-825185a2d314"/>
  </w:docVars>
  <w:rsids>
    <w:rsidRoot w:val="64904BA3"/>
    <w:rsid w:val="0877176A"/>
    <w:rsid w:val="152329B9"/>
    <w:rsid w:val="190042C1"/>
    <w:rsid w:val="221F75F3"/>
    <w:rsid w:val="27321A96"/>
    <w:rsid w:val="2D347EE2"/>
    <w:rsid w:val="32C661D8"/>
    <w:rsid w:val="361272BE"/>
    <w:rsid w:val="3E1B544C"/>
    <w:rsid w:val="55A61710"/>
    <w:rsid w:val="5963021F"/>
    <w:rsid w:val="5B011CC6"/>
    <w:rsid w:val="5EAC2D40"/>
    <w:rsid w:val="60082DB8"/>
    <w:rsid w:val="62C14BB1"/>
    <w:rsid w:val="64904BA3"/>
    <w:rsid w:val="796136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1451</Words>
  <Characters>1635</Characters>
  <Lines>0</Lines>
  <Paragraphs>0</Paragraphs>
  <TotalTime>21</TotalTime>
  <ScaleCrop>false</ScaleCrop>
  <LinksUpToDate>false</LinksUpToDate>
  <CharactersWithSpaces>1658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2017-05-17T00:34:00Z</dcterms:created>
  <dc:creator>Administrator</dc:creator>
  <cp:lastModifiedBy> </cp:lastModifiedBy>
  <dcterms:modified xsi:type="dcterms:W3CDTF">2025-06-09T15:49:37Z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eyJoZGlkIjoiMzFjNjI1NjQxOWZmMjYxOTRjODg5YzhlODVjOTYwNjciLCJ1c2VySWQiOiIyNzA3NjAzOTkifQ==</vt:lpwstr>
  </property>
  <property fmtid="{D5CDD505-2E9C-101B-9397-08002B2CF9AE}" pid="4" name="ICV">
    <vt:lpwstr>5FBD7CE56BF54B2A859121AE2DA1B1D3_12</vt:lpwstr>
  </property>
</Properties>
</file>