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2AA82">
      <w:pPr>
        <w:rPr>
          <w:rFonts w:hint="eastAsia"/>
          <w:b/>
          <w:color w:val="auto"/>
          <w:sz w:val="120"/>
          <w:szCs w:val="120"/>
        </w:rPr>
      </w:pPr>
    </w:p>
    <w:p w14:paraId="6889BEDB">
      <w:pPr>
        <w:ind w:firstLine="2397" w:firstLineChars="199"/>
        <w:rPr>
          <w:b/>
          <w:color w:val="auto"/>
          <w:sz w:val="120"/>
          <w:szCs w:val="120"/>
        </w:rPr>
      </w:pPr>
      <w:r>
        <w:rPr>
          <w:rFonts w:hint="eastAsia"/>
          <w:b/>
          <w:color w:val="auto"/>
          <w:sz w:val="120"/>
          <w:szCs w:val="120"/>
        </w:rPr>
        <w:t>采购文件</w:t>
      </w:r>
    </w:p>
    <w:p w14:paraId="4A2C27CF">
      <w:pPr>
        <w:rPr>
          <w:color w:val="auto"/>
          <w:szCs w:val="22"/>
        </w:rPr>
      </w:pPr>
    </w:p>
    <w:p w14:paraId="22637B9C">
      <w:pPr>
        <w:jc w:val="center"/>
        <w:rPr>
          <w:b/>
          <w:color w:val="auto"/>
          <w:sz w:val="52"/>
          <w:szCs w:val="52"/>
        </w:rPr>
      </w:pPr>
      <w:r>
        <w:rPr>
          <w:rFonts w:hint="eastAsia"/>
          <w:b/>
          <w:color w:val="auto"/>
          <w:sz w:val="52"/>
          <w:szCs w:val="52"/>
        </w:rPr>
        <w:t xml:space="preserve">   （货物类）</w:t>
      </w:r>
    </w:p>
    <w:p w14:paraId="6222FFAB">
      <w:pPr>
        <w:rPr>
          <w:color w:val="auto"/>
          <w:szCs w:val="22"/>
        </w:rPr>
      </w:pPr>
    </w:p>
    <w:p w14:paraId="5E7A73F7">
      <w:pPr>
        <w:rPr>
          <w:color w:val="auto"/>
        </w:rPr>
      </w:pPr>
    </w:p>
    <w:p w14:paraId="1333D6FD">
      <w:pPr>
        <w:rPr>
          <w:color w:val="auto"/>
        </w:rPr>
      </w:pPr>
    </w:p>
    <w:p w14:paraId="5C647999">
      <w:pPr>
        <w:rPr>
          <w:color w:val="auto"/>
        </w:rPr>
      </w:pPr>
    </w:p>
    <w:p w14:paraId="15F97033">
      <w:pPr>
        <w:rPr>
          <w:color w:val="auto"/>
        </w:rPr>
      </w:pPr>
    </w:p>
    <w:p w14:paraId="5BA9CA77">
      <w:pPr>
        <w:rPr>
          <w:color w:val="auto"/>
        </w:rPr>
      </w:pPr>
    </w:p>
    <w:p w14:paraId="5E1ABD28">
      <w:pPr>
        <w:rPr>
          <w:color w:val="auto"/>
        </w:rPr>
      </w:pPr>
    </w:p>
    <w:p w14:paraId="3D9D284B">
      <w:pPr>
        <w:rPr>
          <w:color w:val="auto"/>
        </w:rPr>
      </w:pPr>
    </w:p>
    <w:p w14:paraId="770E855F">
      <w:pPr>
        <w:rPr>
          <w:color w:val="auto"/>
        </w:rPr>
      </w:pPr>
    </w:p>
    <w:p w14:paraId="1CAF8F7A">
      <w:pPr>
        <w:rPr>
          <w:color w:val="auto"/>
        </w:rPr>
      </w:pPr>
    </w:p>
    <w:p w14:paraId="5CC09C01">
      <w:pPr>
        <w:jc w:val="center"/>
        <w:rPr>
          <w:b/>
          <w:color w:val="auto"/>
          <w:sz w:val="44"/>
          <w:szCs w:val="44"/>
        </w:rPr>
      </w:pPr>
    </w:p>
    <w:p w14:paraId="3117E52F">
      <w:pPr>
        <w:jc w:val="center"/>
        <w:rPr>
          <w:b/>
          <w:color w:val="auto"/>
          <w:sz w:val="44"/>
          <w:szCs w:val="44"/>
        </w:rPr>
      </w:pPr>
    </w:p>
    <w:p w14:paraId="5342E5BC">
      <w:pPr>
        <w:jc w:val="center"/>
        <w:rPr>
          <w:b/>
          <w:color w:val="auto"/>
          <w:sz w:val="44"/>
          <w:szCs w:val="44"/>
        </w:rPr>
      </w:pPr>
    </w:p>
    <w:p w14:paraId="2A35FF46">
      <w:pPr>
        <w:jc w:val="center"/>
        <w:rPr>
          <w:b/>
          <w:color w:val="auto"/>
          <w:sz w:val="44"/>
          <w:szCs w:val="44"/>
        </w:rPr>
      </w:pPr>
    </w:p>
    <w:p w14:paraId="465CBA9F">
      <w:pPr>
        <w:jc w:val="center"/>
        <w:rPr>
          <w:b/>
          <w:color w:val="auto"/>
          <w:sz w:val="44"/>
          <w:szCs w:val="44"/>
        </w:rPr>
      </w:pPr>
    </w:p>
    <w:p w14:paraId="71934857">
      <w:pPr>
        <w:jc w:val="center"/>
        <w:rPr>
          <w:b/>
          <w:color w:val="auto"/>
          <w:sz w:val="44"/>
          <w:szCs w:val="44"/>
        </w:rPr>
      </w:pPr>
    </w:p>
    <w:p w14:paraId="1234E2F5">
      <w:pPr>
        <w:rPr>
          <w:color w:val="auto"/>
        </w:rPr>
      </w:pPr>
    </w:p>
    <w:p w14:paraId="109E48D5">
      <w:pPr>
        <w:spacing w:after="50" w:line="480" w:lineRule="auto"/>
        <w:ind w:firstLine="1285" w:firstLineChars="400"/>
        <w:rPr>
          <w:rFonts w:ascii="宋体" w:hAnsi="宋体" w:cs="Arial"/>
          <w:b/>
          <w:bCs/>
          <w:color w:val="auto"/>
          <w:sz w:val="32"/>
          <w:szCs w:val="32"/>
        </w:rPr>
      </w:pPr>
      <w:r>
        <w:rPr>
          <w:rFonts w:hint="eastAsia" w:ascii="宋体" w:hAnsi="宋体" w:cs="Arial"/>
          <w:b/>
          <w:bCs/>
          <w:color w:val="auto"/>
          <w:sz w:val="32"/>
          <w:szCs w:val="32"/>
        </w:rPr>
        <w:t>项目名称：</w:t>
      </w:r>
      <w:r>
        <w:rPr>
          <w:rFonts w:hint="eastAsia" w:ascii="宋体" w:hAnsi="宋体" w:cs="Arial"/>
          <w:b/>
          <w:bCs/>
          <w:color w:val="auto"/>
          <w:sz w:val="32"/>
          <w:szCs w:val="32"/>
          <w:lang w:val="en-US" w:eastAsia="zh-CN"/>
        </w:rPr>
        <w:t>龙华院区探索一号院感系统升级改造</w:t>
      </w:r>
    </w:p>
    <w:p w14:paraId="0D49E511">
      <w:pPr>
        <w:jc w:val="center"/>
        <w:rPr>
          <w:b/>
          <w:color w:val="auto"/>
          <w:sz w:val="44"/>
          <w:szCs w:val="44"/>
        </w:rPr>
      </w:pPr>
    </w:p>
    <w:p w14:paraId="6C6813C2">
      <w:pPr>
        <w:jc w:val="center"/>
        <w:rPr>
          <w:b/>
          <w:color w:val="auto"/>
          <w:sz w:val="44"/>
          <w:szCs w:val="44"/>
        </w:rPr>
      </w:pPr>
    </w:p>
    <w:p w14:paraId="32BE5C3E">
      <w:pPr>
        <w:jc w:val="center"/>
        <w:rPr>
          <w:b/>
          <w:color w:val="auto"/>
          <w:sz w:val="44"/>
          <w:szCs w:val="44"/>
        </w:rPr>
      </w:pPr>
    </w:p>
    <w:p w14:paraId="104AEB5A">
      <w:pPr>
        <w:jc w:val="center"/>
        <w:rPr>
          <w:b/>
          <w:color w:val="auto"/>
          <w:sz w:val="44"/>
          <w:szCs w:val="44"/>
        </w:rPr>
      </w:pPr>
    </w:p>
    <w:p w14:paraId="76D33BA8">
      <w:pPr>
        <w:jc w:val="center"/>
        <w:rPr>
          <w:rFonts w:hint="eastAsia"/>
          <w:b/>
          <w:color w:val="auto"/>
          <w:sz w:val="44"/>
          <w:szCs w:val="44"/>
        </w:rPr>
      </w:pPr>
      <w:r>
        <w:rPr>
          <w:rFonts w:hint="eastAsia"/>
          <w:b/>
          <w:color w:val="auto"/>
          <w:sz w:val="44"/>
          <w:szCs w:val="44"/>
        </w:rPr>
        <w:t>深圳市儿童医院</w:t>
      </w:r>
    </w:p>
    <w:p w14:paraId="48FF6506">
      <w:pPr>
        <w:rPr>
          <w:rFonts w:asciiTheme="minorEastAsia" w:hAnsiTheme="minorEastAsia" w:eastAsiaTheme="minorEastAsia"/>
          <w:b/>
          <w:color w:val="auto"/>
          <w:sz w:val="24"/>
          <w:szCs w:val="24"/>
        </w:rPr>
      </w:pPr>
    </w:p>
    <w:p w14:paraId="5650A3FD">
      <w:pPr>
        <w:pStyle w:val="2"/>
        <w:rPr>
          <w:color w:val="auto"/>
        </w:rPr>
      </w:pPr>
    </w:p>
    <w:p w14:paraId="500EC9BE">
      <w:pPr>
        <w:spacing w:line="240" w:lineRule="auto"/>
        <w:ind w:left="42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评标信息</w:t>
      </w:r>
    </w:p>
    <w:p w14:paraId="3F481BA7">
      <w:pPr>
        <w:spacing w:line="240" w:lineRule="auto"/>
        <w:ind w:firstLine="480" w:firstLineChars="200"/>
        <w:rPr>
          <w:rFonts w:cs="宋体" w:asciiTheme="minorEastAsia" w:hAnsiTheme="minorEastAsia" w:eastAsiaTheme="minorEastAsia"/>
          <w:color w:val="auto"/>
          <w:kern w:val="0"/>
          <w:sz w:val="24"/>
          <w:szCs w:val="24"/>
        </w:rPr>
      </w:pPr>
      <w:r>
        <w:rPr>
          <w:rFonts w:hint="eastAsia" w:asciiTheme="minorEastAsia" w:hAnsiTheme="minorEastAsia" w:eastAsiaTheme="minorEastAsia"/>
          <w:color w:val="auto"/>
          <w:sz w:val="24"/>
          <w:szCs w:val="24"/>
        </w:rPr>
        <w:t>价格分计算（每个供应商可进行两次报价，以第二次报价为最终报价）：价格分=[1-（投标报价-最低价）/最低价]×价格分权重。</w:t>
      </w:r>
    </w:p>
    <w:p w14:paraId="12E983ED">
      <w:pPr>
        <w:spacing w:line="24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当价格分&lt;0时，取0。</w:t>
      </w:r>
    </w:p>
    <w:p w14:paraId="0281041C">
      <w:pPr>
        <w:widowControl/>
        <w:spacing w:line="240" w:lineRule="auto"/>
        <w:ind w:firstLine="480" w:firstLineChars="200"/>
        <w:jc w:val="left"/>
        <w:textAlignment w:val="baseline"/>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最低价是指所有有效报价中最低的投标报价</w:t>
      </w:r>
      <w:r>
        <w:rPr>
          <w:rFonts w:hint="eastAsia" w:asciiTheme="minorEastAsia" w:hAnsiTheme="minorEastAsia" w:eastAsiaTheme="minorEastAsia"/>
          <w:color w:val="auto"/>
          <w:sz w:val="24"/>
          <w:szCs w:val="24"/>
        </w:rPr>
        <w:t>(</w:t>
      </w:r>
      <w:r>
        <w:rPr>
          <w:rFonts w:hint="eastAsia" w:asciiTheme="minorEastAsia" w:hAnsiTheme="minorEastAsia" w:eastAsiaTheme="minorEastAsia"/>
          <w:b/>
          <w:bCs/>
          <w:color w:val="auto"/>
          <w:sz w:val="24"/>
          <w:szCs w:val="24"/>
        </w:rPr>
        <w:t>注：投标人的报价明显低于其他投标人的报价，有可能影响产品质量或者不能诚信履约的，应在评标现场提供书面说明和相关证明材料；不能证明其报价合理性的，将其作为无效投标处理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color w:val="auto"/>
          <w:sz w:val="24"/>
          <w:szCs w:val="24"/>
        </w:rPr>
        <w:t>）。</w:t>
      </w:r>
    </w:p>
    <w:p w14:paraId="64C60622">
      <w:pPr>
        <w:spacing w:line="24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评审委员会在评标时，应按照以下量化的评审因素，对各投标文件进行分析和比较：</w:t>
      </w:r>
    </w:p>
    <w:p w14:paraId="744AEDC3">
      <w:pPr>
        <w:shd w:val="clear"/>
        <w:spacing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本项目详细评分细则如下表：</w:t>
      </w:r>
    </w:p>
    <w:tbl>
      <w:tblPr>
        <w:tblStyle w:val="14"/>
        <w:tblW w:w="905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750"/>
        <w:gridCol w:w="1325"/>
        <w:gridCol w:w="764"/>
        <w:gridCol w:w="1118"/>
        <w:gridCol w:w="4437"/>
        <w:gridCol w:w="12"/>
      </w:tblGrid>
      <w:tr w14:paraId="6836F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14:paraId="2CB62037">
            <w:pPr>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3957" w:type="dxa"/>
            <w:gridSpan w:val="4"/>
            <w:noWrap w:val="0"/>
            <w:vAlign w:val="center"/>
          </w:tcPr>
          <w:p w14:paraId="0AEC150D">
            <w:pPr>
              <w:jc w:val="center"/>
              <w:rPr>
                <w:rFonts w:hint="eastAsia" w:ascii="宋体" w:hAnsi="宋体" w:eastAsia="宋体" w:cs="宋体"/>
                <w:color w:val="auto"/>
                <w:szCs w:val="21"/>
              </w:rPr>
            </w:pPr>
            <w:r>
              <w:rPr>
                <w:rFonts w:hint="eastAsia" w:ascii="宋体" w:hAnsi="宋体" w:eastAsia="宋体" w:cs="宋体"/>
                <w:color w:val="auto"/>
                <w:szCs w:val="21"/>
              </w:rPr>
              <w:t>评分项</w:t>
            </w:r>
          </w:p>
        </w:tc>
        <w:tc>
          <w:tcPr>
            <w:tcW w:w="4449" w:type="dxa"/>
            <w:gridSpan w:val="2"/>
            <w:noWrap w:val="0"/>
            <w:vAlign w:val="center"/>
          </w:tcPr>
          <w:p w14:paraId="30F854F8">
            <w:pPr>
              <w:jc w:val="center"/>
              <w:rPr>
                <w:rFonts w:hint="eastAsia" w:ascii="宋体" w:hAnsi="宋体" w:eastAsia="宋体" w:cs="宋体"/>
                <w:color w:val="auto"/>
                <w:szCs w:val="21"/>
              </w:rPr>
            </w:pPr>
            <w:r>
              <w:rPr>
                <w:rFonts w:hint="eastAsia" w:ascii="宋体" w:hAnsi="宋体" w:eastAsia="宋体" w:cs="宋体"/>
                <w:color w:val="auto"/>
                <w:szCs w:val="21"/>
              </w:rPr>
              <w:t>权重</w:t>
            </w:r>
          </w:p>
        </w:tc>
      </w:tr>
      <w:tr w14:paraId="2232B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14:paraId="730C85A3">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3957" w:type="dxa"/>
            <w:gridSpan w:val="4"/>
            <w:noWrap w:val="0"/>
            <w:vAlign w:val="center"/>
          </w:tcPr>
          <w:p w14:paraId="3567A74D">
            <w:pPr>
              <w:jc w:val="center"/>
              <w:rPr>
                <w:rFonts w:hint="eastAsia" w:ascii="宋体" w:hAnsi="宋体" w:eastAsia="宋体" w:cs="宋体"/>
                <w:color w:val="auto"/>
                <w:szCs w:val="21"/>
              </w:rPr>
            </w:pPr>
            <w:r>
              <w:rPr>
                <w:rFonts w:hint="eastAsia" w:ascii="宋体" w:hAnsi="宋体" w:eastAsia="宋体" w:cs="宋体"/>
                <w:color w:val="auto"/>
                <w:szCs w:val="21"/>
              </w:rPr>
              <w:t>价格</w:t>
            </w:r>
          </w:p>
        </w:tc>
        <w:tc>
          <w:tcPr>
            <w:tcW w:w="4449" w:type="dxa"/>
            <w:gridSpan w:val="2"/>
            <w:noWrap w:val="0"/>
            <w:vAlign w:val="center"/>
          </w:tcPr>
          <w:p w14:paraId="148A9453">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3</w:t>
            </w:r>
            <w:r>
              <w:rPr>
                <w:rFonts w:hint="eastAsia" w:ascii="宋体" w:hAnsi="宋体" w:eastAsia="宋体" w:cs="宋体"/>
                <w:color w:val="auto"/>
                <w:szCs w:val="21"/>
                <w:lang w:val="en-US" w:eastAsia="zh-CN"/>
              </w:rPr>
              <w:t>0</w:t>
            </w:r>
          </w:p>
        </w:tc>
      </w:tr>
      <w:tr w14:paraId="0EB2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14:paraId="10E0DD5F">
            <w:pPr>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3957" w:type="dxa"/>
            <w:gridSpan w:val="4"/>
            <w:noWrap w:val="0"/>
            <w:vAlign w:val="center"/>
          </w:tcPr>
          <w:p w14:paraId="28DCC393">
            <w:pPr>
              <w:jc w:val="center"/>
              <w:rPr>
                <w:rFonts w:hint="eastAsia" w:ascii="宋体" w:hAnsi="宋体" w:eastAsia="宋体" w:cs="宋体"/>
                <w:color w:val="auto"/>
                <w:szCs w:val="21"/>
              </w:rPr>
            </w:pPr>
            <w:r>
              <w:rPr>
                <w:rFonts w:hint="eastAsia" w:ascii="宋体" w:hAnsi="宋体" w:eastAsia="宋体" w:cs="宋体"/>
                <w:color w:val="auto"/>
                <w:szCs w:val="21"/>
              </w:rPr>
              <w:t>技术部分</w:t>
            </w:r>
          </w:p>
        </w:tc>
        <w:tc>
          <w:tcPr>
            <w:tcW w:w="4449" w:type="dxa"/>
            <w:gridSpan w:val="2"/>
            <w:noWrap w:val="0"/>
            <w:vAlign w:val="center"/>
          </w:tcPr>
          <w:p w14:paraId="690CD471">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50</w:t>
            </w:r>
          </w:p>
        </w:tc>
      </w:tr>
      <w:tr w14:paraId="0653C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50" w:type="dxa"/>
            <w:vMerge w:val="restart"/>
            <w:noWrap w:val="0"/>
            <w:vAlign w:val="top"/>
          </w:tcPr>
          <w:p w14:paraId="2B59B8AB">
            <w:pPr>
              <w:jc w:val="left"/>
              <w:rPr>
                <w:rFonts w:hint="eastAsia" w:ascii="宋体" w:hAnsi="宋体" w:eastAsia="宋体" w:cs="宋体"/>
                <w:color w:val="auto"/>
                <w:szCs w:val="21"/>
              </w:rPr>
            </w:pPr>
          </w:p>
        </w:tc>
        <w:tc>
          <w:tcPr>
            <w:tcW w:w="750" w:type="dxa"/>
            <w:noWrap w:val="0"/>
            <w:vAlign w:val="top"/>
          </w:tcPr>
          <w:p w14:paraId="1FF84D7C">
            <w:pPr>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325" w:type="dxa"/>
            <w:noWrap w:val="0"/>
            <w:vAlign w:val="top"/>
          </w:tcPr>
          <w:p w14:paraId="66AF1C9A">
            <w:pPr>
              <w:jc w:val="center"/>
              <w:rPr>
                <w:rFonts w:hint="eastAsia" w:ascii="宋体" w:hAnsi="宋体" w:eastAsia="宋体" w:cs="宋体"/>
                <w:color w:val="auto"/>
                <w:szCs w:val="21"/>
              </w:rPr>
            </w:pPr>
            <w:r>
              <w:rPr>
                <w:rFonts w:hint="eastAsia" w:ascii="宋体" w:hAnsi="宋体" w:eastAsia="宋体" w:cs="宋体"/>
                <w:color w:val="auto"/>
                <w:szCs w:val="21"/>
              </w:rPr>
              <w:t>评分因素</w:t>
            </w:r>
          </w:p>
        </w:tc>
        <w:tc>
          <w:tcPr>
            <w:tcW w:w="764" w:type="dxa"/>
            <w:noWrap w:val="0"/>
            <w:vAlign w:val="top"/>
          </w:tcPr>
          <w:p w14:paraId="1C45C6C8">
            <w:pPr>
              <w:jc w:val="center"/>
              <w:rPr>
                <w:rFonts w:hint="eastAsia" w:ascii="宋体" w:hAnsi="宋体" w:eastAsia="宋体" w:cs="宋体"/>
                <w:color w:val="auto"/>
                <w:szCs w:val="21"/>
              </w:rPr>
            </w:pPr>
            <w:r>
              <w:rPr>
                <w:rFonts w:hint="eastAsia" w:ascii="宋体" w:hAnsi="宋体" w:eastAsia="宋体" w:cs="宋体"/>
                <w:color w:val="auto"/>
                <w:szCs w:val="21"/>
              </w:rPr>
              <w:t>权重</w:t>
            </w:r>
          </w:p>
        </w:tc>
        <w:tc>
          <w:tcPr>
            <w:tcW w:w="1118" w:type="dxa"/>
            <w:noWrap w:val="0"/>
            <w:vAlign w:val="top"/>
          </w:tcPr>
          <w:p w14:paraId="5B89CDB8">
            <w:pPr>
              <w:jc w:val="center"/>
              <w:rPr>
                <w:rFonts w:hint="eastAsia" w:ascii="宋体" w:hAnsi="宋体" w:eastAsia="宋体" w:cs="宋体"/>
                <w:color w:val="auto"/>
                <w:szCs w:val="21"/>
              </w:rPr>
            </w:pPr>
            <w:r>
              <w:rPr>
                <w:rFonts w:hint="eastAsia" w:ascii="宋体" w:hAnsi="宋体" w:eastAsia="宋体" w:cs="宋体"/>
                <w:color w:val="auto"/>
                <w:szCs w:val="21"/>
              </w:rPr>
              <w:t>评分方式</w:t>
            </w:r>
          </w:p>
        </w:tc>
        <w:tc>
          <w:tcPr>
            <w:tcW w:w="4449" w:type="dxa"/>
            <w:gridSpan w:val="2"/>
            <w:noWrap w:val="0"/>
            <w:vAlign w:val="top"/>
          </w:tcPr>
          <w:p w14:paraId="1B2062E9">
            <w:pPr>
              <w:jc w:val="center"/>
              <w:rPr>
                <w:rFonts w:hint="eastAsia" w:ascii="宋体" w:hAnsi="宋体" w:eastAsia="宋体" w:cs="宋体"/>
                <w:color w:val="auto"/>
                <w:szCs w:val="21"/>
              </w:rPr>
            </w:pPr>
            <w:r>
              <w:rPr>
                <w:rFonts w:hint="eastAsia" w:ascii="宋体" w:hAnsi="宋体" w:eastAsia="宋体" w:cs="宋体"/>
                <w:color w:val="auto"/>
                <w:szCs w:val="21"/>
              </w:rPr>
              <w:t>评分准则</w:t>
            </w:r>
          </w:p>
        </w:tc>
      </w:tr>
      <w:tr w14:paraId="3CD10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50" w:type="dxa"/>
            <w:vMerge w:val="continue"/>
            <w:noWrap w:val="0"/>
            <w:vAlign w:val="top"/>
          </w:tcPr>
          <w:p w14:paraId="4EB5C171">
            <w:pPr>
              <w:jc w:val="left"/>
              <w:rPr>
                <w:rFonts w:hint="eastAsia" w:ascii="宋体" w:hAnsi="宋体" w:eastAsia="宋体" w:cs="宋体"/>
                <w:color w:val="auto"/>
                <w:szCs w:val="21"/>
              </w:rPr>
            </w:pPr>
          </w:p>
        </w:tc>
        <w:tc>
          <w:tcPr>
            <w:tcW w:w="750" w:type="dxa"/>
            <w:noWrap w:val="0"/>
            <w:vAlign w:val="center"/>
          </w:tcPr>
          <w:p w14:paraId="2703396D">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325" w:type="dxa"/>
            <w:noWrap w:val="0"/>
            <w:vAlign w:val="center"/>
          </w:tcPr>
          <w:p w14:paraId="7694E2AF">
            <w:pPr>
              <w:jc w:val="center"/>
              <w:rPr>
                <w:rFonts w:hint="eastAsia" w:ascii="宋体" w:hAnsi="宋体" w:eastAsia="宋体" w:cs="宋体"/>
                <w:color w:val="auto"/>
                <w:szCs w:val="21"/>
              </w:rPr>
            </w:pPr>
            <w:r>
              <w:rPr>
                <w:rFonts w:hint="eastAsia" w:ascii="宋体" w:hAnsi="宋体"/>
                <w:color w:val="auto"/>
                <w:szCs w:val="21"/>
              </w:rPr>
              <w:t>技术服务偏离情况</w:t>
            </w:r>
          </w:p>
        </w:tc>
        <w:tc>
          <w:tcPr>
            <w:tcW w:w="764" w:type="dxa"/>
            <w:noWrap w:val="0"/>
            <w:vAlign w:val="center"/>
          </w:tcPr>
          <w:p w14:paraId="45CD41DA">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41</w:t>
            </w:r>
          </w:p>
        </w:tc>
        <w:tc>
          <w:tcPr>
            <w:tcW w:w="1118" w:type="dxa"/>
            <w:noWrap w:val="0"/>
            <w:vAlign w:val="center"/>
          </w:tcPr>
          <w:p w14:paraId="7E4517C2">
            <w:pPr>
              <w:jc w:val="center"/>
              <w:rPr>
                <w:rFonts w:hint="eastAsia" w:ascii="宋体" w:hAnsi="宋体" w:eastAsia="宋体" w:cs="宋体"/>
                <w:color w:val="auto"/>
                <w:szCs w:val="21"/>
              </w:rPr>
            </w:pPr>
            <w:r>
              <w:rPr>
                <w:rFonts w:hint="eastAsia" w:ascii="宋体" w:hAnsi="宋体" w:eastAsia="宋体" w:cs="宋体"/>
                <w:color w:val="auto"/>
                <w:szCs w:val="21"/>
              </w:rPr>
              <w:t>专家打分</w:t>
            </w:r>
          </w:p>
        </w:tc>
        <w:tc>
          <w:tcPr>
            <w:tcW w:w="4449" w:type="dxa"/>
            <w:gridSpan w:val="2"/>
            <w:noWrap w:val="0"/>
            <w:vAlign w:val="top"/>
          </w:tcPr>
          <w:p w14:paraId="4084BF66">
            <w:pPr>
              <w:jc w:val="left"/>
              <w:rPr>
                <w:rFonts w:hint="eastAsia" w:ascii="宋体" w:hAnsi="宋体" w:eastAsia="宋体" w:cs="宋体"/>
                <w:color w:val="auto"/>
              </w:rPr>
            </w:pPr>
            <w:r>
              <w:rPr>
                <w:rFonts w:hint="eastAsia" w:ascii="宋体" w:hAnsi="宋体"/>
                <w:color w:val="auto"/>
                <w:szCs w:val="21"/>
              </w:rPr>
              <w:t>投标人应如实填写《技术规格偏离表》，评审委员会根据技术参数响应情况进行打分，各项技术参数指标及要求全部满足的得满分</w:t>
            </w:r>
            <w:r>
              <w:rPr>
                <w:rFonts w:hint="eastAsia" w:ascii="宋体" w:hAnsi="宋体"/>
                <w:color w:val="auto"/>
                <w:szCs w:val="21"/>
                <w:highlight w:val="red"/>
                <w:lang w:val="en-US" w:eastAsia="zh-CN"/>
              </w:rPr>
              <w:t>41</w:t>
            </w:r>
            <w:r>
              <w:rPr>
                <w:rFonts w:hint="eastAsia" w:ascii="宋体" w:hAnsi="宋体"/>
                <w:color w:val="auto"/>
                <w:szCs w:val="21"/>
              </w:rPr>
              <w:t>分，未响应的参数按负偏离扣分。所有投标人必须严格按照招标文件的内容进行填写，如不能填写请提供说明。参数每负偏离一项扣</w:t>
            </w:r>
            <w:r>
              <w:rPr>
                <w:rFonts w:hint="eastAsia" w:ascii="宋体" w:hAnsi="宋体"/>
                <w:color w:val="auto"/>
                <w:szCs w:val="21"/>
                <w:highlight w:val="red"/>
                <w:lang w:val="en-US" w:eastAsia="zh-CN"/>
              </w:rPr>
              <w:t>0.5</w:t>
            </w:r>
            <w:r>
              <w:rPr>
                <w:rFonts w:hint="eastAsia" w:ascii="宋体" w:hAnsi="宋体"/>
                <w:color w:val="auto"/>
                <w:szCs w:val="21"/>
              </w:rPr>
              <w:t>分，正偏离不加分。扣完为止，最低得0分。</w:t>
            </w:r>
          </w:p>
        </w:tc>
      </w:tr>
      <w:tr w14:paraId="3B0E3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50" w:type="dxa"/>
            <w:vMerge w:val="continue"/>
            <w:noWrap w:val="0"/>
            <w:vAlign w:val="top"/>
          </w:tcPr>
          <w:p w14:paraId="7EEBAF81">
            <w:pPr>
              <w:jc w:val="left"/>
              <w:rPr>
                <w:rFonts w:hint="eastAsia" w:ascii="宋体" w:hAnsi="宋体" w:eastAsia="宋体" w:cs="宋体"/>
                <w:color w:val="auto"/>
                <w:szCs w:val="21"/>
              </w:rPr>
            </w:pPr>
          </w:p>
        </w:tc>
        <w:tc>
          <w:tcPr>
            <w:tcW w:w="750" w:type="dxa"/>
            <w:noWrap w:val="0"/>
            <w:vAlign w:val="center"/>
          </w:tcPr>
          <w:p w14:paraId="03C46696">
            <w:pPr>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325" w:type="dxa"/>
            <w:noWrap w:val="0"/>
            <w:vAlign w:val="center"/>
          </w:tcPr>
          <w:p w14:paraId="1D3830BC">
            <w:pPr>
              <w:widowControl/>
              <w:spacing w:line="360" w:lineRule="exact"/>
              <w:jc w:val="center"/>
              <w:rPr>
                <w:rFonts w:hint="eastAsia" w:ascii="宋体" w:hAnsi="宋体" w:eastAsia="宋体" w:cs="宋体"/>
                <w:color w:val="auto"/>
                <w:szCs w:val="21"/>
              </w:rPr>
            </w:pPr>
            <w:r>
              <w:rPr>
                <w:rFonts w:hint="eastAsia" w:ascii="宋体" w:hAnsi="宋体"/>
                <w:color w:val="auto"/>
                <w:kern w:val="0"/>
                <w:sz w:val="21"/>
                <w:szCs w:val="21"/>
              </w:rPr>
              <w:t>项目</w:t>
            </w:r>
            <w:r>
              <w:rPr>
                <w:rFonts w:hint="eastAsia" w:ascii="宋体" w:hAnsi="宋体"/>
                <w:color w:val="auto"/>
                <w:kern w:val="0"/>
                <w:sz w:val="21"/>
                <w:szCs w:val="21"/>
                <w:lang w:eastAsia="zh-CN"/>
              </w:rPr>
              <w:t>实施</w:t>
            </w:r>
            <w:r>
              <w:rPr>
                <w:rFonts w:hint="eastAsia" w:ascii="宋体" w:hAnsi="宋体"/>
                <w:color w:val="auto"/>
                <w:kern w:val="0"/>
                <w:sz w:val="21"/>
                <w:szCs w:val="21"/>
              </w:rPr>
              <w:t>方案</w:t>
            </w:r>
          </w:p>
        </w:tc>
        <w:tc>
          <w:tcPr>
            <w:tcW w:w="764" w:type="dxa"/>
            <w:noWrap w:val="0"/>
            <w:vAlign w:val="center"/>
          </w:tcPr>
          <w:p w14:paraId="6729672C">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4</w:t>
            </w:r>
          </w:p>
        </w:tc>
        <w:tc>
          <w:tcPr>
            <w:tcW w:w="1118" w:type="dxa"/>
            <w:noWrap w:val="0"/>
            <w:vAlign w:val="center"/>
          </w:tcPr>
          <w:p w14:paraId="3904CA83">
            <w:pPr>
              <w:jc w:val="center"/>
              <w:rPr>
                <w:rFonts w:hint="eastAsia" w:ascii="宋体" w:hAnsi="宋体" w:eastAsia="宋体" w:cs="宋体"/>
                <w:color w:val="auto"/>
                <w:szCs w:val="21"/>
              </w:rPr>
            </w:pPr>
            <w:r>
              <w:rPr>
                <w:rFonts w:hint="eastAsia" w:ascii="宋体" w:hAnsi="宋体" w:eastAsia="宋体" w:cs="宋体"/>
                <w:color w:val="auto"/>
                <w:szCs w:val="21"/>
              </w:rPr>
              <w:t>专家打分</w:t>
            </w:r>
          </w:p>
        </w:tc>
        <w:tc>
          <w:tcPr>
            <w:tcW w:w="4449" w:type="dxa"/>
            <w:gridSpan w:val="2"/>
            <w:noWrap w:val="0"/>
            <w:vAlign w:val="center"/>
          </w:tcPr>
          <w:p w14:paraId="28CF4DB2">
            <w:pPr>
              <w:pStyle w:val="26"/>
              <w:spacing w:line="360" w:lineRule="exact"/>
              <w:ind w:firstLine="0" w:firstLineChars="0"/>
              <w:rPr>
                <w:rFonts w:hint="eastAsia" w:ascii="宋体" w:hAnsi="宋体"/>
                <w:color w:val="auto"/>
                <w:sz w:val="21"/>
                <w:szCs w:val="21"/>
                <w:lang w:val="zh-CN"/>
              </w:rPr>
            </w:pPr>
            <w:r>
              <w:rPr>
                <w:rFonts w:hint="eastAsia" w:ascii="宋体" w:hAnsi="宋体"/>
                <w:color w:val="auto"/>
                <w:sz w:val="21"/>
                <w:szCs w:val="21"/>
                <w:lang w:val="zh-CN"/>
              </w:rPr>
              <w:t>评审内容：</w:t>
            </w:r>
          </w:p>
          <w:p w14:paraId="11D84AD6">
            <w:pPr>
              <w:pStyle w:val="26"/>
              <w:spacing w:line="360" w:lineRule="exact"/>
              <w:ind w:firstLine="0" w:firstLineChars="0"/>
              <w:rPr>
                <w:rFonts w:hint="eastAsia" w:ascii="宋体" w:hAnsi="宋体"/>
                <w:color w:val="auto"/>
                <w:sz w:val="21"/>
                <w:szCs w:val="21"/>
                <w:lang w:val="zh-CN" w:eastAsia="zh-CN"/>
              </w:rPr>
            </w:pPr>
            <w:r>
              <w:rPr>
                <w:rFonts w:hint="eastAsia" w:ascii="宋体" w:hAnsi="宋体"/>
                <w:color w:val="auto"/>
                <w:sz w:val="21"/>
                <w:szCs w:val="21"/>
                <w:lang w:val="zh-CN"/>
              </w:rPr>
              <w:t>（1）要求针对本项目实际情况列出具体的技术保障</w:t>
            </w:r>
            <w:r>
              <w:rPr>
                <w:rFonts w:hint="eastAsia" w:ascii="宋体" w:hAnsi="宋体"/>
                <w:color w:val="auto"/>
                <w:sz w:val="21"/>
                <w:szCs w:val="21"/>
                <w:lang w:val="zh-CN" w:eastAsia="zh-CN"/>
              </w:rPr>
              <w:t>方案内容</w:t>
            </w:r>
            <w:r>
              <w:rPr>
                <w:rFonts w:hint="eastAsia" w:ascii="宋体" w:hAnsi="宋体"/>
                <w:color w:val="auto"/>
                <w:sz w:val="21"/>
                <w:szCs w:val="21"/>
                <w:lang w:val="zh-CN"/>
              </w:rPr>
              <w:t>，包括但不限于以下内容：</w:t>
            </w:r>
          </w:p>
          <w:p w14:paraId="3D07F941">
            <w:pPr>
              <w:pStyle w:val="26"/>
              <w:spacing w:line="360" w:lineRule="exact"/>
              <w:ind w:firstLine="0" w:firstLineChars="0"/>
              <w:rPr>
                <w:rFonts w:hint="eastAsia" w:ascii="宋体" w:hAnsi="宋体"/>
                <w:color w:val="auto"/>
                <w:sz w:val="21"/>
                <w:szCs w:val="21"/>
                <w:lang w:val="zh-CN"/>
              </w:rPr>
            </w:pPr>
            <w:r>
              <w:rPr>
                <w:rFonts w:hint="eastAsia" w:ascii="宋体" w:hAnsi="宋体"/>
                <w:color w:val="auto"/>
                <w:sz w:val="21"/>
                <w:szCs w:val="21"/>
                <w:lang w:val="zh-CN"/>
              </w:rPr>
              <w:t>①工作措施；</w:t>
            </w:r>
          </w:p>
          <w:p w14:paraId="5B30EEAD">
            <w:pPr>
              <w:pStyle w:val="26"/>
              <w:spacing w:line="360" w:lineRule="exact"/>
              <w:ind w:firstLine="0" w:firstLineChars="0"/>
              <w:rPr>
                <w:rFonts w:hint="eastAsia" w:ascii="宋体" w:hAnsi="宋体"/>
                <w:color w:val="auto"/>
                <w:sz w:val="21"/>
                <w:szCs w:val="21"/>
                <w:lang w:val="zh-CN"/>
              </w:rPr>
            </w:pPr>
            <w:r>
              <w:rPr>
                <w:rFonts w:hint="eastAsia" w:ascii="宋体" w:hAnsi="宋体"/>
                <w:color w:val="auto"/>
                <w:sz w:val="21"/>
                <w:szCs w:val="21"/>
                <w:lang w:val="zh-CN"/>
              </w:rPr>
              <w:t>②工作方法；</w:t>
            </w:r>
          </w:p>
          <w:p w14:paraId="3E752FB3">
            <w:pPr>
              <w:pStyle w:val="26"/>
              <w:spacing w:line="360" w:lineRule="exact"/>
              <w:ind w:firstLine="0" w:firstLineChars="0"/>
              <w:rPr>
                <w:rFonts w:hint="eastAsia" w:ascii="宋体" w:hAnsi="宋体"/>
                <w:color w:val="auto"/>
                <w:sz w:val="21"/>
                <w:szCs w:val="21"/>
                <w:lang w:val="zh-CN"/>
              </w:rPr>
            </w:pPr>
            <w:r>
              <w:rPr>
                <w:rFonts w:hint="eastAsia" w:ascii="宋体" w:hAnsi="宋体"/>
                <w:color w:val="auto"/>
                <w:sz w:val="21"/>
                <w:szCs w:val="21"/>
                <w:lang w:val="zh-CN"/>
              </w:rPr>
              <w:t>③工作手段；</w:t>
            </w:r>
          </w:p>
          <w:p w14:paraId="7F352988">
            <w:pPr>
              <w:pStyle w:val="26"/>
              <w:spacing w:line="360" w:lineRule="exact"/>
              <w:ind w:firstLine="0" w:firstLineChars="0"/>
              <w:rPr>
                <w:rFonts w:hint="eastAsia" w:ascii="宋体" w:hAnsi="宋体"/>
                <w:color w:val="auto"/>
                <w:sz w:val="21"/>
                <w:szCs w:val="21"/>
                <w:lang w:val="zh-CN"/>
              </w:rPr>
            </w:pPr>
            <w:r>
              <w:rPr>
                <w:rFonts w:hint="eastAsia" w:ascii="宋体" w:hAnsi="宋体"/>
                <w:color w:val="auto"/>
                <w:sz w:val="21"/>
                <w:szCs w:val="21"/>
                <w:lang w:val="zh-CN"/>
              </w:rPr>
              <w:t>④工作流程等方面服务内容。</w:t>
            </w:r>
          </w:p>
          <w:p w14:paraId="58A54520">
            <w:pPr>
              <w:pStyle w:val="26"/>
              <w:spacing w:line="360" w:lineRule="exact"/>
              <w:ind w:firstLine="0" w:firstLineChars="0"/>
              <w:rPr>
                <w:rFonts w:hint="eastAsia" w:ascii="宋体" w:hAnsi="宋体"/>
                <w:color w:val="auto"/>
                <w:sz w:val="21"/>
                <w:szCs w:val="21"/>
                <w:lang w:val="zh-CN"/>
              </w:rPr>
            </w:pPr>
            <w:r>
              <w:rPr>
                <w:rFonts w:hint="eastAsia" w:ascii="宋体" w:hAnsi="宋体"/>
                <w:color w:val="auto"/>
                <w:sz w:val="21"/>
                <w:szCs w:val="21"/>
                <w:lang w:val="zh-CN"/>
              </w:rPr>
              <w:t>每满足以上</w:t>
            </w:r>
            <w:r>
              <w:rPr>
                <w:rFonts w:hint="eastAsia" w:ascii="宋体" w:hAnsi="宋体"/>
                <w:color w:val="auto"/>
                <w:sz w:val="21"/>
                <w:szCs w:val="21"/>
                <w:u w:val="single"/>
                <w:lang w:val="en-US" w:eastAsia="zh-CN"/>
              </w:rPr>
              <w:t>1</w:t>
            </w:r>
            <w:r>
              <w:rPr>
                <w:rFonts w:hint="eastAsia" w:ascii="宋体" w:hAnsi="宋体"/>
                <w:color w:val="auto"/>
                <w:sz w:val="21"/>
                <w:szCs w:val="21"/>
                <w:lang w:val="zh-CN"/>
              </w:rPr>
              <w:t>项内容得</w:t>
            </w:r>
            <w:r>
              <w:rPr>
                <w:rFonts w:hint="eastAsia" w:ascii="宋体" w:hAnsi="宋体"/>
                <w:color w:val="auto"/>
                <w:sz w:val="21"/>
                <w:szCs w:val="21"/>
                <w:u w:val="single"/>
                <w:lang w:val="zh-CN" w:eastAsia="zh-CN"/>
              </w:rPr>
              <w:t>1</w:t>
            </w:r>
            <w:r>
              <w:rPr>
                <w:rFonts w:hint="eastAsia" w:ascii="宋体" w:hAnsi="宋体"/>
                <w:color w:val="auto"/>
                <w:sz w:val="21"/>
                <w:szCs w:val="21"/>
                <w:lang w:val="zh-CN"/>
              </w:rPr>
              <w:t>分，最高得</w:t>
            </w:r>
            <w:r>
              <w:rPr>
                <w:rFonts w:hint="eastAsia" w:ascii="宋体" w:hAnsi="宋体"/>
                <w:color w:val="auto"/>
                <w:sz w:val="21"/>
                <w:szCs w:val="21"/>
                <w:u w:val="single"/>
                <w:lang w:val="zh-CN" w:eastAsia="zh-CN"/>
              </w:rPr>
              <w:t>4</w:t>
            </w:r>
            <w:r>
              <w:rPr>
                <w:rFonts w:hint="eastAsia" w:ascii="宋体" w:hAnsi="宋体"/>
                <w:color w:val="auto"/>
                <w:sz w:val="21"/>
                <w:szCs w:val="21"/>
                <w:lang w:val="zh-CN"/>
              </w:rPr>
              <w:t>分，未满足或未提供的不得分。</w:t>
            </w:r>
          </w:p>
          <w:p w14:paraId="1C082B29">
            <w:pPr>
              <w:pStyle w:val="26"/>
              <w:spacing w:line="360" w:lineRule="exact"/>
              <w:ind w:firstLine="0" w:firstLineChars="0"/>
              <w:rPr>
                <w:rFonts w:hint="eastAsia" w:ascii="宋体" w:hAnsi="宋体"/>
                <w:color w:val="auto"/>
                <w:sz w:val="21"/>
                <w:szCs w:val="21"/>
                <w:lang w:val="zh-CN"/>
              </w:rPr>
            </w:pPr>
            <w:r>
              <w:rPr>
                <w:rFonts w:hint="eastAsia" w:ascii="宋体" w:hAnsi="宋体"/>
                <w:color w:val="auto"/>
                <w:sz w:val="21"/>
                <w:szCs w:val="21"/>
                <w:lang w:val="zh-CN"/>
              </w:rPr>
              <w:t>（2）在此基础上，专家根据各供应商的具体响应内容按照量化的评审因素指标进一步评审：</w:t>
            </w:r>
          </w:p>
          <w:p w14:paraId="374F9034">
            <w:pPr>
              <w:pStyle w:val="26"/>
              <w:spacing w:line="360" w:lineRule="exact"/>
              <w:ind w:firstLine="0" w:firstLineChars="0"/>
              <w:rPr>
                <w:rFonts w:hint="eastAsia" w:ascii="宋体" w:hAnsi="宋体"/>
                <w:color w:val="auto"/>
                <w:sz w:val="21"/>
                <w:szCs w:val="21"/>
                <w:lang w:val="zh-CN"/>
              </w:rPr>
            </w:pPr>
            <w:r>
              <w:rPr>
                <w:rFonts w:hint="eastAsia" w:ascii="宋体" w:hAnsi="宋体"/>
                <w:color w:val="auto"/>
                <w:sz w:val="21"/>
                <w:szCs w:val="21"/>
                <w:lang w:val="zh-CN"/>
              </w:rPr>
              <w:t>①评审为优：方案非常可行、合理，符合</w:t>
            </w:r>
            <w:r>
              <w:rPr>
                <w:rFonts w:hint="eastAsia" w:ascii="宋体" w:hAnsi="宋体"/>
                <w:color w:val="auto"/>
                <w:sz w:val="21"/>
                <w:szCs w:val="21"/>
                <w:lang w:val="zh-CN" w:eastAsia="zh-CN"/>
              </w:rPr>
              <w:t>项目</w:t>
            </w:r>
            <w:r>
              <w:rPr>
                <w:rFonts w:hint="eastAsia" w:ascii="宋体" w:hAnsi="宋体"/>
                <w:color w:val="auto"/>
                <w:sz w:val="21"/>
                <w:szCs w:val="21"/>
                <w:lang w:val="zh-CN"/>
              </w:rPr>
              <w:t>实际，得</w:t>
            </w:r>
            <w:r>
              <w:rPr>
                <w:rFonts w:hint="eastAsia" w:ascii="宋体" w:hAnsi="宋体"/>
                <w:color w:val="auto"/>
                <w:sz w:val="21"/>
                <w:szCs w:val="21"/>
                <w:u w:val="single"/>
                <w:lang w:val="en-US" w:eastAsia="zh-CN"/>
              </w:rPr>
              <w:t>4</w:t>
            </w:r>
            <w:r>
              <w:rPr>
                <w:rFonts w:hint="eastAsia" w:ascii="宋体" w:hAnsi="宋体"/>
                <w:color w:val="auto"/>
                <w:sz w:val="21"/>
                <w:szCs w:val="21"/>
                <w:lang w:val="zh-CN"/>
              </w:rPr>
              <w:t>分。</w:t>
            </w:r>
          </w:p>
          <w:p w14:paraId="008C9A8D">
            <w:pPr>
              <w:pStyle w:val="26"/>
              <w:spacing w:line="360" w:lineRule="exact"/>
              <w:ind w:firstLine="0" w:firstLineChars="0"/>
              <w:rPr>
                <w:rFonts w:hint="eastAsia" w:ascii="宋体" w:hAnsi="宋体"/>
                <w:color w:val="auto"/>
                <w:sz w:val="21"/>
                <w:szCs w:val="21"/>
                <w:lang w:val="zh-CN"/>
              </w:rPr>
            </w:pPr>
            <w:r>
              <w:rPr>
                <w:rFonts w:hint="eastAsia" w:ascii="宋体" w:hAnsi="宋体"/>
                <w:color w:val="auto"/>
                <w:sz w:val="21"/>
                <w:szCs w:val="21"/>
                <w:lang w:val="zh-CN"/>
              </w:rPr>
              <w:t>②评审为良：方案可行、较合理，比较符合</w:t>
            </w:r>
            <w:r>
              <w:rPr>
                <w:rFonts w:hint="eastAsia" w:ascii="宋体" w:hAnsi="宋体"/>
                <w:color w:val="auto"/>
                <w:sz w:val="21"/>
                <w:szCs w:val="21"/>
                <w:lang w:val="zh-CN" w:eastAsia="zh-CN"/>
              </w:rPr>
              <w:t>项目</w:t>
            </w:r>
            <w:r>
              <w:rPr>
                <w:rFonts w:hint="eastAsia" w:ascii="宋体" w:hAnsi="宋体"/>
                <w:color w:val="auto"/>
                <w:sz w:val="21"/>
                <w:szCs w:val="21"/>
                <w:lang w:val="zh-CN"/>
              </w:rPr>
              <w:t>实际，得</w:t>
            </w:r>
            <w:r>
              <w:rPr>
                <w:rFonts w:hint="eastAsia" w:ascii="宋体" w:hAnsi="宋体"/>
                <w:color w:val="auto"/>
                <w:sz w:val="21"/>
                <w:szCs w:val="21"/>
                <w:u w:val="single"/>
                <w:lang w:val="en-US" w:eastAsia="zh-CN"/>
              </w:rPr>
              <w:t>2</w:t>
            </w:r>
            <w:r>
              <w:rPr>
                <w:rFonts w:hint="eastAsia" w:ascii="宋体" w:hAnsi="宋体"/>
                <w:color w:val="auto"/>
                <w:sz w:val="21"/>
                <w:szCs w:val="21"/>
                <w:lang w:val="zh-CN"/>
              </w:rPr>
              <w:t>分。</w:t>
            </w:r>
          </w:p>
          <w:p w14:paraId="68F31A13">
            <w:pPr>
              <w:pStyle w:val="26"/>
              <w:spacing w:line="360" w:lineRule="exact"/>
              <w:ind w:firstLine="0" w:firstLineChars="0"/>
              <w:rPr>
                <w:rFonts w:hint="eastAsia" w:ascii="宋体" w:hAnsi="宋体"/>
                <w:color w:val="auto"/>
                <w:sz w:val="21"/>
                <w:szCs w:val="21"/>
                <w:lang w:val="zh-CN"/>
              </w:rPr>
            </w:pPr>
            <w:r>
              <w:rPr>
                <w:rFonts w:hint="eastAsia" w:ascii="宋体" w:hAnsi="宋体"/>
                <w:color w:val="auto"/>
                <w:sz w:val="21"/>
                <w:szCs w:val="21"/>
                <w:lang w:val="zh-CN"/>
              </w:rPr>
              <w:t>③评审为中：方案可行、合理、评价一般，基本符合</w:t>
            </w:r>
            <w:r>
              <w:rPr>
                <w:rFonts w:hint="eastAsia" w:ascii="宋体" w:hAnsi="宋体"/>
                <w:color w:val="auto"/>
                <w:sz w:val="21"/>
                <w:szCs w:val="21"/>
                <w:lang w:val="zh-CN" w:eastAsia="zh-CN"/>
              </w:rPr>
              <w:t>项目</w:t>
            </w:r>
            <w:r>
              <w:rPr>
                <w:rFonts w:hint="eastAsia" w:ascii="宋体" w:hAnsi="宋体"/>
                <w:color w:val="auto"/>
                <w:sz w:val="21"/>
                <w:szCs w:val="21"/>
                <w:lang w:val="zh-CN"/>
              </w:rPr>
              <w:t>实际，得</w:t>
            </w:r>
            <w:r>
              <w:rPr>
                <w:rFonts w:hint="eastAsia" w:ascii="宋体" w:hAnsi="宋体"/>
                <w:color w:val="auto"/>
                <w:sz w:val="21"/>
                <w:szCs w:val="21"/>
                <w:u w:val="single"/>
                <w:lang w:val="en-US" w:eastAsia="zh-CN"/>
              </w:rPr>
              <w:t>1</w:t>
            </w:r>
            <w:r>
              <w:rPr>
                <w:rFonts w:hint="eastAsia" w:ascii="宋体" w:hAnsi="宋体"/>
                <w:color w:val="auto"/>
                <w:sz w:val="21"/>
                <w:szCs w:val="21"/>
                <w:lang w:val="zh-CN"/>
              </w:rPr>
              <w:t>分。</w:t>
            </w:r>
          </w:p>
          <w:p w14:paraId="46091E84">
            <w:pPr>
              <w:pStyle w:val="26"/>
              <w:spacing w:line="360" w:lineRule="exact"/>
              <w:ind w:firstLine="0" w:firstLineChars="0"/>
              <w:rPr>
                <w:rFonts w:hint="eastAsia" w:ascii="宋体" w:hAnsi="宋体"/>
                <w:color w:val="auto"/>
                <w:sz w:val="21"/>
                <w:szCs w:val="21"/>
                <w:lang w:val="zh-CN"/>
              </w:rPr>
            </w:pPr>
            <w:r>
              <w:rPr>
                <w:rFonts w:hint="eastAsia" w:ascii="宋体" w:hAnsi="宋体"/>
                <w:color w:val="auto"/>
                <w:sz w:val="21"/>
                <w:szCs w:val="21"/>
                <w:lang w:val="zh-CN"/>
              </w:rPr>
              <w:t>④评审为差：方案可行性差、方案不可行，得0分。</w:t>
            </w:r>
          </w:p>
          <w:p w14:paraId="0B01C7EF">
            <w:pPr>
              <w:pStyle w:val="26"/>
              <w:spacing w:line="360" w:lineRule="exact"/>
              <w:ind w:firstLine="0" w:firstLineChars="0"/>
              <w:rPr>
                <w:rFonts w:hint="eastAsia" w:ascii="宋体" w:hAnsi="宋体"/>
                <w:color w:val="auto"/>
                <w:sz w:val="21"/>
                <w:szCs w:val="21"/>
                <w:lang w:val="zh-CN"/>
              </w:rPr>
            </w:pPr>
            <w:r>
              <w:rPr>
                <w:rFonts w:hint="eastAsia" w:ascii="宋体" w:hAnsi="宋体"/>
                <w:color w:val="auto"/>
                <w:sz w:val="21"/>
                <w:szCs w:val="21"/>
                <w:lang w:val="zh-CN"/>
              </w:rPr>
              <w:t>如果评审为差，要求专家书面说明理由，并记录在档。</w:t>
            </w:r>
          </w:p>
          <w:p w14:paraId="7BF4FF6D">
            <w:pPr>
              <w:pStyle w:val="26"/>
              <w:spacing w:line="360" w:lineRule="exact"/>
              <w:ind w:firstLine="0" w:firstLineChars="0"/>
              <w:rPr>
                <w:rFonts w:hint="eastAsia" w:ascii="宋体" w:hAnsi="宋体"/>
                <w:color w:val="auto"/>
                <w:sz w:val="21"/>
                <w:szCs w:val="21"/>
                <w:lang w:val="zh-CN"/>
              </w:rPr>
            </w:pPr>
            <w:r>
              <w:rPr>
                <w:rFonts w:hint="eastAsia" w:ascii="宋体" w:hAnsi="宋体"/>
                <w:color w:val="auto"/>
                <w:sz w:val="21"/>
                <w:szCs w:val="21"/>
                <w:lang w:val="zh-CN"/>
              </w:rPr>
              <w:t>以上两项合计最高得满分。</w:t>
            </w:r>
          </w:p>
          <w:p w14:paraId="6BC81738">
            <w:pPr>
              <w:pStyle w:val="26"/>
              <w:spacing w:line="360" w:lineRule="exact"/>
              <w:ind w:firstLine="0" w:firstLineChars="0"/>
              <w:rPr>
                <w:rFonts w:hint="eastAsia" w:ascii="宋体" w:hAnsi="宋体" w:eastAsia="宋体" w:cs="宋体"/>
                <w:color w:val="auto"/>
                <w:szCs w:val="21"/>
              </w:rPr>
            </w:pPr>
            <w:r>
              <w:rPr>
                <w:rFonts w:hint="eastAsia" w:ascii="宋体" w:hAnsi="宋体"/>
                <w:color w:val="auto"/>
                <w:sz w:val="21"/>
                <w:szCs w:val="21"/>
                <w:lang w:val="zh-CN"/>
              </w:rPr>
              <w:t>未按要求提供或提供不清晰导致专家无法判断的不得分。</w:t>
            </w:r>
          </w:p>
        </w:tc>
      </w:tr>
      <w:tr w14:paraId="1F941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dxa"/>
            <w:vMerge w:val="continue"/>
            <w:noWrap w:val="0"/>
            <w:vAlign w:val="top"/>
          </w:tcPr>
          <w:p w14:paraId="290C6224">
            <w:pPr>
              <w:jc w:val="left"/>
              <w:rPr>
                <w:rFonts w:hint="eastAsia" w:ascii="宋体" w:hAnsi="宋体" w:eastAsia="宋体" w:cs="宋体"/>
                <w:color w:val="auto"/>
                <w:szCs w:val="21"/>
              </w:rPr>
            </w:pPr>
          </w:p>
        </w:tc>
        <w:tc>
          <w:tcPr>
            <w:tcW w:w="750" w:type="dxa"/>
            <w:noWrap w:val="0"/>
            <w:vAlign w:val="center"/>
          </w:tcPr>
          <w:p w14:paraId="227B3F82">
            <w:pPr>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1325" w:type="dxa"/>
            <w:noWrap w:val="0"/>
            <w:vAlign w:val="center"/>
          </w:tcPr>
          <w:p w14:paraId="288B72CD">
            <w:pPr>
              <w:widowControl/>
              <w:spacing w:line="360" w:lineRule="exact"/>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售后服务能力</w:t>
            </w:r>
          </w:p>
        </w:tc>
        <w:tc>
          <w:tcPr>
            <w:tcW w:w="764" w:type="dxa"/>
            <w:noWrap w:val="0"/>
            <w:vAlign w:val="center"/>
          </w:tcPr>
          <w:p w14:paraId="33305A04">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5</w:t>
            </w:r>
          </w:p>
        </w:tc>
        <w:tc>
          <w:tcPr>
            <w:tcW w:w="1118" w:type="dxa"/>
            <w:noWrap w:val="0"/>
            <w:vAlign w:val="center"/>
          </w:tcPr>
          <w:p w14:paraId="2AD90C53">
            <w:pPr>
              <w:jc w:val="center"/>
              <w:rPr>
                <w:rFonts w:hint="eastAsia" w:ascii="宋体" w:hAnsi="宋体" w:eastAsia="宋体" w:cs="宋体"/>
                <w:color w:val="auto"/>
                <w:szCs w:val="21"/>
              </w:rPr>
            </w:pPr>
            <w:r>
              <w:rPr>
                <w:rFonts w:hint="eastAsia" w:ascii="宋体" w:hAnsi="宋体" w:eastAsia="宋体" w:cs="宋体"/>
                <w:color w:val="auto"/>
                <w:szCs w:val="21"/>
              </w:rPr>
              <w:t>专家打分</w:t>
            </w:r>
          </w:p>
        </w:tc>
        <w:tc>
          <w:tcPr>
            <w:tcW w:w="4449" w:type="dxa"/>
            <w:gridSpan w:val="2"/>
            <w:noWrap w:val="0"/>
            <w:vAlign w:val="center"/>
          </w:tcPr>
          <w:p w14:paraId="373104D7">
            <w:pPr>
              <w:pStyle w:val="26"/>
              <w:spacing w:line="360" w:lineRule="exact"/>
              <w:ind w:firstLine="0" w:firstLineChars="0"/>
              <w:rPr>
                <w:rFonts w:ascii="宋体" w:hAnsi="宋体"/>
                <w:color w:val="auto"/>
                <w:szCs w:val="21"/>
              </w:rPr>
            </w:pPr>
            <w:r>
              <w:rPr>
                <w:rFonts w:hint="eastAsia" w:ascii="宋体" w:hAnsi="宋体"/>
                <w:color w:val="auto"/>
                <w:szCs w:val="21"/>
              </w:rPr>
              <w:t>（一）评分内容：</w:t>
            </w:r>
          </w:p>
          <w:p w14:paraId="3DFF3A31">
            <w:pPr>
              <w:autoSpaceDE w:val="0"/>
              <w:autoSpaceDN w:val="0"/>
              <w:adjustRightInd w:val="0"/>
              <w:spacing w:line="360" w:lineRule="exact"/>
              <w:jc w:val="left"/>
              <w:rPr>
                <w:rFonts w:ascii="宋体" w:hAnsi="宋体"/>
                <w:color w:val="auto"/>
                <w:kern w:val="0"/>
                <w:szCs w:val="21"/>
              </w:rPr>
            </w:pPr>
            <w:r>
              <w:rPr>
                <w:rFonts w:hint="eastAsia" w:ascii="宋体" w:hAnsi="宋体"/>
                <w:color w:val="auto"/>
                <w:kern w:val="0"/>
                <w:szCs w:val="21"/>
              </w:rPr>
              <w:t>综合评估投标人在行业内的售后服务水平，响应速度，服务口碑。投标人应在投标文件中提供售后服务能力介绍，应包括但不限于（1）售后服务方案（2）售后服务团队（3）售后培训方案（4）售后实施方案等（5）在深圳各医院的售后服务满意度情况</w:t>
            </w:r>
          </w:p>
          <w:p w14:paraId="0DD59592">
            <w:pPr>
              <w:autoSpaceDE w:val="0"/>
              <w:autoSpaceDN w:val="0"/>
              <w:adjustRightInd w:val="0"/>
              <w:spacing w:line="360" w:lineRule="exact"/>
              <w:jc w:val="left"/>
              <w:rPr>
                <w:rFonts w:ascii="宋体" w:hAnsi="宋体"/>
                <w:color w:val="auto"/>
                <w:kern w:val="0"/>
                <w:szCs w:val="21"/>
              </w:rPr>
            </w:pPr>
            <w:r>
              <w:rPr>
                <w:rFonts w:hint="eastAsia" w:ascii="宋体" w:hAnsi="宋体"/>
                <w:color w:val="auto"/>
                <w:kern w:val="0"/>
                <w:szCs w:val="21"/>
              </w:rPr>
              <w:t>（二）评分标准：</w:t>
            </w:r>
          </w:p>
          <w:p w14:paraId="6612A036">
            <w:pPr>
              <w:pStyle w:val="26"/>
              <w:spacing w:line="360" w:lineRule="exact"/>
              <w:ind w:firstLine="0" w:firstLineChars="0"/>
              <w:rPr>
                <w:rFonts w:ascii="宋体" w:hAnsi="宋体"/>
                <w:color w:val="auto"/>
                <w:szCs w:val="21"/>
                <w:lang w:val="zh-CN"/>
              </w:rPr>
            </w:pPr>
            <w:r>
              <w:rPr>
                <w:rFonts w:hint="eastAsia" w:ascii="宋体" w:hAnsi="宋体"/>
                <w:color w:val="auto"/>
                <w:szCs w:val="21"/>
                <w:lang w:val="zh-CN"/>
              </w:rPr>
              <w:t>1.每提供以上</w:t>
            </w:r>
            <w:r>
              <w:rPr>
                <w:rFonts w:hint="eastAsia" w:ascii="宋体" w:hAnsi="宋体"/>
                <w:color w:val="auto"/>
                <w:szCs w:val="21"/>
                <w:u w:val="single"/>
                <w:lang w:val="en-US" w:eastAsia="zh-CN"/>
              </w:rPr>
              <w:t xml:space="preserve">  1 </w:t>
            </w:r>
            <w:r>
              <w:rPr>
                <w:rFonts w:hint="eastAsia" w:ascii="宋体" w:hAnsi="宋体"/>
                <w:color w:val="auto"/>
                <w:szCs w:val="21"/>
                <w:lang w:val="zh-CN"/>
              </w:rPr>
              <w:t>项内容得</w:t>
            </w:r>
            <w:r>
              <w:rPr>
                <w:rFonts w:hint="eastAsia" w:ascii="宋体" w:hAnsi="宋体"/>
                <w:color w:val="auto"/>
                <w:szCs w:val="21"/>
                <w:u w:val="single"/>
                <w:lang w:val="en-US" w:eastAsia="zh-CN"/>
              </w:rPr>
              <w:t xml:space="preserve">  1</w:t>
            </w:r>
            <w:r>
              <w:rPr>
                <w:rFonts w:hint="eastAsia" w:ascii="宋体" w:hAnsi="宋体"/>
                <w:color w:val="auto"/>
                <w:szCs w:val="21"/>
                <w:lang w:val="zh-CN"/>
              </w:rPr>
              <w:t>分，满分得</w:t>
            </w:r>
            <w:r>
              <w:rPr>
                <w:rFonts w:hint="eastAsia" w:ascii="宋体" w:hAnsi="宋体"/>
                <w:color w:val="auto"/>
                <w:szCs w:val="21"/>
                <w:u w:val="single"/>
                <w:lang w:val="en-US" w:eastAsia="zh-CN"/>
              </w:rPr>
              <w:t xml:space="preserve"> 5 </w:t>
            </w:r>
            <w:r>
              <w:rPr>
                <w:rFonts w:hint="eastAsia" w:ascii="宋体" w:hAnsi="宋体"/>
                <w:color w:val="auto"/>
                <w:szCs w:val="21"/>
                <w:lang w:val="zh-CN"/>
              </w:rPr>
              <w:t>分。</w:t>
            </w:r>
          </w:p>
          <w:p w14:paraId="68F493A1">
            <w:pPr>
              <w:pStyle w:val="26"/>
              <w:spacing w:line="360" w:lineRule="exact"/>
              <w:ind w:firstLine="0" w:firstLineChars="0"/>
              <w:rPr>
                <w:rFonts w:ascii="宋体" w:hAnsi="宋体"/>
                <w:color w:val="auto"/>
                <w:szCs w:val="21"/>
                <w:lang w:val="zh-CN"/>
              </w:rPr>
            </w:pPr>
            <w:r>
              <w:rPr>
                <w:rFonts w:hint="eastAsia" w:ascii="宋体" w:hAnsi="宋体"/>
                <w:color w:val="auto"/>
                <w:szCs w:val="21"/>
                <w:lang w:val="zh-CN"/>
              </w:rPr>
              <w:t>2.在此基础上，专家根据各供应商的具体响应内容按照量化的评审因素指标进一步评审：</w:t>
            </w:r>
          </w:p>
          <w:p w14:paraId="0FE6FDA5">
            <w:pPr>
              <w:pStyle w:val="26"/>
              <w:spacing w:line="360" w:lineRule="exact"/>
              <w:ind w:firstLine="0" w:firstLineChars="0"/>
              <w:rPr>
                <w:rFonts w:ascii="宋体" w:hAnsi="宋体"/>
                <w:color w:val="auto"/>
                <w:szCs w:val="21"/>
                <w:lang w:val="zh-CN"/>
              </w:rPr>
            </w:pPr>
            <w:r>
              <w:rPr>
                <w:rFonts w:hint="eastAsia" w:ascii="宋体" w:hAnsi="宋体"/>
                <w:color w:val="auto"/>
                <w:szCs w:val="21"/>
                <w:lang w:val="zh-CN"/>
              </w:rPr>
              <w:t>①</w:t>
            </w:r>
            <w:r>
              <w:rPr>
                <w:rFonts w:hint="eastAsia" w:ascii="宋体" w:hAnsi="宋体"/>
                <w:color w:val="auto"/>
                <w:szCs w:val="21"/>
              </w:rPr>
              <w:t xml:space="preserve"> </w:t>
            </w:r>
            <w:r>
              <w:rPr>
                <w:rFonts w:hint="eastAsia" w:ascii="宋体" w:hAnsi="宋体"/>
                <w:color w:val="auto"/>
                <w:szCs w:val="21"/>
                <w:lang w:val="zh-CN"/>
              </w:rPr>
              <w:t>售后服务</w:t>
            </w:r>
            <w:r>
              <w:rPr>
                <w:rFonts w:hint="eastAsia" w:ascii="宋体" w:hAnsi="宋体"/>
                <w:color w:val="auto"/>
                <w:szCs w:val="21"/>
                <w:lang w:val="en-US" w:eastAsia="zh-CN"/>
              </w:rPr>
              <w:t>能力</w:t>
            </w:r>
            <w:r>
              <w:rPr>
                <w:rFonts w:hint="eastAsia" w:ascii="宋体" w:hAnsi="宋体"/>
                <w:color w:val="auto"/>
                <w:szCs w:val="21"/>
                <w:lang w:val="zh-CN"/>
              </w:rPr>
              <w:t>内容科学性、合理性、针对性强，方案详细、具体的，评审为优，加</w:t>
            </w:r>
            <w:r>
              <w:rPr>
                <w:rFonts w:hint="eastAsia" w:ascii="宋体" w:hAnsi="宋体"/>
                <w:color w:val="auto"/>
                <w:szCs w:val="21"/>
                <w:u w:val="single"/>
                <w:lang w:val="en-US" w:eastAsia="zh-CN"/>
              </w:rPr>
              <w:t xml:space="preserve"> 5 </w:t>
            </w:r>
            <w:r>
              <w:rPr>
                <w:rFonts w:hint="eastAsia" w:ascii="宋体" w:hAnsi="宋体"/>
                <w:color w:val="auto"/>
                <w:szCs w:val="21"/>
                <w:lang w:val="zh-CN"/>
              </w:rPr>
              <w:t>分；</w:t>
            </w:r>
          </w:p>
          <w:p w14:paraId="0D4D8B1A">
            <w:pPr>
              <w:pStyle w:val="26"/>
              <w:spacing w:line="360" w:lineRule="exact"/>
              <w:ind w:firstLine="0" w:firstLineChars="0"/>
              <w:rPr>
                <w:rFonts w:ascii="宋体" w:hAnsi="宋体"/>
                <w:color w:val="auto"/>
                <w:szCs w:val="21"/>
                <w:lang w:val="zh-CN"/>
              </w:rPr>
            </w:pPr>
            <w:r>
              <w:rPr>
                <w:rFonts w:hint="eastAsia" w:ascii="宋体" w:hAnsi="宋体"/>
                <w:color w:val="auto"/>
                <w:szCs w:val="21"/>
                <w:lang w:val="zh-CN"/>
              </w:rPr>
              <w:t>②</w:t>
            </w:r>
            <w:r>
              <w:rPr>
                <w:rFonts w:hint="eastAsia" w:ascii="宋体" w:hAnsi="宋体"/>
                <w:color w:val="auto"/>
                <w:szCs w:val="21"/>
              </w:rPr>
              <w:t xml:space="preserve"> </w:t>
            </w:r>
            <w:r>
              <w:rPr>
                <w:rFonts w:hint="eastAsia" w:ascii="宋体" w:hAnsi="宋体"/>
                <w:color w:val="auto"/>
                <w:szCs w:val="21"/>
                <w:lang w:val="zh-CN"/>
              </w:rPr>
              <w:t>售后服务</w:t>
            </w:r>
            <w:r>
              <w:rPr>
                <w:rFonts w:hint="eastAsia" w:ascii="宋体" w:hAnsi="宋体"/>
                <w:color w:val="auto"/>
                <w:szCs w:val="21"/>
                <w:lang w:val="zh-CN" w:eastAsia="zh-CN"/>
              </w:rPr>
              <w:t>能力</w:t>
            </w:r>
            <w:r>
              <w:rPr>
                <w:rFonts w:hint="eastAsia" w:ascii="宋体" w:hAnsi="宋体"/>
                <w:color w:val="auto"/>
                <w:szCs w:val="21"/>
                <w:lang w:val="zh-CN"/>
              </w:rPr>
              <w:t>内容科学性、合理性、针对性较强，方案较详细、具体的，评审为良，加</w:t>
            </w:r>
            <w:r>
              <w:rPr>
                <w:rFonts w:hint="eastAsia" w:ascii="宋体" w:hAnsi="宋体"/>
                <w:color w:val="auto"/>
                <w:szCs w:val="21"/>
                <w:u w:val="single"/>
                <w:lang w:val="en-US" w:eastAsia="zh-CN"/>
              </w:rPr>
              <w:t xml:space="preserve">  2 </w:t>
            </w:r>
            <w:r>
              <w:rPr>
                <w:rFonts w:hint="eastAsia" w:ascii="宋体" w:hAnsi="宋体"/>
                <w:color w:val="auto"/>
                <w:szCs w:val="21"/>
                <w:lang w:val="zh-CN"/>
              </w:rPr>
              <w:t>分；</w:t>
            </w:r>
          </w:p>
          <w:p w14:paraId="03B3B957">
            <w:pPr>
              <w:pStyle w:val="26"/>
              <w:spacing w:line="360" w:lineRule="exact"/>
              <w:ind w:firstLine="0" w:firstLineChars="0"/>
              <w:rPr>
                <w:rFonts w:ascii="宋体" w:hAnsi="宋体"/>
                <w:color w:val="auto"/>
                <w:szCs w:val="21"/>
                <w:lang w:val="zh-CN"/>
              </w:rPr>
            </w:pPr>
            <w:r>
              <w:rPr>
                <w:rFonts w:hint="eastAsia" w:ascii="宋体" w:hAnsi="宋体"/>
                <w:color w:val="auto"/>
                <w:szCs w:val="21"/>
                <w:lang w:val="zh-CN"/>
              </w:rPr>
              <w:t>③</w:t>
            </w:r>
            <w:r>
              <w:rPr>
                <w:rFonts w:hint="eastAsia" w:ascii="宋体" w:hAnsi="宋体"/>
                <w:color w:val="auto"/>
                <w:szCs w:val="21"/>
              </w:rPr>
              <w:t xml:space="preserve"> </w:t>
            </w:r>
            <w:r>
              <w:rPr>
                <w:rFonts w:hint="eastAsia" w:ascii="宋体" w:hAnsi="宋体"/>
                <w:color w:val="auto"/>
                <w:szCs w:val="21"/>
                <w:lang w:val="zh-CN"/>
              </w:rPr>
              <w:t>售后服务</w:t>
            </w:r>
            <w:r>
              <w:rPr>
                <w:rFonts w:hint="eastAsia" w:ascii="宋体" w:hAnsi="宋体"/>
                <w:color w:val="auto"/>
                <w:szCs w:val="21"/>
                <w:lang w:val="zh-CN" w:eastAsia="zh-CN"/>
              </w:rPr>
              <w:t>能力</w:t>
            </w:r>
            <w:r>
              <w:rPr>
                <w:rFonts w:hint="eastAsia" w:ascii="宋体" w:hAnsi="宋体"/>
                <w:color w:val="auto"/>
                <w:szCs w:val="21"/>
                <w:lang w:val="zh-CN"/>
              </w:rPr>
              <w:t>内容科学性、合理性、针对性一般，方案一般的，评审为中，加</w:t>
            </w:r>
            <w:r>
              <w:rPr>
                <w:rFonts w:hint="eastAsia" w:ascii="宋体" w:hAnsi="宋体"/>
                <w:color w:val="auto"/>
                <w:szCs w:val="21"/>
                <w:u w:val="single"/>
                <w:lang w:val="en-US" w:eastAsia="zh-CN"/>
              </w:rPr>
              <w:t xml:space="preserve"> 1 </w:t>
            </w:r>
            <w:r>
              <w:rPr>
                <w:rFonts w:hint="eastAsia" w:ascii="宋体" w:hAnsi="宋体"/>
                <w:color w:val="auto"/>
                <w:szCs w:val="21"/>
                <w:lang w:val="zh-CN"/>
              </w:rPr>
              <w:t>分；</w:t>
            </w:r>
          </w:p>
          <w:p w14:paraId="4AFC9171">
            <w:pPr>
              <w:pStyle w:val="26"/>
              <w:spacing w:line="360" w:lineRule="exact"/>
              <w:ind w:firstLine="0" w:firstLineChars="0"/>
              <w:rPr>
                <w:rFonts w:hint="eastAsia" w:ascii="宋体" w:hAnsi="宋体" w:eastAsia="宋体" w:cs="宋体"/>
                <w:color w:val="auto"/>
                <w:szCs w:val="21"/>
              </w:rPr>
            </w:pPr>
            <w:r>
              <w:rPr>
                <w:rFonts w:hint="eastAsia" w:ascii="宋体" w:hAnsi="宋体"/>
                <w:color w:val="auto"/>
                <w:szCs w:val="21"/>
                <w:lang w:val="zh-CN"/>
              </w:rPr>
              <w:t>④</w:t>
            </w:r>
            <w:r>
              <w:rPr>
                <w:rFonts w:hint="eastAsia" w:ascii="宋体" w:hAnsi="宋体"/>
                <w:color w:val="auto"/>
                <w:szCs w:val="21"/>
              </w:rPr>
              <w:t xml:space="preserve"> </w:t>
            </w:r>
            <w:r>
              <w:rPr>
                <w:rFonts w:hint="eastAsia" w:ascii="宋体" w:hAnsi="宋体"/>
                <w:color w:val="auto"/>
                <w:szCs w:val="21"/>
                <w:lang w:val="zh-CN"/>
              </w:rPr>
              <w:t>售后服务</w:t>
            </w:r>
            <w:r>
              <w:rPr>
                <w:rFonts w:hint="eastAsia" w:ascii="宋体" w:hAnsi="宋体"/>
                <w:color w:val="auto"/>
                <w:szCs w:val="21"/>
                <w:lang w:val="zh-CN" w:eastAsia="zh-CN"/>
              </w:rPr>
              <w:t>能力</w:t>
            </w:r>
            <w:r>
              <w:rPr>
                <w:rFonts w:hint="eastAsia" w:ascii="宋体" w:hAnsi="宋体"/>
                <w:color w:val="auto"/>
                <w:szCs w:val="21"/>
                <w:lang w:val="zh-CN"/>
              </w:rPr>
              <w:t>内容不合理或未提供或内容与评审因素无关的，评审为差，不加分。</w:t>
            </w:r>
          </w:p>
        </w:tc>
      </w:tr>
      <w:tr w14:paraId="70F8D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50" w:type="dxa"/>
            <w:noWrap w:val="0"/>
            <w:vAlign w:val="center"/>
          </w:tcPr>
          <w:p w14:paraId="0F4AD69A">
            <w:pPr>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3957" w:type="dxa"/>
            <w:gridSpan w:val="4"/>
            <w:noWrap w:val="0"/>
            <w:vAlign w:val="center"/>
          </w:tcPr>
          <w:p w14:paraId="013DD6C7">
            <w:pPr>
              <w:jc w:val="center"/>
              <w:rPr>
                <w:rFonts w:hint="eastAsia" w:ascii="宋体" w:hAnsi="宋体" w:eastAsia="宋体" w:cs="宋体"/>
                <w:color w:val="auto"/>
                <w:szCs w:val="21"/>
              </w:rPr>
            </w:pPr>
            <w:r>
              <w:rPr>
                <w:rFonts w:hint="eastAsia" w:ascii="宋体" w:hAnsi="宋体" w:eastAsia="宋体" w:cs="宋体"/>
                <w:color w:val="auto"/>
                <w:szCs w:val="21"/>
              </w:rPr>
              <w:t>商务部分</w:t>
            </w:r>
          </w:p>
        </w:tc>
        <w:tc>
          <w:tcPr>
            <w:tcW w:w="4449" w:type="dxa"/>
            <w:gridSpan w:val="2"/>
            <w:noWrap w:val="0"/>
            <w:vAlign w:val="center"/>
          </w:tcPr>
          <w:p w14:paraId="2C2738E4">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15</w:t>
            </w:r>
          </w:p>
        </w:tc>
      </w:tr>
      <w:tr w14:paraId="10CA8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650" w:type="dxa"/>
            <w:vMerge w:val="restart"/>
            <w:noWrap w:val="0"/>
            <w:vAlign w:val="top"/>
          </w:tcPr>
          <w:p w14:paraId="192B91F7">
            <w:pPr>
              <w:jc w:val="left"/>
              <w:rPr>
                <w:rFonts w:hint="eastAsia" w:ascii="宋体" w:hAnsi="宋体" w:eastAsia="宋体" w:cs="宋体"/>
                <w:color w:val="auto"/>
                <w:szCs w:val="21"/>
              </w:rPr>
            </w:pPr>
          </w:p>
        </w:tc>
        <w:tc>
          <w:tcPr>
            <w:tcW w:w="750" w:type="dxa"/>
            <w:noWrap w:val="0"/>
            <w:vAlign w:val="top"/>
          </w:tcPr>
          <w:p w14:paraId="4CA8333F">
            <w:pPr>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325" w:type="dxa"/>
            <w:noWrap w:val="0"/>
            <w:vAlign w:val="top"/>
          </w:tcPr>
          <w:p w14:paraId="2A81229F">
            <w:pPr>
              <w:jc w:val="center"/>
              <w:rPr>
                <w:rFonts w:hint="eastAsia" w:ascii="宋体" w:hAnsi="宋体" w:eastAsia="宋体" w:cs="宋体"/>
                <w:color w:val="auto"/>
                <w:szCs w:val="21"/>
              </w:rPr>
            </w:pPr>
            <w:r>
              <w:rPr>
                <w:rFonts w:hint="eastAsia" w:ascii="宋体" w:hAnsi="宋体" w:eastAsia="宋体" w:cs="宋体"/>
                <w:color w:val="auto"/>
                <w:szCs w:val="21"/>
              </w:rPr>
              <w:t>评分因素</w:t>
            </w:r>
          </w:p>
        </w:tc>
        <w:tc>
          <w:tcPr>
            <w:tcW w:w="764" w:type="dxa"/>
            <w:noWrap w:val="0"/>
            <w:vAlign w:val="top"/>
          </w:tcPr>
          <w:p w14:paraId="5CA2E3DC">
            <w:pPr>
              <w:jc w:val="center"/>
              <w:rPr>
                <w:rFonts w:hint="eastAsia" w:ascii="宋体" w:hAnsi="宋体" w:eastAsia="宋体" w:cs="宋体"/>
                <w:color w:val="auto"/>
                <w:szCs w:val="21"/>
              </w:rPr>
            </w:pPr>
            <w:r>
              <w:rPr>
                <w:rFonts w:hint="eastAsia" w:ascii="宋体" w:hAnsi="宋体" w:eastAsia="宋体" w:cs="宋体"/>
                <w:color w:val="auto"/>
                <w:szCs w:val="21"/>
              </w:rPr>
              <w:t>权重</w:t>
            </w:r>
          </w:p>
        </w:tc>
        <w:tc>
          <w:tcPr>
            <w:tcW w:w="1118" w:type="dxa"/>
            <w:noWrap w:val="0"/>
            <w:vAlign w:val="top"/>
          </w:tcPr>
          <w:p w14:paraId="3609F654">
            <w:pPr>
              <w:jc w:val="center"/>
              <w:rPr>
                <w:rFonts w:hint="eastAsia" w:ascii="宋体" w:hAnsi="宋体" w:eastAsia="宋体" w:cs="宋体"/>
                <w:color w:val="auto"/>
                <w:szCs w:val="21"/>
              </w:rPr>
            </w:pPr>
            <w:r>
              <w:rPr>
                <w:rFonts w:hint="eastAsia" w:ascii="宋体" w:hAnsi="宋体" w:eastAsia="宋体" w:cs="宋体"/>
                <w:color w:val="auto"/>
                <w:szCs w:val="21"/>
              </w:rPr>
              <w:t>评分方式</w:t>
            </w:r>
          </w:p>
        </w:tc>
        <w:tc>
          <w:tcPr>
            <w:tcW w:w="4449" w:type="dxa"/>
            <w:gridSpan w:val="2"/>
            <w:noWrap w:val="0"/>
            <w:vAlign w:val="top"/>
          </w:tcPr>
          <w:p w14:paraId="6BD8E1EB">
            <w:pPr>
              <w:jc w:val="center"/>
              <w:rPr>
                <w:rFonts w:hint="eastAsia" w:ascii="宋体" w:hAnsi="宋体" w:eastAsia="宋体" w:cs="宋体"/>
                <w:color w:val="auto"/>
                <w:szCs w:val="21"/>
              </w:rPr>
            </w:pPr>
            <w:r>
              <w:rPr>
                <w:rFonts w:hint="eastAsia" w:ascii="宋体" w:hAnsi="宋体" w:eastAsia="宋体" w:cs="宋体"/>
                <w:color w:val="auto"/>
                <w:szCs w:val="21"/>
              </w:rPr>
              <w:t>评分准则</w:t>
            </w:r>
          </w:p>
        </w:tc>
      </w:tr>
      <w:tr w14:paraId="38FD3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650" w:type="dxa"/>
            <w:vMerge w:val="continue"/>
            <w:noWrap w:val="0"/>
            <w:vAlign w:val="top"/>
          </w:tcPr>
          <w:p w14:paraId="2EE37219">
            <w:pPr>
              <w:jc w:val="left"/>
              <w:rPr>
                <w:rFonts w:hint="eastAsia" w:ascii="宋体" w:hAnsi="宋体" w:eastAsia="宋体" w:cs="宋体"/>
                <w:color w:val="auto"/>
                <w:szCs w:val="21"/>
              </w:rPr>
            </w:pPr>
          </w:p>
        </w:tc>
        <w:tc>
          <w:tcPr>
            <w:tcW w:w="750" w:type="dxa"/>
            <w:tcBorders>
              <w:bottom w:val="single" w:color="auto" w:sz="8" w:space="0"/>
            </w:tcBorders>
            <w:noWrap w:val="0"/>
            <w:vAlign w:val="center"/>
          </w:tcPr>
          <w:p w14:paraId="0423AA81">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325" w:type="dxa"/>
            <w:tcBorders>
              <w:bottom w:val="single" w:color="auto" w:sz="8" w:space="0"/>
            </w:tcBorders>
            <w:noWrap w:val="0"/>
            <w:vAlign w:val="center"/>
          </w:tcPr>
          <w:p w14:paraId="1755F860">
            <w:pPr>
              <w:jc w:val="center"/>
              <w:rPr>
                <w:rFonts w:hint="eastAsia" w:ascii="宋体" w:hAnsi="宋体" w:eastAsia="宋体" w:cs="宋体"/>
                <w:color w:val="auto"/>
                <w:szCs w:val="21"/>
              </w:rPr>
            </w:pPr>
            <w:r>
              <w:rPr>
                <w:rFonts w:hint="eastAsia" w:ascii="宋体" w:hAnsi="宋体" w:eastAsia="宋体" w:cs="宋体"/>
                <w:color w:val="auto"/>
                <w:szCs w:val="21"/>
              </w:rPr>
              <w:t>商务要求响应情况</w:t>
            </w:r>
          </w:p>
        </w:tc>
        <w:tc>
          <w:tcPr>
            <w:tcW w:w="764" w:type="dxa"/>
            <w:tcBorders>
              <w:bottom w:val="single" w:color="auto" w:sz="8" w:space="0"/>
            </w:tcBorders>
            <w:noWrap w:val="0"/>
            <w:vAlign w:val="center"/>
          </w:tcPr>
          <w:p w14:paraId="55F7B043">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9</w:t>
            </w:r>
          </w:p>
        </w:tc>
        <w:tc>
          <w:tcPr>
            <w:tcW w:w="1118" w:type="dxa"/>
            <w:tcBorders>
              <w:bottom w:val="single" w:color="auto" w:sz="8" w:space="0"/>
            </w:tcBorders>
            <w:noWrap w:val="0"/>
            <w:vAlign w:val="center"/>
          </w:tcPr>
          <w:p w14:paraId="54FD837D">
            <w:pPr>
              <w:jc w:val="center"/>
              <w:rPr>
                <w:rFonts w:hint="eastAsia" w:ascii="宋体" w:hAnsi="宋体" w:eastAsia="宋体" w:cs="宋体"/>
                <w:color w:val="auto"/>
                <w:szCs w:val="21"/>
              </w:rPr>
            </w:pPr>
            <w:r>
              <w:rPr>
                <w:rFonts w:hint="eastAsia" w:ascii="宋体" w:hAnsi="宋体" w:eastAsia="宋体" w:cs="宋体"/>
                <w:color w:val="auto"/>
                <w:szCs w:val="21"/>
              </w:rPr>
              <w:t>专家打分</w:t>
            </w:r>
          </w:p>
        </w:tc>
        <w:tc>
          <w:tcPr>
            <w:tcW w:w="4449" w:type="dxa"/>
            <w:gridSpan w:val="2"/>
            <w:tcBorders>
              <w:bottom w:val="single" w:color="auto" w:sz="8" w:space="0"/>
            </w:tcBorders>
            <w:noWrap w:val="0"/>
            <w:vAlign w:val="top"/>
          </w:tcPr>
          <w:p w14:paraId="3270840A">
            <w:pPr>
              <w:jc w:val="left"/>
              <w:rPr>
                <w:rFonts w:hint="eastAsia" w:ascii="宋体" w:hAnsi="宋体" w:eastAsia="宋体" w:cs="宋体"/>
                <w:color w:val="auto"/>
                <w:szCs w:val="21"/>
              </w:rPr>
            </w:pPr>
            <w:r>
              <w:rPr>
                <w:rFonts w:hint="eastAsia" w:ascii="宋体" w:hAnsi="宋体"/>
                <w:color w:val="auto"/>
                <w:szCs w:val="21"/>
              </w:rPr>
              <w:t>投标人应如实填写《</w:t>
            </w:r>
            <w:r>
              <w:rPr>
                <w:rFonts w:hint="eastAsia" w:ascii="宋体" w:hAnsi="宋体"/>
                <w:color w:val="auto"/>
                <w:szCs w:val="21"/>
                <w:lang w:val="en-US" w:eastAsia="zh-CN"/>
              </w:rPr>
              <w:t>商务需求</w:t>
            </w:r>
            <w:r>
              <w:rPr>
                <w:rFonts w:hint="eastAsia" w:ascii="宋体" w:hAnsi="宋体"/>
                <w:color w:val="auto"/>
                <w:szCs w:val="21"/>
              </w:rPr>
              <w:t>偏离表》，评审委员会根据</w:t>
            </w:r>
            <w:r>
              <w:rPr>
                <w:rFonts w:hint="eastAsia" w:ascii="宋体" w:hAnsi="宋体"/>
                <w:color w:val="auto"/>
                <w:szCs w:val="21"/>
                <w:lang w:val="en-US" w:eastAsia="zh-CN"/>
              </w:rPr>
              <w:t>商务需求</w:t>
            </w:r>
            <w:r>
              <w:rPr>
                <w:rFonts w:hint="eastAsia" w:ascii="宋体" w:hAnsi="宋体"/>
                <w:color w:val="auto"/>
                <w:szCs w:val="21"/>
              </w:rPr>
              <w:t>参数响应情况进行打分，各项</w:t>
            </w:r>
            <w:r>
              <w:rPr>
                <w:rFonts w:hint="eastAsia" w:ascii="宋体" w:hAnsi="宋体"/>
                <w:color w:val="auto"/>
                <w:szCs w:val="21"/>
                <w:lang w:val="en-US" w:eastAsia="zh-CN"/>
              </w:rPr>
              <w:t>商务需求</w:t>
            </w:r>
            <w:r>
              <w:rPr>
                <w:rFonts w:hint="eastAsia" w:ascii="宋体" w:hAnsi="宋体"/>
                <w:color w:val="auto"/>
                <w:szCs w:val="21"/>
              </w:rPr>
              <w:t>参数指标及要求全部满足的得满分</w:t>
            </w:r>
            <w:r>
              <w:rPr>
                <w:rFonts w:hint="eastAsia" w:ascii="宋体" w:hAnsi="宋体"/>
                <w:color w:val="auto"/>
                <w:szCs w:val="21"/>
                <w:highlight w:val="red"/>
                <w:lang w:val="en-US" w:eastAsia="zh-CN"/>
              </w:rPr>
              <w:t>9</w:t>
            </w:r>
            <w:r>
              <w:rPr>
                <w:rFonts w:hint="eastAsia" w:ascii="宋体" w:hAnsi="宋体"/>
                <w:color w:val="auto"/>
                <w:szCs w:val="21"/>
              </w:rPr>
              <w:t>分，未响应的参数按负偏离扣分。所有投标人必须严格按照招标文件的内容进行填写，如不能填写请提供说明。参数每负偏离一项扣</w:t>
            </w:r>
            <w:r>
              <w:rPr>
                <w:rFonts w:hint="eastAsia" w:ascii="宋体" w:hAnsi="宋体"/>
                <w:color w:val="auto"/>
                <w:szCs w:val="21"/>
                <w:highlight w:val="red"/>
                <w:lang w:val="en-US" w:eastAsia="zh-CN"/>
              </w:rPr>
              <w:t xml:space="preserve">1 </w:t>
            </w:r>
            <w:r>
              <w:rPr>
                <w:rFonts w:hint="eastAsia" w:ascii="宋体" w:hAnsi="宋体"/>
                <w:color w:val="auto"/>
                <w:szCs w:val="21"/>
              </w:rPr>
              <w:t>分，正偏离不加分。扣完为止，最低得0分。</w:t>
            </w:r>
          </w:p>
        </w:tc>
      </w:tr>
      <w:tr w14:paraId="5F1CA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dxa"/>
            <w:vMerge w:val="continue"/>
            <w:noWrap w:val="0"/>
            <w:vAlign w:val="top"/>
          </w:tcPr>
          <w:p w14:paraId="298AFE1D">
            <w:pPr>
              <w:jc w:val="left"/>
              <w:rPr>
                <w:rFonts w:hint="eastAsia" w:ascii="宋体" w:hAnsi="宋体" w:eastAsia="宋体" w:cs="宋体"/>
                <w:color w:val="auto"/>
                <w:szCs w:val="21"/>
              </w:rPr>
            </w:pPr>
          </w:p>
        </w:tc>
        <w:tc>
          <w:tcPr>
            <w:tcW w:w="750" w:type="dxa"/>
            <w:tcBorders>
              <w:top w:val="single" w:color="auto" w:sz="4" w:space="0"/>
            </w:tcBorders>
            <w:noWrap w:val="0"/>
            <w:vAlign w:val="center"/>
          </w:tcPr>
          <w:p w14:paraId="18978277">
            <w:pPr>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325" w:type="dxa"/>
            <w:tcBorders>
              <w:top w:val="single" w:color="auto" w:sz="4" w:space="0"/>
            </w:tcBorders>
            <w:noWrap w:val="0"/>
            <w:vAlign w:val="center"/>
          </w:tcPr>
          <w:p w14:paraId="4045597D">
            <w:pPr>
              <w:jc w:val="center"/>
              <w:rPr>
                <w:rFonts w:hint="eastAsia" w:ascii="宋体" w:hAnsi="宋体" w:eastAsia="宋体" w:cs="宋体"/>
                <w:color w:val="auto"/>
                <w:szCs w:val="21"/>
              </w:rPr>
            </w:pPr>
            <w:r>
              <w:rPr>
                <w:rFonts w:hint="eastAsia" w:ascii="宋体" w:hAnsi="宋体"/>
                <w:color w:val="auto"/>
                <w:szCs w:val="21"/>
              </w:rPr>
              <w:t>投标人通过相关认证情况</w:t>
            </w:r>
          </w:p>
        </w:tc>
        <w:tc>
          <w:tcPr>
            <w:tcW w:w="764" w:type="dxa"/>
            <w:tcBorders>
              <w:top w:val="single" w:color="auto" w:sz="4" w:space="0"/>
            </w:tcBorders>
            <w:noWrap w:val="0"/>
            <w:vAlign w:val="center"/>
          </w:tcPr>
          <w:p w14:paraId="0C0E7744">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w:t>
            </w:r>
          </w:p>
        </w:tc>
        <w:tc>
          <w:tcPr>
            <w:tcW w:w="1118" w:type="dxa"/>
            <w:tcBorders>
              <w:top w:val="single" w:color="auto" w:sz="4" w:space="0"/>
            </w:tcBorders>
            <w:noWrap w:val="0"/>
            <w:vAlign w:val="center"/>
          </w:tcPr>
          <w:p w14:paraId="61989914">
            <w:pPr>
              <w:jc w:val="left"/>
              <w:rPr>
                <w:rFonts w:hint="eastAsia" w:ascii="宋体" w:hAnsi="宋体" w:eastAsia="宋体" w:cs="宋体"/>
                <w:color w:val="auto"/>
                <w:szCs w:val="21"/>
              </w:rPr>
            </w:pPr>
            <w:r>
              <w:rPr>
                <w:rFonts w:hint="eastAsia" w:ascii="宋体" w:hAnsi="宋体" w:eastAsia="宋体" w:cs="宋体"/>
                <w:color w:val="auto"/>
                <w:szCs w:val="21"/>
              </w:rPr>
              <w:t>专家打分</w:t>
            </w:r>
          </w:p>
        </w:tc>
        <w:tc>
          <w:tcPr>
            <w:tcW w:w="4449" w:type="dxa"/>
            <w:gridSpan w:val="2"/>
            <w:tcBorders>
              <w:top w:val="single" w:color="auto" w:sz="4" w:space="0"/>
            </w:tcBorders>
            <w:noWrap w:val="0"/>
            <w:vAlign w:val="top"/>
          </w:tcPr>
          <w:p w14:paraId="1DBD7905">
            <w:pPr>
              <w:spacing w:after="160" w:line="240" w:lineRule="exact"/>
              <w:jc w:val="left"/>
              <w:rPr>
                <w:rFonts w:ascii="宋体" w:hAnsi="宋体"/>
                <w:color w:val="auto"/>
                <w:szCs w:val="21"/>
              </w:rPr>
            </w:pPr>
            <w:r>
              <w:rPr>
                <w:rFonts w:hint="eastAsia" w:ascii="宋体" w:hAnsi="宋体"/>
                <w:color w:val="auto"/>
                <w:szCs w:val="21"/>
              </w:rPr>
              <w:t>（一）评分内容：</w:t>
            </w:r>
          </w:p>
          <w:p w14:paraId="5045D1AE">
            <w:pPr>
              <w:spacing w:after="160" w:line="240" w:lineRule="exact"/>
              <w:jc w:val="left"/>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取得软件著作权证书</w:t>
            </w:r>
            <w:r>
              <w:rPr>
                <w:rFonts w:hint="eastAsia" w:ascii="宋体" w:hAnsi="宋体"/>
                <w:color w:val="auto"/>
                <w:szCs w:val="21"/>
              </w:rPr>
              <w:t>；</w:t>
            </w:r>
          </w:p>
          <w:p w14:paraId="247564AC">
            <w:pPr>
              <w:spacing w:after="160" w:line="240" w:lineRule="exact"/>
              <w:jc w:val="left"/>
              <w:rPr>
                <w:rFonts w:ascii="宋体" w:hAnsi="宋体"/>
                <w:color w:val="auto"/>
                <w:szCs w:val="21"/>
              </w:rPr>
            </w:pPr>
            <w:r>
              <w:rPr>
                <w:rFonts w:hint="eastAsia" w:ascii="宋体" w:hAnsi="宋体"/>
                <w:color w:val="auto"/>
                <w:szCs w:val="21"/>
              </w:rPr>
              <w:t>（二）评分依据：</w:t>
            </w:r>
          </w:p>
          <w:p w14:paraId="6AC03D52">
            <w:pPr>
              <w:spacing w:after="160" w:line="240" w:lineRule="exact"/>
              <w:jc w:val="left"/>
              <w:rPr>
                <w:rFonts w:ascii="宋体" w:hAnsi="宋体"/>
                <w:color w:val="auto"/>
                <w:szCs w:val="21"/>
              </w:rPr>
            </w:pPr>
            <w:r>
              <w:rPr>
                <w:rFonts w:hint="eastAsia" w:ascii="宋体" w:hAnsi="宋体"/>
                <w:color w:val="auto"/>
                <w:szCs w:val="21"/>
              </w:rPr>
              <w:t>1.提供</w:t>
            </w:r>
            <w:r>
              <w:rPr>
                <w:rFonts w:hint="eastAsia" w:ascii="宋体" w:hAnsi="宋体"/>
                <w:color w:val="auto"/>
                <w:szCs w:val="21"/>
                <w:lang w:val="en-US" w:eastAsia="zh-CN"/>
              </w:rPr>
              <w:t>本项目相关的</w:t>
            </w:r>
            <w:r>
              <w:rPr>
                <w:rFonts w:hint="eastAsia" w:ascii="宋体" w:hAnsi="宋体"/>
                <w:color w:val="auto"/>
                <w:szCs w:val="21"/>
              </w:rPr>
              <w:t>有效的</w:t>
            </w:r>
            <w:r>
              <w:rPr>
                <w:rFonts w:hint="eastAsia" w:ascii="宋体" w:hAnsi="宋体"/>
                <w:color w:val="auto"/>
                <w:szCs w:val="21"/>
                <w:lang w:val="en-US" w:eastAsia="zh-CN"/>
              </w:rPr>
              <w:t>软件著作权证书的</w:t>
            </w:r>
            <w:r>
              <w:rPr>
                <w:rFonts w:hint="eastAsia" w:ascii="宋体" w:hAnsi="宋体"/>
                <w:color w:val="auto"/>
                <w:szCs w:val="21"/>
              </w:rPr>
              <w:t>得</w:t>
            </w:r>
            <w:r>
              <w:rPr>
                <w:rFonts w:hint="eastAsia" w:ascii="宋体" w:hAnsi="宋体"/>
                <w:color w:val="auto"/>
                <w:szCs w:val="21"/>
                <w:lang w:val="en-US" w:eastAsia="zh-CN"/>
              </w:rPr>
              <w:t>2</w:t>
            </w:r>
            <w:r>
              <w:rPr>
                <w:rFonts w:hint="eastAsia" w:ascii="宋体" w:hAnsi="宋体"/>
                <w:color w:val="auto"/>
                <w:szCs w:val="21"/>
              </w:rPr>
              <w:t>分</w:t>
            </w:r>
            <w:r>
              <w:rPr>
                <w:rFonts w:hint="eastAsia" w:ascii="宋体" w:hAnsi="宋体"/>
                <w:color w:val="auto"/>
                <w:szCs w:val="21"/>
                <w:lang w:eastAsia="zh-CN"/>
              </w:rPr>
              <w:t>，</w:t>
            </w:r>
            <w:r>
              <w:rPr>
                <w:rFonts w:hint="eastAsia" w:ascii="宋体" w:hAnsi="宋体"/>
                <w:color w:val="auto"/>
                <w:szCs w:val="21"/>
                <w:lang w:val="en-US" w:eastAsia="zh-CN"/>
              </w:rPr>
              <w:t>不提供的不得分</w:t>
            </w:r>
            <w:r>
              <w:rPr>
                <w:rFonts w:hint="eastAsia" w:ascii="宋体" w:hAnsi="宋体"/>
                <w:color w:val="auto"/>
                <w:szCs w:val="21"/>
              </w:rPr>
              <w:t>。</w:t>
            </w:r>
          </w:p>
          <w:p w14:paraId="15829370">
            <w:pPr>
              <w:spacing w:after="160" w:line="240" w:lineRule="exact"/>
              <w:jc w:val="left"/>
              <w:rPr>
                <w:rFonts w:hint="eastAsia" w:ascii="宋体" w:hAnsi="宋体" w:eastAsia="宋体" w:cs="宋体"/>
                <w:color w:val="auto"/>
                <w:szCs w:val="21"/>
              </w:rPr>
            </w:pPr>
            <w:r>
              <w:rPr>
                <w:rFonts w:hint="eastAsia" w:ascii="宋体" w:hAnsi="宋体"/>
                <w:color w:val="auto"/>
                <w:szCs w:val="21"/>
              </w:rPr>
              <w:t>2.以上资料均要求提供扫描件（或官方网站截图），原件备查。</w:t>
            </w:r>
            <w:r>
              <w:rPr>
                <w:color w:val="auto"/>
                <w:szCs w:val="21"/>
              </w:rPr>
              <w:t>评分中出现无证明资料或专家无法凭所提供资料判断是否得分的情况，一律作不得分处理。</w:t>
            </w:r>
          </w:p>
        </w:tc>
      </w:tr>
      <w:tr w14:paraId="2FFCB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dxa"/>
            <w:vMerge w:val="continue"/>
            <w:noWrap w:val="0"/>
            <w:vAlign w:val="top"/>
          </w:tcPr>
          <w:p w14:paraId="654143FC">
            <w:pPr>
              <w:jc w:val="left"/>
              <w:rPr>
                <w:rFonts w:hint="eastAsia" w:ascii="宋体" w:hAnsi="宋体" w:eastAsia="宋体" w:cs="宋体"/>
                <w:color w:val="auto"/>
                <w:szCs w:val="21"/>
              </w:rPr>
            </w:pPr>
          </w:p>
        </w:tc>
        <w:tc>
          <w:tcPr>
            <w:tcW w:w="750" w:type="dxa"/>
            <w:tcBorders>
              <w:top w:val="single" w:color="auto" w:sz="4" w:space="0"/>
            </w:tcBorders>
            <w:noWrap w:val="0"/>
            <w:vAlign w:val="center"/>
          </w:tcPr>
          <w:p w14:paraId="66A8567B">
            <w:pPr>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1325" w:type="dxa"/>
            <w:tcBorders>
              <w:top w:val="single" w:color="auto" w:sz="4" w:space="0"/>
            </w:tcBorders>
            <w:noWrap w:val="0"/>
            <w:vAlign w:val="center"/>
          </w:tcPr>
          <w:p w14:paraId="3DA8C9BD">
            <w:pPr>
              <w:jc w:val="center"/>
              <w:rPr>
                <w:rFonts w:hint="eastAsia" w:ascii="宋体" w:hAnsi="宋体" w:eastAsia="宋体" w:cs="宋体"/>
                <w:color w:val="auto"/>
                <w:szCs w:val="21"/>
              </w:rPr>
            </w:pPr>
            <w:r>
              <w:rPr>
                <w:rFonts w:hint="eastAsia" w:ascii="宋体" w:hAnsi="宋体"/>
                <w:color w:val="auto"/>
                <w:szCs w:val="21"/>
              </w:rPr>
              <w:t>投标人同类项目业绩情况</w:t>
            </w:r>
          </w:p>
        </w:tc>
        <w:tc>
          <w:tcPr>
            <w:tcW w:w="764" w:type="dxa"/>
            <w:tcBorders>
              <w:top w:val="single" w:color="auto" w:sz="4" w:space="0"/>
            </w:tcBorders>
            <w:noWrap w:val="0"/>
            <w:vAlign w:val="center"/>
          </w:tcPr>
          <w:p w14:paraId="68EB1FE4">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w:t>
            </w:r>
          </w:p>
        </w:tc>
        <w:tc>
          <w:tcPr>
            <w:tcW w:w="1118" w:type="dxa"/>
            <w:tcBorders>
              <w:top w:val="single" w:color="auto" w:sz="4" w:space="0"/>
            </w:tcBorders>
            <w:noWrap w:val="0"/>
            <w:vAlign w:val="center"/>
          </w:tcPr>
          <w:p w14:paraId="56C12213">
            <w:pPr>
              <w:jc w:val="center"/>
              <w:rPr>
                <w:rFonts w:hint="eastAsia" w:ascii="宋体" w:hAnsi="宋体" w:eastAsia="宋体" w:cs="宋体"/>
                <w:color w:val="auto"/>
                <w:szCs w:val="21"/>
              </w:rPr>
            </w:pPr>
            <w:r>
              <w:rPr>
                <w:rFonts w:hint="eastAsia" w:ascii="宋体" w:hAnsi="宋体" w:eastAsia="宋体" w:cs="宋体"/>
                <w:color w:val="auto"/>
                <w:szCs w:val="21"/>
              </w:rPr>
              <w:t>专家打分</w:t>
            </w:r>
          </w:p>
        </w:tc>
        <w:tc>
          <w:tcPr>
            <w:tcW w:w="4449" w:type="dxa"/>
            <w:gridSpan w:val="2"/>
            <w:tcBorders>
              <w:top w:val="single" w:color="auto" w:sz="4" w:space="0"/>
            </w:tcBorders>
            <w:noWrap w:val="0"/>
            <w:vAlign w:val="top"/>
          </w:tcPr>
          <w:p w14:paraId="32A7BF98">
            <w:pPr>
              <w:spacing w:after="160" w:line="240" w:lineRule="exact"/>
              <w:jc w:val="left"/>
              <w:rPr>
                <w:rFonts w:ascii="宋体" w:hAnsi="宋体"/>
                <w:color w:val="auto"/>
                <w:szCs w:val="21"/>
              </w:rPr>
            </w:pPr>
            <w:r>
              <w:rPr>
                <w:rFonts w:hint="eastAsia" w:ascii="宋体" w:hAnsi="宋体"/>
                <w:color w:val="auto"/>
                <w:szCs w:val="21"/>
              </w:rPr>
              <w:t>（一）评分内容：</w:t>
            </w:r>
          </w:p>
          <w:p w14:paraId="28BB3E59">
            <w:pPr>
              <w:spacing w:after="160" w:line="240" w:lineRule="exact"/>
              <w:jc w:val="left"/>
              <w:rPr>
                <w:rFonts w:hint="default" w:ascii="宋体" w:hAnsi="宋体"/>
                <w:color w:val="auto"/>
                <w:szCs w:val="21"/>
                <w:lang w:val="en-US" w:eastAsia="zh-CN"/>
              </w:rPr>
            </w:pPr>
            <w:r>
              <w:rPr>
                <w:rFonts w:hint="eastAsia" w:ascii="宋体" w:hAnsi="宋体"/>
                <w:color w:val="auto"/>
                <w:szCs w:val="21"/>
              </w:rPr>
              <w:t>1.投标人</w:t>
            </w:r>
            <w:r>
              <w:rPr>
                <w:rFonts w:hint="eastAsia" w:ascii="宋体" w:hAnsi="宋体"/>
                <w:color w:val="auto"/>
                <w:szCs w:val="21"/>
                <w:lang w:val="en-US" w:eastAsia="zh-CN"/>
              </w:rPr>
              <w:t>的</w:t>
            </w:r>
            <w:r>
              <w:rPr>
                <w:rFonts w:hint="eastAsia" w:ascii="宋体" w:hAnsi="宋体"/>
                <w:color w:val="auto"/>
                <w:szCs w:val="21"/>
              </w:rPr>
              <w:t>同类项目业绩情况</w:t>
            </w:r>
            <w:r>
              <w:rPr>
                <w:rFonts w:hint="eastAsia" w:ascii="宋体" w:hAnsi="宋体"/>
                <w:color w:val="auto"/>
                <w:szCs w:val="21"/>
                <w:lang w:eastAsia="zh-CN"/>
              </w:rPr>
              <w:t>，</w:t>
            </w:r>
            <w:r>
              <w:rPr>
                <w:rFonts w:hint="eastAsia" w:ascii="宋体" w:hAnsi="宋体"/>
                <w:color w:val="auto"/>
                <w:szCs w:val="21"/>
                <w:lang w:val="en-US" w:eastAsia="zh-CN"/>
              </w:rPr>
              <w:t>每提供一项附有有效证明材料的业绩得1分，</w:t>
            </w:r>
            <w:r>
              <w:rPr>
                <w:rFonts w:hint="eastAsia" w:ascii="宋体" w:hAnsi="宋体"/>
                <w:color w:val="auto"/>
                <w:szCs w:val="21"/>
                <w:lang w:val="zh-CN" w:eastAsia="zh-CN"/>
              </w:rPr>
              <w:t>满分</w:t>
            </w:r>
            <w:r>
              <w:rPr>
                <w:rFonts w:hint="eastAsia" w:ascii="宋体" w:hAnsi="宋体"/>
                <w:color w:val="auto"/>
                <w:szCs w:val="21"/>
                <w:lang w:val="en-US" w:eastAsia="zh-CN"/>
              </w:rPr>
              <w:t>4</w:t>
            </w:r>
            <w:r>
              <w:rPr>
                <w:rFonts w:hint="eastAsia" w:ascii="宋体" w:hAnsi="宋体"/>
                <w:color w:val="auto"/>
                <w:szCs w:val="21"/>
                <w:lang w:val="zh-CN" w:eastAsia="zh-CN"/>
              </w:rPr>
              <w:t>分</w:t>
            </w:r>
            <w:r>
              <w:rPr>
                <w:rFonts w:hint="eastAsia" w:ascii="宋体" w:hAnsi="宋体"/>
                <w:color w:val="auto"/>
                <w:szCs w:val="21"/>
                <w:lang w:val="en-US" w:eastAsia="zh-CN"/>
              </w:rPr>
              <w:t>.</w:t>
            </w:r>
          </w:p>
          <w:p w14:paraId="06E5A001">
            <w:pPr>
              <w:spacing w:after="160" w:line="240" w:lineRule="exact"/>
              <w:jc w:val="left"/>
              <w:rPr>
                <w:rFonts w:ascii="宋体" w:hAnsi="宋体"/>
                <w:color w:val="auto"/>
                <w:szCs w:val="21"/>
              </w:rPr>
            </w:pPr>
            <w:r>
              <w:rPr>
                <w:rFonts w:hint="eastAsia" w:ascii="宋体" w:hAnsi="宋体"/>
                <w:color w:val="auto"/>
                <w:szCs w:val="21"/>
              </w:rPr>
              <w:t>（二）评分依据：</w:t>
            </w:r>
          </w:p>
          <w:p w14:paraId="4A5F9B64">
            <w:pPr>
              <w:spacing w:after="160" w:line="240" w:lineRule="exact"/>
              <w:jc w:val="left"/>
              <w:rPr>
                <w:rFonts w:ascii="宋体" w:hAnsi="宋体"/>
                <w:color w:val="auto"/>
                <w:szCs w:val="21"/>
              </w:rPr>
            </w:pPr>
            <w:r>
              <w:rPr>
                <w:rFonts w:hint="eastAsia" w:ascii="宋体" w:hAnsi="宋体"/>
                <w:color w:val="auto"/>
                <w:szCs w:val="21"/>
              </w:rPr>
              <w:t>1.要求同时提供合同关键信息和项目验收</w:t>
            </w:r>
            <w:r>
              <w:rPr>
                <w:rFonts w:hint="eastAsia" w:ascii="宋体" w:hAnsi="宋体"/>
                <w:color w:val="auto"/>
                <w:szCs w:val="21"/>
                <w:lang w:val="en-US" w:eastAsia="zh-CN"/>
              </w:rPr>
              <w:t>报告</w:t>
            </w:r>
            <w:r>
              <w:rPr>
                <w:rFonts w:hint="eastAsia" w:ascii="宋体" w:hAnsi="宋体"/>
                <w:color w:val="auto"/>
                <w:szCs w:val="21"/>
              </w:rPr>
              <w:t>作为得分依据。</w:t>
            </w:r>
          </w:p>
          <w:p w14:paraId="522FB9F4">
            <w:pPr>
              <w:spacing w:after="160" w:line="240" w:lineRule="exact"/>
              <w:jc w:val="left"/>
              <w:rPr>
                <w:rFonts w:ascii="宋体" w:hAnsi="宋体"/>
                <w:color w:val="auto"/>
                <w:szCs w:val="21"/>
              </w:rPr>
            </w:pPr>
            <w:r>
              <w:rPr>
                <w:rFonts w:hint="eastAsia" w:ascii="宋体" w:hAnsi="宋体"/>
                <w:color w:val="auto"/>
                <w:szCs w:val="21"/>
              </w:rPr>
              <w:t>2.通过合同关键信息无法判断是否得分的，还须同时提供能证明得分的其它证明资料，如项目报告或合同甲方出具的证明文件等。</w:t>
            </w:r>
          </w:p>
          <w:p w14:paraId="7D5FFA5A">
            <w:pPr>
              <w:spacing w:after="160" w:line="240" w:lineRule="exact"/>
              <w:jc w:val="left"/>
              <w:rPr>
                <w:rFonts w:hint="eastAsia" w:ascii="宋体" w:hAnsi="宋体" w:eastAsia="宋体" w:cs="宋体"/>
                <w:color w:val="auto"/>
                <w:szCs w:val="21"/>
              </w:rPr>
            </w:pPr>
            <w:r>
              <w:rPr>
                <w:rFonts w:hint="eastAsia" w:ascii="宋体" w:hAnsi="宋体"/>
                <w:color w:val="auto"/>
                <w:szCs w:val="21"/>
              </w:rPr>
              <w:t>3.以上资料均要求提供扫描件，原件备查。</w:t>
            </w:r>
            <w:r>
              <w:rPr>
                <w:color w:val="auto"/>
                <w:szCs w:val="21"/>
              </w:rPr>
              <w:t>评分中出现无证明资料或专家无法凭所提供资料判断是否得分的情况，一律作不得分处理。</w:t>
            </w:r>
          </w:p>
        </w:tc>
      </w:tr>
      <w:tr w14:paraId="4A81B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8"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14:paraId="09BB61BD">
            <w:pPr>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3957" w:type="dxa"/>
            <w:gridSpan w:val="4"/>
            <w:tcBorders>
              <w:top w:val="single" w:color="auto" w:sz="4" w:space="0"/>
              <w:left w:val="single" w:color="auto" w:sz="4" w:space="0"/>
              <w:bottom w:val="single" w:color="auto" w:sz="4" w:space="0"/>
              <w:right w:val="single" w:color="auto" w:sz="4" w:space="0"/>
            </w:tcBorders>
            <w:noWrap w:val="0"/>
            <w:vAlign w:val="center"/>
          </w:tcPr>
          <w:p w14:paraId="603DB3D9">
            <w:pPr>
              <w:jc w:val="center"/>
              <w:rPr>
                <w:rFonts w:hint="eastAsia" w:ascii="宋体" w:hAnsi="宋体" w:eastAsia="宋体" w:cs="宋体"/>
                <w:color w:val="auto"/>
                <w:szCs w:val="21"/>
              </w:rPr>
            </w:pPr>
            <w:r>
              <w:rPr>
                <w:rFonts w:hint="eastAsia" w:ascii="宋体" w:hAnsi="宋体" w:eastAsia="宋体" w:cs="宋体"/>
                <w:color w:val="auto"/>
                <w:szCs w:val="21"/>
              </w:rPr>
              <w:t>诚信情况</w:t>
            </w:r>
          </w:p>
        </w:tc>
        <w:tc>
          <w:tcPr>
            <w:tcW w:w="4437" w:type="dxa"/>
            <w:tcBorders>
              <w:top w:val="single" w:color="auto" w:sz="4" w:space="0"/>
              <w:left w:val="single" w:color="auto" w:sz="4" w:space="0"/>
              <w:bottom w:val="single" w:color="auto" w:sz="4" w:space="0"/>
              <w:right w:val="single" w:color="auto" w:sz="4" w:space="0"/>
            </w:tcBorders>
            <w:noWrap w:val="0"/>
            <w:vAlign w:val="center"/>
          </w:tcPr>
          <w:p w14:paraId="162606B9">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5</w:t>
            </w:r>
          </w:p>
        </w:tc>
      </w:tr>
      <w:tr w14:paraId="727B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8" w:hRule="atLeast"/>
        </w:trPr>
        <w:tc>
          <w:tcPr>
            <w:tcW w:w="650" w:type="dxa"/>
            <w:vMerge w:val="restart"/>
            <w:tcBorders>
              <w:top w:val="single" w:color="auto" w:sz="4" w:space="0"/>
              <w:left w:val="single" w:color="auto" w:sz="4" w:space="0"/>
              <w:right w:val="single" w:color="auto" w:sz="4" w:space="0"/>
            </w:tcBorders>
            <w:noWrap w:val="0"/>
            <w:vAlign w:val="top"/>
          </w:tcPr>
          <w:p w14:paraId="4FF7BEDE">
            <w:pPr>
              <w:jc w:val="left"/>
              <w:rPr>
                <w:rFonts w:hint="eastAsia" w:ascii="宋体" w:hAnsi="宋体" w:eastAsia="宋体" w:cs="宋体"/>
                <w:color w:val="auto"/>
                <w:szCs w:val="21"/>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20161C85">
            <w:pPr>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325" w:type="dxa"/>
            <w:tcBorders>
              <w:top w:val="single" w:color="auto" w:sz="4" w:space="0"/>
              <w:left w:val="single" w:color="auto" w:sz="4" w:space="0"/>
              <w:bottom w:val="single" w:color="auto" w:sz="4" w:space="0"/>
              <w:right w:val="single" w:color="auto" w:sz="4" w:space="0"/>
            </w:tcBorders>
            <w:noWrap w:val="0"/>
            <w:vAlign w:val="top"/>
          </w:tcPr>
          <w:p w14:paraId="6D939DA1">
            <w:pPr>
              <w:jc w:val="center"/>
              <w:rPr>
                <w:rFonts w:hint="eastAsia" w:ascii="宋体" w:hAnsi="宋体" w:eastAsia="宋体" w:cs="宋体"/>
                <w:color w:val="auto"/>
                <w:szCs w:val="21"/>
              </w:rPr>
            </w:pPr>
            <w:r>
              <w:rPr>
                <w:rFonts w:hint="eastAsia" w:ascii="宋体" w:hAnsi="宋体" w:eastAsia="宋体" w:cs="宋体"/>
                <w:color w:val="auto"/>
                <w:szCs w:val="21"/>
              </w:rPr>
              <w:t>评分因素</w:t>
            </w:r>
          </w:p>
        </w:tc>
        <w:tc>
          <w:tcPr>
            <w:tcW w:w="764" w:type="dxa"/>
            <w:tcBorders>
              <w:top w:val="single" w:color="auto" w:sz="4" w:space="0"/>
              <w:left w:val="single" w:color="auto" w:sz="4" w:space="0"/>
              <w:bottom w:val="single" w:color="auto" w:sz="4" w:space="0"/>
              <w:right w:val="single" w:color="auto" w:sz="4" w:space="0"/>
            </w:tcBorders>
            <w:noWrap w:val="0"/>
            <w:vAlign w:val="top"/>
          </w:tcPr>
          <w:p w14:paraId="64CD8C10">
            <w:pPr>
              <w:jc w:val="center"/>
              <w:rPr>
                <w:rFonts w:hint="eastAsia" w:ascii="宋体" w:hAnsi="宋体" w:eastAsia="宋体" w:cs="宋体"/>
                <w:color w:val="auto"/>
                <w:szCs w:val="21"/>
              </w:rPr>
            </w:pPr>
            <w:r>
              <w:rPr>
                <w:rFonts w:hint="eastAsia" w:ascii="宋体" w:hAnsi="宋体" w:eastAsia="宋体" w:cs="宋体"/>
                <w:color w:val="auto"/>
                <w:szCs w:val="21"/>
              </w:rPr>
              <w:t>权重</w:t>
            </w:r>
          </w:p>
        </w:tc>
        <w:tc>
          <w:tcPr>
            <w:tcW w:w="1118" w:type="dxa"/>
            <w:tcBorders>
              <w:top w:val="single" w:color="auto" w:sz="4" w:space="0"/>
              <w:left w:val="single" w:color="auto" w:sz="4" w:space="0"/>
              <w:bottom w:val="single" w:color="auto" w:sz="4" w:space="0"/>
              <w:right w:val="single" w:color="auto" w:sz="4" w:space="0"/>
            </w:tcBorders>
            <w:noWrap w:val="0"/>
            <w:vAlign w:val="top"/>
          </w:tcPr>
          <w:p w14:paraId="19E64308">
            <w:pPr>
              <w:jc w:val="center"/>
              <w:rPr>
                <w:rFonts w:hint="eastAsia" w:ascii="宋体" w:hAnsi="宋体" w:eastAsia="宋体" w:cs="宋体"/>
                <w:color w:val="auto"/>
                <w:szCs w:val="21"/>
              </w:rPr>
            </w:pPr>
            <w:r>
              <w:rPr>
                <w:rFonts w:hint="eastAsia" w:ascii="宋体" w:hAnsi="宋体" w:eastAsia="宋体" w:cs="宋体"/>
                <w:color w:val="auto"/>
                <w:szCs w:val="21"/>
              </w:rPr>
              <w:t>评分方式</w:t>
            </w:r>
          </w:p>
        </w:tc>
        <w:tc>
          <w:tcPr>
            <w:tcW w:w="4437" w:type="dxa"/>
            <w:tcBorders>
              <w:top w:val="single" w:color="auto" w:sz="4" w:space="0"/>
              <w:left w:val="single" w:color="auto" w:sz="4" w:space="0"/>
              <w:bottom w:val="single" w:color="auto" w:sz="4" w:space="0"/>
              <w:right w:val="single" w:color="auto" w:sz="4" w:space="0"/>
            </w:tcBorders>
            <w:noWrap w:val="0"/>
            <w:vAlign w:val="top"/>
          </w:tcPr>
          <w:p w14:paraId="174AB7E7">
            <w:pPr>
              <w:jc w:val="center"/>
              <w:rPr>
                <w:rFonts w:hint="eastAsia" w:ascii="宋体" w:hAnsi="宋体" w:eastAsia="宋体" w:cs="宋体"/>
                <w:color w:val="auto"/>
                <w:szCs w:val="21"/>
              </w:rPr>
            </w:pPr>
            <w:r>
              <w:rPr>
                <w:rFonts w:hint="eastAsia" w:ascii="宋体" w:hAnsi="宋体" w:eastAsia="宋体" w:cs="宋体"/>
                <w:color w:val="auto"/>
                <w:szCs w:val="21"/>
              </w:rPr>
              <w:t>评分准则</w:t>
            </w:r>
          </w:p>
        </w:tc>
      </w:tr>
      <w:tr w14:paraId="2908F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8" w:hRule="atLeast"/>
        </w:trPr>
        <w:tc>
          <w:tcPr>
            <w:tcW w:w="650" w:type="dxa"/>
            <w:vMerge w:val="continue"/>
            <w:tcBorders>
              <w:left w:val="single" w:color="auto" w:sz="4" w:space="0"/>
              <w:right w:val="single" w:color="auto" w:sz="4" w:space="0"/>
            </w:tcBorders>
            <w:noWrap w:val="0"/>
            <w:vAlign w:val="top"/>
          </w:tcPr>
          <w:p w14:paraId="06C50CC2">
            <w:pPr>
              <w:jc w:val="left"/>
              <w:rPr>
                <w:rFonts w:hint="eastAsia" w:ascii="宋体" w:hAnsi="宋体" w:eastAsia="宋体" w:cs="宋体"/>
                <w:color w:val="auto"/>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7E6E77F2">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325" w:type="dxa"/>
            <w:tcBorders>
              <w:top w:val="single" w:color="auto" w:sz="4" w:space="0"/>
              <w:left w:val="single" w:color="auto" w:sz="4" w:space="0"/>
              <w:bottom w:val="single" w:color="auto" w:sz="4" w:space="0"/>
              <w:right w:val="single" w:color="auto" w:sz="4" w:space="0"/>
            </w:tcBorders>
            <w:noWrap w:val="0"/>
            <w:vAlign w:val="center"/>
          </w:tcPr>
          <w:p w14:paraId="39745D4F">
            <w:pPr>
              <w:jc w:val="center"/>
              <w:rPr>
                <w:rFonts w:hint="eastAsia" w:ascii="宋体" w:hAnsi="宋体" w:eastAsia="宋体" w:cs="宋体"/>
                <w:color w:val="auto"/>
                <w:szCs w:val="21"/>
              </w:rPr>
            </w:pPr>
            <w:r>
              <w:rPr>
                <w:rFonts w:hint="eastAsia" w:ascii="宋体" w:hAnsi="宋体" w:eastAsia="宋体" w:cs="宋体"/>
                <w:color w:val="auto"/>
                <w:szCs w:val="21"/>
              </w:rPr>
              <w:t>诚信评价</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7C125194">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5</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5BCFB454">
            <w:pPr>
              <w:jc w:val="center"/>
              <w:rPr>
                <w:rFonts w:hint="eastAsia" w:ascii="宋体" w:hAnsi="宋体" w:eastAsia="宋体" w:cs="宋体"/>
                <w:color w:val="auto"/>
                <w:szCs w:val="21"/>
              </w:rPr>
            </w:pPr>
            <w:r>
              <w:rPr>
                <w:rFonts w:hint="eastAsia" w:ascii="宋体" w:hAnsi="宋体" w:eastAsia="宋体" w:cs="宋体"/>
                <w:color w:val="auto"/>
                <w:szCs w:val="21"/>
              </w:rPr>
              <w:t>专家打分</w:t>
            </w:r>
          </w:p>
        </w:tc>
        <w:tc>
          <w:tcPr>
            <w:tcW w:w="4437" w:type="dxa"/>
            <w:tcBorders>
              <w:top w:val="single" w:color="auto" w:sz="4" w:space="0"/>
              <w:left w:val="single" w:color="auto" w:sz="4" w:space="0"/>
              <w:bottom w:val="single" w:color="auto" w:sz="4" w:space="0"/>
              <w:right w:val="single" w:color="auto" w:sz="4" w:space="0"/>
            </w:tcBorders>
            <w:noWrap w:val="0"/>
            <w:vAlign w:val="top"/>
          </w:tcPr>
          <w:p w14:paraId="74A3C355">
            <w:pPr>
              <w:jc w:val="left"/>
              <w:rPr>
                <w:rFonts w:hint="eastAsia" w:ascii="宋体" w:hAnsi="宋体" w:eastAsia="宋体" w:cs="宋体"/>
                <w:color w:val="auto"/>
                <w:szCs w:val="21"/>
              </w:rPr>
            </w:pPr>
            <w:r>
              <w:rPr>
                <w:rFonts w:hint="eastAsia" w:ascii="宋体" w:hAnsi="宋体" w:eastAsia="宋体" w:cs="宋体"/>
                <w:color w:val="auto"/>
                <w:szCs w:val="21"/>
              </w:rPr>
              <w:t>根据《深圳市财政委员会关于印发〈深圳市政府采购供应商诚信管理暂行办法操作细则〉的通知》（深财购[2017]42号）的要求，投标人在参与政府采购活动中存在诚信相关问题且在主管部门相关处理措施实施期限内的，本项不得分，否则得满分。投标人无需提供任何证明材料，由工作人员向评审委员会提供相关信息。</w:t>
            </w:r>
          </w:p>
        </w:tc>
      </w:tr>
    </w:tbl>
    <w:p w14:paraId="44446A28">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注：1、每项得分均不能超过该项最高分值，得分精确至小数点后两位。</w:t>
      </w:r>
    </w:p>
    <w:p w14:paraId="61C9732A">
      <w:pPr>
        <w:numPr>
          <w:ilvl w:val="0"/>
          <w:numId w:val="1"/>
        </w:numPr>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缺项或不合格，则该项为0分。</w:t>
      </w:r>
    </w:p>
    <w:p w14:paraId="73CC7F18">
      <w:pPr>
        <w:pStyle w:val="2"/>
        <w:shd w:val="clear"/>
        <w:spacing w:line="360" w:lineRule="auto"/>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8880"/>
      </w:tblGrid>
      <w:tr w14:paraId="1E595A0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vAlign w:val="center"/>
          </w:tcPr>
          <w:p w14:paraId="42DBAFDE">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b/>
                <w:bCs/>
                <w:color w:val="auto"/>
                <w:kern w:val="0"/>
                <w:sz w:val="24"/>
                <w:szCs w:val="24"/>
              </w:rPr>
              <w:t>项目背景</w:t>
            </w:r>
            <w:r>
              <w:rPr>
                <w:rFonts w:cs="宋体" w:asciiTheme="minorEastAsia" w:hAnsiTheme="minorEastAsia" w:eastAsiaTheme="minorEastAsia"/>
                <w:color w:val="auto"/>
                <w:kern w:val="0"/>
                <w:sz w:val="24"/>
                <w:szCs w:val="24"/>
              </w:rPr>
              <w:t xml:space="preserve"> </w:t>
            </w:r>
          </w:p>
        </w:tc>
        <w:tc>
          <w:tcPr>
            <w:tcW w:w="8880" w:type="dxa"/>
            <w:tcBorders>
              <w:top w:val="single" w:color="auto" w:sz="6" w:space="0"/>
              <w:left w:val="single" w:color="auto" w:sz="6" w:space="0"/>
              <w:bottom w:val="nil"/>
              <w:right w:val="nil"/>
            </w:tcBorders>
            <w:vAlign w:val="center"/>
          </w:tcPr>
          <w:p w14:paraId="55760215">
            <w:pPr>
              <w:widowControl/>
              <w:spacing w:before="100" w:beforeAutospacing="1" w:after="100" w:afterAutospacing="1" w:line="360" w:lineRule="auto"/>
              <w:ind w:firstLine="480" w:firstLineChars="200"/>
              <w:jc w:val="left"/>
              <w:rPr>
                <w:rFonts w:hint="eastAsia" w:cs="宋体" w:asciiTheme="minorEastAsia" w:hAnsiTheme="minorEastAsia" w:eastAsiaTheme="minorEastAsia"/>
                <w:color w:val="auto"/>
                <w:kern w:val="0"/>
                <w:sz w:val="24"/>
                <w:szCs w:val="24"/>
                <w:lang w:val="en-US" w:eastAsia="zh-CN"/>
              </w:rPr>
            </w:pPr>
            <w:r>
              <w:rPr>
                <w:rFonts w:hint="eastAsia" w:cs="宋体" w:asciiTheme="minorEastAsia" w:hAnsiTheme="minorEastAsia" w:eastAsiaTheme="minorEastAsia"/>
                <w:color w:val="auto"/>
                <w:kern w:val="0"/>
                <w:sz w:val="24"/>
                <w:szCs w:val="24"/>
                <w:lang w:val="en-US" w:eastAsia="zh-CN"/>
              </w:rPr>
              <w:t>随着医疗事业的不断发展，我院深圳市儿童医院龙华院区正式开业，为周边儿童提供更优质、全面的医疗服务。医院感染管理作为医疗质量与安全的重要保障，在新院区的运营中起着举足轻重的作用。龙华院区的启用，对院感管理提出了全新的挑战与要求，需要对探索一号系统进行龙华院区部署以及相关功能的升级改造。</w:t>
            </w:r>
          </w:p>
          <w:p w14:paraId="52A62FC6">
            <w:pPr>
              <w:widowControl/>
              <w:spacing w:before="100" w:beforeAutospacing="1" w:after="100" w:afterAutospacing="1" w:line="360" w:lineRule="auto"/>
              <w:ind w:firstLine="480" w:firstLineChars="200"/>
              <w:jc w:val="left"/>
              <w:rPr>
                <w:rFonts w:hint="eastAsia"/>
                <w:color w:val="auto"/>
                <w:lang w:val="en-US" w:eastAsia="zh-CN"/>
              </w:rPr>
            </w:pPr>
            <w:r>
              <w:rPr>
                <w:rFonts w:hint="eastAsia" w:cs="宋体" w:asciiTheme="minorEastAsia" w:hAnsiTheme="minorEastAsia" w:eastAsiaTheme="minorEastAsia"/>
                <w:color w:val="auto"/>
                <w:kern w:val="0"/>
                <w:sz w:val="24"/>
                <w:szCs w:val="24"/>
                <w:lang w:val="en-US" w:eastAsia="zh-CN"/>
              </w:rPr>
              <w:t xml:space="preserve">为了符合相关政策法规要求，提升医院整体竞争力，对探索一号院感系统进行配套及功能升级改造已迫在眉睫。通过在龙华院区进行院感系统配套，并对感术行动、一键自动出分析报告等功能进行升级，将实现对医院感染的全方位、实时监控与精准管理，有效降低医院感染发生率，提高医疗质量与安全水平，为患儿提供更加安全、可靠的就医环境。 </w:t>
            </w:r>
          </w:p>
        </w:tc>
      </w:tr>
      <w:tr w14:paraId="127F7D7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vAlign w:val="center"/>
          </w:tcPr>
          <w:p w14:paraId="28C95A32">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b/>
                <w:bCs/>
                <w:color w:val="auto"/>
                <w:kern w:val="0"/>
                <w:sz w:val="24"/>
                <w:szCs w:val="24"/>
                <w:lang w:val="en-US" w:eastAsia="zh-CN"/>
              </w:rPr>
              <w:t>项目概况</w:t>
            </w:r>
            <w:r>
              <w:rPr>
                <w:rFonts w:cs="宋体" w:asciiTheme="minorEastAsia" w:hAnsiTheme="minorEastAsia" w:eastAsiaTheme="minorEastAsia"/>
                <w:color w:val="auto"/>
                <w:kern w:val="0"/>
                <w:sz w:val="24"/>
                <w:szCs w:val="24"/>
              </w:rPr>
              <w:t xml:space="preserve"> </w:t>
            </w:r>
          </w:p>
        </w:tc>
        <w:tc>
          <w:tcPr>
            <w:tcW w:w="8880" w:type="dxa"/>
            <w:tcBorders>
              <w:top w:val="single" w:color="auto" w:sz="6" w:space="0"/>
              <w:left w:val="single" w:color="auto" w:sz="6" w:space="0"/>
              <w:bottom w:val="nil"/>
              <w:right w:val="nil"/>
            </w:tcBorders>
            <w:vAlign w:val="center"/>
          </w:tcPr>
          <w:tbl>
            <w:tblPr>
              <w:tblStyle w:val="14"/>
              <w:tblW w:w="8827" w:type="dxa"/>
              <w:tblCellSpacing w:w="0"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14:paraId="1C4C992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492" w:hRule="atLeast"/>
                <w:tblHeader/>
                <w:tblCellSpacing w:w="0" w:type="dxa"/>
              </w:trPr>
              <w:tc>
                <w:tcPr>
                  <w:tcW w:w="2627" w:type="dxa"/>
                  <w:tcBorders>
                    <w:top w:val="nil"/>
                    <w:left w:val="single" w:color="auto" w:sz="6" w:space="0"/>
                    <w:bottom w:val="nil"/>
                    <w:right w:val="nil"/>
                  </w:tcBorders>
                  <w:vAlign w:val="center"/>
                </w:tcPr>
                <w:p w14:paraId="0ECA4ED3">
                  <w:pPr>
                    <w:widowControl/>
                    <w:jc w:val="center"/>
                    <w:rPr>
                      <w:rFonts w:cs="宋体" w:asciiTheme="minorEastAsia" w:hAnsiTheme="minorEastAsia" w:eastAsiaTheme="minorEastAsia"/>
                      <w:b/>
                      <w:bCs/>
                      <w:color w:val="auto"/>
                      <w:kern w:val="0"/>
                      <w:sz w:val="24"/>
                      <w:szCs w:val="24"/>
                    </w:rPr>
                  </w:pPr>
                  <w:r>
                    <w:rPr>
                      <w:rFonts w:hint="eastAsia" w:cs="宋体" w:asciiTheme="minorEastAsia" w:hAnsiTheme="minorEastAsia" w:eastAsiaTheme="minorEastAsia"/>
                      <w:b/>
                      <w:bCs/>
                      <w:color w:val="auto"/>
                      <w:kern w:val="0"/>
                      <w:sz w:val="24"/>
                      <w:szCs w:val="24"/>
                      <w:lang w:val="en-US" w:eastAsia="zh-CN"/>
                    </w:rPr>
                    <w:t>项目</w:t>
                  </w:r>
                  <w:r>
                    <w:rPr>
                      <w:rFonts w:cs="宋体" w:asciiTheme="minorEastAsia" w:hAnsiTheme="minorEastAsia" w:eastAsiaTheme="minorEastAsia"/>
                      <w:b/>
                      <w:bCs/>
                      <w:color w:val="auto"/>
                      <w:kern w:val="0"/>
                      <w:sz w:val="24"/>
                      <w:szCs w:val="24"/>
                    </w:rPr>
                    <w:t xml:space="preserve">名称 </w:t>
                  </w:r>
                </w:p>
              </w:tc>
              <w:tc>
                <w:tcPr>
                  <w:tcW w:w="1344" w:type="dxa"/>
                  <w:tcBorders>
                    <w:top w:val="nil"/>
                    <w:left w:val="single" w:color="auto" w:sz="6" w:space="0"/>
                    <w:bottom w:val="nil"/>
                    <w:right w:val="nil"/>
                  </w:tcBorders>
                  <w:vAlign w:val="center"/>
                </w:tcPr>
                <w:p w14:paraId="3EC132D3">
                  <w:pPr>
                    <w:widowControl/>
                    <w:jc w:val="center"/>
                    <w:rPr>
                      <w:rFonts w:cs="宋体" w:asciiTheme="minorEastAsia" w:hAnsiTheme="minorEastAsia" w:eastAsiaTheme="minorEastAsia"/>
                      <w:b/>
                      <w:bCs/>
                      <w:color w:val="auto"/>
                      <w:kern w:val="0"/>
                      <w:sz w:val="24"/>
                      <w:szCs w:val="24"/>
                    </w:rPr>
                  </w:pPr>
                  <w:r>
                    <w:rPr>
                      <w:rFonts w:cs="宋体" w:asciiTheme="minorEastAsia" w:hAnsiTheme="minorEastAsia" w:eastAsiaTheme="minorEastAsia"/>
                      <w:b/>
                      <w:bCs/>
                      <w:color w:val="auto"/>
                      <w:kern w:val="0"/>
                      <w:sz w:val="24"/>
                      <w:szCs w:val="24"/>
                    </w:rPr>
                    <w:t>数量</w:t>
                  </w:r>
                </w:p>
              </w:tc>
              <w:tc>
                <w:tcPr>
                  <w:tcW w:w="1311" w:type="dxa"/>
                  <w:tcBorders>
                    <w:top w:val="nil"/>
                    <w:left w:val="single" w:color="auto" w:sz="6" w:space="0"/>
                    <w:bottom w:val="nil"/>
                    <w:right w:val="nil"/>
                  </w:tcBorders>
                  <w:vAlign w:val="center"/>
                </w:tcPr>
                <w:p w14:paraId="1B8A927F">
                  <w:pPr>
                    <w:widowControl/>
                    <w:jc w:val="center"/>
                    <w:rPr>
                      <w:rFonts w:cs="宋体" w:asciiTheme="minorEastAsia" w:hAnsiTheme="minorEastAsia" w:eastAsiaTheme="minorEastAsia"/>
                      <w:b/>
                      <w:bCs/>
                      <w:color w:val="auto"/>
                      <w:kern w:val="0"/>
                      <w:sz w:val="24"/>
                      <w:szCs w:val="24"/>
                    </w:rPr>
                  </w:pPr>
                  <w:r>
                    <w:rPr>
                      <w:rFonts w:hint="eastAsia" w:cs="宋体" w:asciiTheme="minorEastAsia" w:hAnsiTheme="minorEastAsia" w:eastAsiaTheme="minorEastAsia"/>
                      <w:b/>
                      <w:bCs/>
                      <w:color w:val="auto"/>
                      <w:kern w:val="0"/>
                      <w:sz w:val="24"/>
                      <w:szCs w:val="24"/>
                    </w:rPr>
                    <w:t>单位</w:t>
                  </w:r>
                </w:p>
              </w:tc>
              <w:tc>
                <w:tcPr>
                  <w:tcW w:w="1770" w:type="dxa"/>
                  <w:tcBorders>
                    <w:top w:val="nil"/>
                    <w:left w:val="single" w:color="auto" w:sz="6" w:space="0"/>
                    <w:bottom w:val="nil"/>
                    <w:right w:val="nil"/>
                  </w:tcBorders>
                  <w:vAlign w:val="center"/>
                </w:tcPr>
                <w:p w14:paraId="1A8D7FFE">
                  <w:pPr>
                    <w:widowControl/>
                    <w:jc w:val="center"/>
                    <w:rPr>
                      <w:rFonts w:cs="宋体" w:asciiTheme="minorEastAsia" w:hAnsiTheme="minorEastAsia" w:eastAsiaTheme="minorEastAsia"/>
                      <w:b/>
                      <w:bCs/>
                      <w:color w:val="auto"/>
                      <w:kern w:val="0"/>
                      <w:sz w:val="24"/>
                      <w:szCs w:val="24"/>
                    </w:rPr>
                  </w:pPr>
                  <w:r>
                    <w:rPr>
                      <w:rFonts w:hint="eastAsia" w:cs="宋体" w:asciiTheme="minorEastAsia" w:hAnsiTheme="minorEastAsia" w:eastAsiaTheme="minorEastAsia"/>
                      <w:b/>
                      <w:bCs/>
                      <w:color w:val="auto"/>
                      <w:kern w:val="0"/>
                      <w:sz w:val="24"/>
                      <w:szCs w:val="24"/>
                    </w:rPr>
                    <w:t>总</w:t>
                  </w:r>
                  <w:r>
                    <w:rPr>
                      <w:rFonts w:cs="宋体" w:asciiTheme="minorEastAsia" w:hAnsiTheme="minorEastAsia" w:eastAsiaTheme="minorEastAsia"/>
                      <w:b/>
                      <w:bCs/>
                      <w:color w:val="auto"/>
                      <w:kern w:val="0"/>
                      <w:sz w:val="24"/>
                      <w:szCs w:val="24"/>
                    </w:rPr>
                    <w:t>预算</w:t>
                  </w:r>
                  <w:r>
                    <w:rPr>
                      <w:rFonts w:hint="eastAsia" w:cs="宋体" w:asciiTheme="minorEastAsia" w:hAnsiTheme="minorEastAsia" w:eastAsiaTheme="minorEastAsia"/>
                      <w:b/>
                      <w:bCs/>
                      <w:color w:val="auto"/>
                      <w:kern w:val="0"/>
                      <w:sz w:val="24"/>
                      <w:szCs w:val="24"/>
                    </w:rPr>
                    <w:t>金</w:t>
                  </w:r>
                  <w:r>
                    <w:rPr>
                      <w:rFonts w:cs="宋体" w:asciiTheme="minorEastAsia" w:hAnsiTheme="minorEastAsia" w:eastAsiaTheme="minorEastAsia"/>
                      <w:b/>
                      <w:bCs/>
                      <w:color w:val="auto"/>
                      <w:kern w:val="0"/>
                      <w:sz w:val="24"/>
                      <w:szCs w:val="24"/>
                    </w:rPr>
                    <w:t>额(元)</w:t>
                  </w:r>
                </w:p>
              </w:tc>
              <w:tc>
                <w:tcPr>
                  <w:tcW w:w="1775" w:type="dxa"/>
                  <w:tcBorders>
                    <w:top w:val="nil"/>
                    <w:left w:val="single" w:color="auto" w:sz="6" w:space="0"/>
                    <w:bottom w:val="nil"/>
                    <w:right w:val="nil"/>
                  </w:tcBorders>
                  <w:vAlign w:val="center"/>
                </w:tcPr>
                <w:p w14:paraId="3F9C97B2">
                  <w:pPr>
                    <w:widowControl/>
                    <w:jc w:val="center"/>
                    <w:rPr>
                      <w:rFonts w:cs="宋体" w:asciiTheme="minorEastAsia" w:hAnsiTheme="minorEastAsia" w:eastAsiaTheme="minorEastAsia"/>
                      <w:b/>
                      <w:bCs/>
                      <w:color w:val="auto"/>
                      <w:kern w:val="0"/>
                      <w:sz w:val="24"/>
                      <w:szCs w:val="24"/>
                    </w:rPr>
                  </w:pPr>
                  <w:r>
                    <w:rPr>
                      <w:rFonts w:cs="宋体" w:asciiTheme="minorEastAsia" w:hAnsiTheme="minorEastAsia" w:eastAsiaTheme="minorEastAsia"/>
                      <w:b/>
                      <w:bCs/>
                      <w:color w:val="auto"/>
                      <w:kern w:val="0"/>
                      <w:sz w:val="24"/>
                      <w:szCs w:val="24"/>
                    </w:rPr>
                    <w:t>备注</w:t>
                  </w:r>
                </w:p>
              </w:tc>
            </w:tr>
            <w:tr w14:paraId="2570285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vAlign w:val="center"/>
                </w:tcPr>
                <w:p w14:paraId="7E8556ED">
                  <w:pPr>
                    <w:widowControl/>
                    <w:jc w:val="center"/>
                    <w:rPr>
                      <w:rFonts w:hint="default" w:cs="宋体" w:asciiTheme="minorEastAsia" w:hAnsiTheme="minorEastAsia" w:eastAsiaTheme="minorEastAsia"/>
                      <w:color w:val="auto"/>
                      <w:kern w:val="0"/>
                      <w:sz w:val="24"/>
                      <w:szCs w:val="24"/>
                      <w:lang w:val="en-US" w:eastAsia="zh-CN"/>
                    </w:rPr>
                  </w:pPr>
                  <w:r>
                    <w:rPr>
                      <w:rFonts w:hint="default" w:cs="宋体" w:asciiTheme="minorEastAsia" w:hAnsiTheme="minorEastAsia" w:eastAsiaTheme="minorEastAsia"/>
                      <w:color w:val="auto"/>
                      <w:kern w:val="0"/>
                      <w:sz w:val="24"/>
                      <w:szCs w:val="24"/>
                      <w:lang w:val="en-US" w:eastAsia="zh-CN"/>
                    </w:rPr>
                    <w:t>龙华院区探索一号院感系统升级改造</w:t>
                  </w:r>
                </w:p>
              </w:tc>
              <w:tc>
                <w:tcPr>
                  <w:tcW w:w="1344" w:type="dxa"/>
                  <w:tcBorders>
                    <w:top w:val="single" w:color="auto" w:sz="6" w:space="0"/>
                    <w:left w:val="single" w:color="auto" w:sz="6" w:space="0"/>
                    <w:bottom w:val="nil"/>
                    <w:right w:val="nil"/>
                  </w:tcBorders>
                  <w:vAlign w:val="center"/>
                </w:tcPr>
                <w:p w14:paraId="510A6641">
                  <w:pPr>
                    <w:widowControl/>
                    <w:jc w:val="center"/>
                    <w:rPr>
                      <w:rFonts w:hint="default" w:cs="宋体" w:asciiTheme="minorEastAsia" w:hAnsiTheme="minorEastAsia" w:eastAsiaTheme="minorEastAsia"/>
                      <w:color w:val="auto"/>
                      <w:kern w:val="0"/>
                      <w:sz w:val="24"/>
                      <w:szCs w:val="24"/>
                      <w:lang w:val="en-US" w:eastAsia="zh-CN"/>
                    </w:rPr>
                  </w:pPr>
                  <w:r>
                    <w:rPr>
                      <w:rFonts w:hint="eastAsia" w:cs="宋体" w:asciiTheme="minorEastAsia" w:hAnsiTheme="minorEastAsia" w:eastAsiaTheme="minorEastAsia"/>
                      <w:color w:val="auto"/>
                      <w:kern w:val="0"/>
                      <w:sz w:val="24"/>
                      <w:szCs w:val="24"/>
                      <w:lang w:val="en-US" w:eastAsia="zh-CN"/>
                    </w:rPr>
                    <w:t>1</w:t>
                  </w:r>
                </w:p>
              </w:tc>
              <w:tc>
                <w:tcPr>
                  <w:tcW w:w="1311" w:type="dxa"/>
                  <w:tcBorders>
                    <w:top w:val="single" w:color="auto" w:sz="6" w:space="0"/>
                    <w:left w:val="single" w:color="auto" w:sz="6" w:space="0"/>
                    <w:bottom w:val="nil"/>
                    <w:right w:val="nil"/>
                  </w:tcBorders>
                  <w:vAlign w:val="center"/>
                </w:tcPr>
                <w:p w14:paraId="3BEAB94F">
                  <w:pPr>
                    <w:widowControl/>
                    <w:jc w:val="center"/>
                    <w:rPr>
                      <w:rFonts w:hint="default" w:cs="宋体" w:asciiTheme="minorEastAsia" w:hAnsiTheme="minorEastAsia" w:eastAsiaTheme="minorEastAsia"/>
                      <w:color w:val="auto"/>
                      <w:kern w:val="0"/>
                      <w:sz w:val="24"/>
                      <w:szCs w:val="24"/>
                      <w:lang w:val="en-US" w:eastAsia="zh-CN"/>
                    </w:rPr>
                  </w:pPr>
                  <w:r>
                    <w:rPr>
                      <w:rFonts w:hint="eastAsia" w:cs="宋体" w:asciiTheme="minorEastAsia" w:hAnsiTheme="minorEastAsia" w:eastAsiaTheme="minorEastAsia"/>
                      <w:color w:val="auto"/>
                      <w:kern w:val="0"/>
                      <w:sz w:val="24"/>
                      <w:szCs w:val="24"/>
                      <w:lang w:val="en-US" w:eastAsia="zh-CN"/>
                    </w:rPr>
                    <w:t>套</w:t>
                  </w:r>
                </w:p>
              </w:tc>
              <w:tc>
                <w:tcPr>
                  <w:tcW w:w="1770" w:type="dxa"/>
                  <w:tcBorders>
                    <w:top w:val="single" w:color="auto" w:sz="6" w:space="0"/>
                    <w:left w:val="single" w:color="auto" w:sz="6" w:space="0"/>
                    <w:bottom w:val="nil"/>
                    <w:right w:val="nil"/>
                  </w:tcBorders>
                  <w:vAlign w:val="center"/>
                </w:tcPr>
                <w:p w14:paraId="4FF91A6C">
                  <w:pPr>
                    <w:widowControl/>
                    <w:jc w:val="center"/>
                    <w:rPr>
                      <w:rFonts w:hint="default" w:cs="宋体" w:asciiTheme="minorEastAsia" w:hAnsiTheme="minorEastAsia" w:eastAsiaTheme="minorEastAsia"/>
                      <w:color w:val="auto"/>
                      <w:kern w:val="0"/>
                      <w:sz w:val="24"/>
                      <w:szCs w:val="24"/>
                      <w:lang w:val="en-US" w:eastAsia="zh-CN"/>
                    </w:rPr>
                  </w:pPr>
                  <w:r>
                    <w:rPr>
                      <w:rFonts w:hint="eastAsia" w:cs="宋体" w:asciiTheme="minorEastAsia" w:hAnsiTheme="minorEastAsia" w:eastAsiaTheme="minorEastAsia"/>
                      <w:color w:val="auto"/>
                      <w:kern w:val="0"/>
                      <w:sz w:val="24"/>
                      <w:szCs w:val="24"/>
                      <w:lang w:val="en-US" w:eastAsia="zh-CN"/>
                    </w:rPr>
                    <w:t>198000</w:t>
                  </w:r>
                </w:p>
              </w:tc>
              <w:tc>
                <w:tcPr>
                  <w:tcW w:w="1775" w:type="dxa"/>
                  <w:tcBorders>
                    <w:top w:val="single" w:color="auto" w:sz="6" w:space="0"/>
                    <w:left w:val="single" w:color="auto" w:sz="6" w:space="0"/>
                    <w:bottom w:val="nil"/>
                    <w:right w:val="nil"/>
                  </w:tcBorders>
                  <w:vAlign w:val="center"/>
                </w:tcPr>
                <w:p w14:paraId="359E0563">
                  <w:pPr>
                    <w:widowControl/>
                    <w:jc w:val="center"/>
                    <w:rPr>
                      <w:rFonts w:cs="宋体" w:asciiTheme="minorEastAsia" w:hAnsiTheme="minorEastAsia" w:eastAsiaTheme="minorEastAsia"/>
                      <w:color w:val="auto"/>
                      <w:kern w:val="0"/>
                      <w:sz w:val="24"/>
                      <w:szCs w:val="24"/>
                    </w:rPr>
                  </w:pPr>
                </w:p>
              </w:tc>
            </w:tr>
            <w:tr w14:paraId="3D87D68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vAlign w:val="center"/>
                </w:tcPr>
                <w:p w14:paraId="06C5EA8A">
                  <w:pPr>
                    <w:widowControl/>
                    <w:jc w:val="left"/>
                    <w:rPr>
                      <w:rFonts w:cs="宋体" w:asciiTheme="minorEastAsia" w:hAnsiTheme="minorEastAsia" w:eastAsiaTheme="minorEastAsia"/>
                      <w:color w:val="auto"/>
                      <w:kern w:val="0"/>
                      <w:sz w:val="24"/>
                      <w:szCs w:val="24"/>
                    </w:rPr>
                  </w:pPr>
                </w:p>
              </w:tc>
            </w:tr>
          </w:tbl>
          <w:p w14:paraId="73DC8E02">
            <w:pPr>
              <w:widowControl/>
              <w:jc w:val="left"/>
              <w:rPr>
                <w:rFonts w:cs="宋体" w:asciiTheme="minorEastAsia" w:hAnsiTheme="minorEastAsia" w:eastAsiaTheme="minorEastAsia"/>
                <w:color w:val="auto"/>
                <w:kern w:val="0"/>
                <w:sz w:val="24"/>
                <w:szCs w:val="24"/>
              </w:rPr>
            </w:pPr>
          </w:p>
        </w:tc>
      </w:tr>
      <w:tr w14:paraId="05516A7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vAlign w:val="center"/>
          </w:tcPr>
          <w:p w14:paraId="0370E3C5">
            <w:pPr>
              <w:widowControl/>
              <w:spacing w:before="100" w:beforeAutospacing="1" w:after="100" w:afterAutospacing="1"/>
              <w:jc w:val="left"/>
              <w:rPr>
                <w:rFonts w:cs="宋体" w:asciiTheme="minorEastAsia" w:hAnsiTheme="minorEastAsia" w:eastAsiaTheme="minorEastAsia"/>
                <w:color w:val="auto"/>
                <w:kern w:val="0"/>
                <w:sz w:val="24"/>
                <w:szCs w:val="24"/>
              </w:rPr>
            </w:pPr>
          </w:p>
        </w:tc>
        <w:tc>
          <w:tcPr>
            <w:tcW w:w="8880" w:type="dxa"/>
            <w:tcBorders>
              <w:top w:val="single" w:color="auto" w:sz="6" w:space="0"/>
              <w:left w:val="single" w:color="auto" w:sz="6" w:space="0"/>
              <w:bottom w:val="nil"/>
              <w:right w:val="nil"/>
            </w:tcBorders>
            <w:vAlign w:val="center"/>
          </w:tcPr>
          <w:p w14:paraId="437AEDFD">
            <w:pPr>
              <w:widowControl/>
              <w:spacing w:before="100" w:beforeAutospacing="1" w:after="100" w:afterAutospacing="1"/>
              <w:ind w:left="1440"/>
              <w:jc w:val="left"/>
              <w:rPr>
                <w:rFonts w:cs="宋体" w:asciiTheme="minorEastAsia" w:hAnsiTheme="minorEastAsia" w:eastAsiaTheme="minorEastAsia"/>
                <w:color w:val="auto"/>
                <w:kern w:val="0"/>
                <w:sz w:val="24"/>
                <w:szCs w:val="24"/>
              </w:rPr>
            </w:pPr>
          </w:p>
        </w:tc>
      </w:tr>
      <w:tr w14:paraId="757F73B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vAlign w:val="center"/>
          </w:tcPr>
          <w:p w14:paraId="67426E3C">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b/>
                <w:bCs/>
                <w:color w:val="auto"/>
                <w:kern w:val="0"/>
                <w:sz w:val="24"/>
                <w:szCs w:val="24"/>
              </w:rPr>
              <w:t>商务需求</w:t>
            </w:r>
            <w:r>
              <w:rPr>
                <w:rFonts w:cs="宋体" w:asciiTheme="minorEastAsia" w:hAnsiTheme="minorEastAsia" w:eastAsiaTheme="minorEastAsia"/>
                <w:color w:val="auto"/>
                <w:kern w:val="0"/>
                <w:sz w:val="24"/>
                <w:szCs w:val="24"/>
              </w:rPr>
              <w:t xml:space="preserve"> </w:t>
            </w:r>
          </w:p>
        </w:tc>
        <w:tc>
          <w:tcPr>
            <w:tcW w:w="8880" w:type="dxa"/>
            <w:tcBorders>
              <w:top w:val="single" w:color="auto" w:sz="6" w:space="0"/>
              <w:left w:val="single" w:color="auto" w:sz="6" w:space="0"/>
              <w:bottom w:val="nil"/>
              <w:right w:val="nil"/>
            </w:tcBorders>
            <w:vAlign w:val="center"/>
          </w:tcPr>
          <w:p w14:paraId="12C14AD2">
            <w:pPr>
              <w:widowControl/>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524"/>
              <w:gridCol w:w="1559"/>
              <w:gridCol w:w="6257"/>
            </w:tblGrid>
            <w:tr w14:paraId="30F26AB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52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F20980">
                  <w:pPr>
                    <w:widowControl/>
                    <w:spacing w:before="100" w:beforeAutospacing="1" w:after="100" w:afterAutospacing="1"/>
                    <w:jc w:val="center"/>
                    <w:rPr>
                      <w:rFonts w:cs="宋体" w:asciiTheme="minorEastAsia" w:hAnsiTheme="minorEastAsia" w:eastAsiaTheme="minorEastAsia"/>
                      <w:color w:val="auto"/>
                      <w:kern w:val="0"/>
                      <w:sz w:val="24"/>
                      <w:szCs w:val="24"/>
                    </w:rPr>
                  </w:pPr>
                  <w:r>
                    <w:rPr>
                      <w:rFonts w:cs="宋体" w:asciiTheme="minorEastAsia" w:hAnsiTheme="minorEastAsia" w:eastAsiaTheme="minorEastAsia"/>
                      <w:b/>
                      <w:bCs/>
                      <w:color w:val="auto"/>
                      <w:kern w:val="0"/>
                      <w:sz w:val="24"/>
                      <w:szCs w:val="24"/>
                    </w:rPr>
                    <w:t>序号</w:t>
                  </w:r>
                </w:p>
              </w:tc>
              <w:tc>
                <w:tcPr>
                  <w:tcW w:w="155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2355D0">
                  <w:pPr>
                    <w:widowControl/>
                    <w:spacing w:before="100" w:beforeAutospacing="1" w:after="100" w:afterAutospacing="1"/>
                    <w:jc w:val="center"/>
                    <w:rPr>
                      <w:rFonts w:cs="宋体" w:asciiTheme="minorEastAsia" w:hAnsiTheme="minorEastAsia" w:eastAsiaTheme="minorEastAsia"/>
                      <w:color w:val="auto"/>
                      <w:kern w:val="0"/>
                      <w:sz w:val="24"/>
                      <w:szCs w:val="24"/>
                    </w:rPr>
                  </w:pPr>
                  <w:r>
                    <w:rPr>
                      <w:rFonts w:cs="宋体" w:asciiTheme="minorEastAsia" w:hAnsiTheme="minorEastAsia" w:eastAsiaTheme="minorEastAsia"/>
                      <w:b/>
                      <w:bCs/>
                      <w:color w:val="auto"/>
                      <w:kern w:val="0"/>
                      <w:sz w:val="24"/>
                      <w:szCs w:val="24"/>
                    </w:rPr>
                    <w:t>目录</w:t>
                  </w:r>
                </w:p>
              </w:tc>
              <w:tc>
                <w:tcPr>
                  <w:tcW w:w="625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46C4F4A">
                  <w:pPr>
                    <w:widowControl/>
                    <w:spacing w:before="100" w:beforeAutospacing="1" w:after="100" w:afterAutospacing="1"/>
                    <w:jc w:val="center"/>
                    <w:rPr>
                      <w:rFonts w:cs="宋体" w:asciiTheme="minorEastAsia" w:hAnsiTheme="minorEastAsia" w:eastAsiaTheme="minorEastAsia"/>
                      <w:color w:val="auto"/>
                      <w:kern w:val="0"/>
                      <w:sz w:val="24"/>
                      <w:szCs w:val="24"/>
                    </w:rPr>
                  </w:pPr>
                  <w:r>
                    <w:rPr>
                      <w:rFonts w:cs="宋体" w:asciiTheme="minorEastAsia" w:hAnsiTheme="minorEastAsia" w:eastAsiaTheme="minorEastAsia"/>
                      <w:b/>
                      <w:bCs/>
                      <w:color w:val="auto"/>
                      <w:kern w:val="0"/>
                      <w:sz w:val="24"/>
                      <w:szCs w:val="24"/>
                    </w:rPr>
                    <w:t>商务需求</w:t>
                  </w:r>
                </w:p>
              </w:tc>
            </w:tr>
            <w:tr w14:paraId="545073B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4ECE9163">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b/>
                      <w:bCs/>
                      <w:color w:val="auto"/>
                      <w:kern w:val="0"/>
                      <w:sz w:val="24"/>
                      <w:szCs w:val="24"/>
                    </w:rPr>
                    <w:t>（一）免费保修期内售后服务要求</w:t>
                  </w:r>
                </w:p>
              </w:tc>
            </w:tr>
            <w:tr w14:paraId="5B8B07D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5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FEE9796">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b/>
                      <w:bCs/>
                      <w:color w:val="auto"/>
                      <w:kern w:val="0"/>
                      <w:sz w:val="24"/>
                      <w:szCs w:val="24"/>
                    </w:rPr>
                    <w:t>1</w:t>
                  </w: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672F3D">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免费保修期</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297BCD84">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货物免费保修期</w:t>
                  </w:r>
                  <w:r>
                    <w:rPr>
                      <w:rFonts w:hint="eastAsia" w:cs="宋体" w:asciiTheme="minorEastAsia" w:hAnsiTheme="minorEastAsia" w:eastAsiaTheme="minorEastAsia"/>
                      <w:color w:val="auto"/>
                      <w:kern w:val="0"/>
                      <w:sz w:val="24"/>
                      <w:szCs w:val="24"/>
                      <w:lang w:val="en-US" w:eastAsia="zh-CN"/>
                    </w:rPr>
                    <w:t>两</w:t>
                  </w:r>
                  <w:r>
                    <w:rPr>
                      <w:rFonts w:cs="宋体" w:asciiTheme="minorEastAsia" w:hAnsiTheme="minorEastAsia" w:eastAsiaTheme="minorEastAsia"/>
                      <w:color w:val="auto"/>
                      <w:kern w:val="0"/>
                      <w:sz w:val="24"/>
                      <w:szCs w:val="24"/>
                    </w:rPr>
                    <w:t>年，时间自最终验收合格并交付使用之日起计算。</w:t>
                  </w:r>
                </w:p>
              </w:tc>
            </w:tr>
            <w:tr w14:paraId="1873E2E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5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CF9B50A">
                  <w:pPr>
                    <w:widowControl/>
                    <w:spacing w:before="100" w:beforeAutospacing="1" w:after="100" w:afterAutospacing="1" w:line="150" w:lineRule="atLeast"/>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b/>
                      <w:bCs/>
                      <w:color w:val="auto"/>
                      <w:kern w:val="0"/>
                      <w:sz w:val="24"/>
                      <w:szCs w:val="24"/>
                    </w:rPr>
                    <w:t>2</w:t>
                  </w: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54462B7F">
                  <w:pPr>
                    <w:widowControl/>
                    <w:spacing w:before="100" w:beforeAutospacing="1" w:after="100" w:afterAutospacing="1" w:line="150" w:lineRule="atLeast"/>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维修响应及故障解决时间</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102C75E5">
                  <w:pPr>
                    <w:widowControl/>
                    <w:spacing w:before="100" w:beforeAutospacing="1" w:after="100" w:afterAutospacing="1" w:line="150" w:lineRule="atLeast"/>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在保修期内，一旦发生质量问题，投标人保证在接到通知24小时内进行</w:t>
                  </w:r>
                  <w:r>
                    <w:rPr>
                      <w:rFonts w:hint="eastAsia" w:cs="宋体" w:asciiTheme="minorEastAsia" w:hAnsiTheme="minorEastAsia" w:eastAsiaTheme="minorEastAsia"/>
                      <w:color w:val="auto"/>
                      <w:kern w:val="0"/>
                      <w:sz w:val="24"/>
                      <w:szCs w:val="24"/>
                      <w:lang w:val="en-US" w:eastAsia="zh-CN"/>
                    </w:rPr>
                    <w:t>故障处理和修复</w:t>
                  </w:r>
                  <w:r>
                    <w:rPr>
                      <w:rFonts w:cs="宋体" w:asciiTheme="minorEastAsia" w:hAnsiTheme="minorEastAsia" w:eastAsiaTheme="minorEastAsia"/>
                      <w:color w:val="auto"/>
                      <w:kern w:val="0"/>
                      <w:sz w:val="24"/>
                      <w:szCs w:val="24"/>
                    </w:rPr>
                    <w:t>。</w:t>
                  </w:r>
                </w:p>
              </w:tc>
            </w:tr>
            <w:tr w14:paraId="20CF5E7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5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D4BC284">
                  <w:pPr>
                    <w:widowControl/>
                    <w:spacing w:before="100" w:beforeAutospacing="1" w:after="100" w:afterAutospacing="1" w:line="150" w:lineRule="atLeast"/>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3</w:t>
                  </w: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11ECF3C1">
                  <w:pPr>
                    <w:widowControl/>
                    <w:spacing w:before="100" w:beforeAutospacing="1" w:after="100" w:afterAutospacing="1" w:line="150" w:lineRule="atLeast"/>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产权合法性</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34CF8D6F">
                  <w:pPr>
                    <w:widowControl/>
                    <w:spacing w:before="100" w:beforeAutospacing="1" w:after="100" w:afterAutospacing="1" w:line="150" w:lineRule="atLeast"/>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供应商保证所使用软件的合法性，任何知识产权纠纷与用户无关。</w:t>
                  </w:r>
                </w:p>
              </w:tc>
            </w:tr>
            <w:tr w14:paraId="2A3177D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5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3E0347">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4</w:t>
                  </w: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38CF28C7">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相关培训</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7BBCD2FE">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有专业人员对</w:t>
                  </w:r>
                  <w:r>
                    <w:rPr>
                      <w:rFonts w:hint="eastAsia" w:cs="宋体" w:asciiTheme="minorEastAsia" w:hAnsiTheme="minorEastAsia" w:eastAsiaTheme="minorEastAsia"/>
                      <w:color w:val="auto"/>
                      <w:kern w:val="0"/>
                      <w:sz w:val="24"/>
                      <w:szCs w:val="24"/>
                      <w:lang w:val="en-US" w:eastAsia="zh-CN"/>
                    </w:rPr>
                    <w:t>系统</w:t>
                  </w:r>
                  <w:r>
                    <w:rPr>
                      <w:rFonts w:cs="宋体" w:asciiTheme="minorEastAsia" w:hAnsiTheme="minorEastAsia" w:eastAsiaTheme="minorEastAsia"/>
                      <w:color w:val="auto"/>
                      <w:kern w:val="0"/>
                      <w:sz w:val="24"/>
                      <w:szCs w:val="24"/>
                    </w:rPr>
                    <w:t>操作人员进行专业的培训，并对维修工程师进行维护、维修培训。</w:t>
                  </w:r>
                </w:p>
              </w:tc>
            </w:tr>
            <w:tr w14:paraId="72EFE87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5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11E3FBD">
                  <w:pPr>
                    <w:widowControl/>
                    <w:spacing w:before="100" w:beforeAutospacing="1" w:after="100" w:afterAutospacing="1"/>
                    <w:jc w:val="left"/>
                    <w:rPr>
                      <w:rFonts w:hint="eastAsia" w:cs="宋体" w:asciiTheme="minorEastAsia" w:hAnsiTheme="minorEastAsia" w:eastAsiaTheme="minorEastAsia"/>
                      <w:color w:val="auto"/>
                      <w:kern w:val="0"/>
                      <w:sz w:val="24"/>
                      <w:szCs w:val="24"/>
                      <w:lang w:eastAsia="zh-CN"/>
                    </w:rPr>
                  </w:pPr>
                  <w:r>
                    <w:rPr>
                      <w:rFonts w:hint="eastAsia" w:cs="宋体" w:asciiTheme="minorEastAsia" w:hAnsiTheme="minorEastAsia" w:eastAsiaTheme="minorEastAsia"/>
                      <w:b/>
                      <w:bCs/>
                      <w:color w:val="auto"/>
                      <w:kern w:val="0"/>
                      <w:sz w:val="24"/>
                      <w:szCs w:val="24"/>
                      <w:lang w:val="en-US" w:eastAsia="zh-CN"/>
                    </w:rPr>
                    <w:t>5</w:t>
                  </w: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7CCD77">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其他</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7099C6">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投标人应按其投标文件中的承诺，进行其他售后服务工作。</w:t>
                  </w:r>
                </w:p>
              </w:tc>
            </w:tr>
            <w:tr w14:paraId="2D1599C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40906F62">
                  <w:pPr>
                    <w:widowControl/>
                    <w:spacing w:before="100" w:beforeAutospacing="1" w:after="100" w:afterAutospacing="1" w:line="300" w:lineRule="atLeast"/>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b/>
                      <w:bCs/>
                      <w:color w:val="auto"/>
                      <w:kern w:val="0"/>
                      <w:sz w:val="24"/>
                      <w:szCs w:val="24"/>
                    </w:rPr>
                    <w:t>（二）免费保修期外售后服务要求</w:t>
                  </w:r>
                </w:p>
              </w:tc>
            </w:tr>
            <w:tr w14:paraId="11BA3FE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5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9A73947">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b/>
                      <w:bCs/>
                      <w:color w:val="auto"/>
                      <w:kern w:val="0"/>
                      <w:sz w:val="24"/>
                      <w:szCs w:val="24"/>
                    </w:rPr>
                    <w:t>1</w:t>
                  </w: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3BD8421F">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维修响应时间</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7E3AB3CD">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 在保修期外，一旦发生质量问题，投标人保证在接到通知24小时内进行</w:t>
                  </w:r>
                  <w:r>
                    <w:rPr>
                      <w:rFonts w:hint="eastAsia" w:cs="宋体" w:asciiTheme="minorEastAsia" w:hAnsiTheme="minorEastAsia" w:eastAsiaTheme="minorEastAsia"/>
                      <w:color w:val="auto"/>
                      <w:kern w:val="0"/>
                      <w:sz w:val="24"/>
                      <w:szCs w:val="24"/>
                      <w:lang w:val="en-US" w:eastAsia="zh-CN"/>
                    </w:rPr>
                    <w:t>故障处理和修复</w:t>
                  </w:r>
                  <w:r>
                    <w:rPr>
                      <w:rFonts w:cs="宋体" w:asciiTheme="minorEastAsia" w:hAnsiTheme="minorEastAsia" w:eastAsiaTheme="minorEastAsia"/>
                      <w:color w:val="auto"/>
                      <w:kern w:val="0"/>
                      <w:sz w:val="24"/>
                      <w:szCs w:val="24"/>
                    </w:rPr>
                    <w:t>。</w:t>
                  </w:r>
                </w:p>
              </w:tc>
            </w:tr>
            <w:tr w14:paraId="60C77B0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5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C51B2A3">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2</w:t>
                  </w: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0C8DCA94">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产权合法性</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2E89E5CF">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 供应商保证所使用软件的合法性，任何知识产权纠纷与用户无关。</w:t>
                  </w:r>
                </w:p>
              </w:tc>
            </w:tr>
            <w:tr w14:paraId="08B28F4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5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0DD2765">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3</w:t>
                  </w: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0AECB0C7">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相关培训</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5D6843FB">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 有专业人员对</w:t>
                  </w:r>
                  <w:r>
                    <w:rPr>
                      <w:rFonts w:hint="eastAsia" w:cs="宋体" w:asciiTheme="minorEastAsia" w:hAnsiTheme="minorEastAsia" w:eastAsiaTheme="minorEastAsia"/>
                      <w:color w:val="auto"/>
                      <w:kern w:val="0"/>
                      <w:sz w:val="24"/>
                      <w:szCs w:val="24"/>
                      <w:lang w:val="en-US" w:eastAsia="zh-CN"/>
                    </w:rPr>
                    <w:t>系统</w:t>
                  </w:r>
                  <w:r>
                    <w:rPr>
                      <w:rFonts w:cs="宋体" w:asciiTheme="minorEastAsia" w:hAnsiTheme="minorEastAsia" w:eastAsiaTheme="minorEastAsia"/>
                      <w:color w:val="auto"/>
                      <w:kern w:val="0"/>
                      <w:sz w:val="24"/>
                      <w:szCs w:val="24"/>
                    </w:rPr>
                    <w:t>操作人员进行专业的培训，并对维修工程师进行维护、维修培训。</w:t>
                  </w:r>
                </w:p>
              </w:tc>
            </w:tr>
            <w:tr w14:paraId="4986AA6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5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E109E2">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4</w:t>
                  </w: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530FBEF2">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其他</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4A8F6F3F">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hint="eastAsia"/>
                      <w:color w:val="auto"/>
                      <w:sz w:val="24"/>
                      <w:szCs w:val="24"/>
                    </w:rPr>
                    <w:t>质保期满后，投标人应继续负责软件系统的维护和技术支持，并提供优质迅速的服务，质保期满后维护和技术支持的收费标准另行协议。</w:t>
                  </w:r>
                </w:p>
              </w:tc>
            </w:tr>
            <w:tr w14:paraId="414E294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530E3EC4">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b/>
                      <w:bCs/>
                      <w:color w:val="auto"/>
                      <w:kern w:val="0"/>
                      <w:sz w:val="24"/>
                      <w:szCs w:val="24"/>
                    </w:rPr>
                    <w:t>（三）其他商务要求</w:t>
                  </w:r>
                </w:p>
              </w:tc>
            </w:tr>
            <w:tr w14:paraId="569A792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52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F255476">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1</w:t>
                  </w:r>
                </w:p>
              </w:tc>
              <w:tc>
                <w:tcPr>
                  <w:tcW w:w="155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A6624C7">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关于交货</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6B4B2983">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1.1签订合同后</w:t>
                  </w:r>
                  <w:r>
                    <w:rPr>
                      <w:rFonts w:hint="eastAsia" w:cs="宋体" w:asciiTheme="minorEastAsia" w:hAnsiTheme="minorEastAsia" w:eastAsiaTheme="minorEastAsia"/>
                      <w:color w:val="auto"/>
                      <w:kern w:val="0"/>
                      <w:sz w:val="24"/>
                      <w:szCs w:val="24"/>
                      <w:lang w:val="en-US" w:eastAsia="zh-CN"/>
                    </w:rPr>
                    <w:t>4</w:t>
                  </w:r>
                  <w:r>
                    <w:rPr>
                      <w:rFonts w:cs="宋体" w:asciiTheme="minorEastAsia" w:hAnsiTheme="minorEastAsia" w:eastAsiaTheme="minorEastAsia"/>
                      <w:color w:val="auto"/>
                      <w:kern w:val="0"/>
                      <w:sz w:val="24"/>
                      <w:szCs w:val="24"/>
                    </w:rPr>
                    <w:t>0</w:t>
                  </w:r>
                  <w:r>
                    <w:rPr>
                      <w:rFonts w:hint="eastAsia" w:cs="宋体" w:asciiTheme="minorEastAsia" w:hAnsiTheme="minorEastAsia" w:eastAsiaTheme="minorEastAsia"/>
                      <w:color w:val="auto"/>
                      <w:kern w:val="0"/>
                      <w:sz w:val="24"/>
                      <w:szCs w:val="24"/>
                      <w:lang w:val="en-US" w:eastAsia="zh-CN"/>
                    </w:rPr>
                    <w:t>工作日</w:t>
                  </w:r>
                  <w:r>
                    <w:rPr>
                      <w:rFonts w:cs="宋体" w:asciiTheme="minorEastAsia" w:hAnsiTheme="minorEastAsia" w:eastAsiaTheme="minorEastAsia"/>
                      <w:color w:val="auto"/>
                      <w:kern w:val="0"/>
                      <w:sz w:val="24"/>
                      <w:szCs w:val="24"/>
                    </w:rPr>
                    <w:t>内。</w:t>
                  </w:r>
                </w:p>
              </w:tc>
            </w:tr>
            <w:tr w14:paraId="5F5CEFD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76" w:hRule="atLeast"/>
              </w:trPr>
              <w:tc>
                <w:tcPr>
                  <w:tcW w:w="524" w:type="dxa"/>
                  <w:vMerge w:val="continue"/>
                  <w:tcBorders>
                    <w:top w:val="nil"/>
                    <w:left w:val="single" w:color="auto" w:sz="8" w:space="0"/>
                    <w:bottom w:val="single" w:color="auto" w:sz="8" w:space="0"/>
                    <w:right w:val="single" w:color="auto" w:sz="8" w:space="0"/>
                  </w:tcBorders>
                  <w:vAlign w:val="center"/>
                </w:tcPr>
                <w:p w14:paraId="02D7B113">
                  <w:pPr>
                    <w:widowControl/>
                    <w:jc w:val="left"/>
                    <w:rPr>
                      <w:rFonts w:cs="宋体" w:asciiTheme="minorEastAsia" w:hAnsiTheme="minorEastAsia" w:eastAsiaTheme="minorEastAsia"/>
                      <w:color w:val="auto"/>
                      <w:kern w:val="0"/>
                      <w:sz w:val="24"/>
                      <w:szCs w:val="24"/>
                    </w:rPr>
                  </w:pPr>
                </w:p>
              </w:tc>
              <w:tc>
                <w:tcPr>
                  <w:tcW w:w="1559" w:type="dxa"/>
                  <w:vMerge w:val="continue"/>
                  <w:tcBorders>
                    <w:top w:val="nil"/>
                    <w:left w:val="nil"/>
                    <w:bottom w:val="single" w:color="auto" w:sz="8" w:space="0"/>
                    <w:right w:val="single" w:color="auto" w:sz="8" w:space="0"/>
                  </w:tcBorders>
                  <w:vAlign w:val="center"/>
                </w:tcPr>
                <w:p w14:paraId="45A0C2AD">
                  <w:pPr>
                    <w:widowControl/>
                    <w:jc w:val="left"/>
                    <w:rPr>
                      <w:rFonts w:cs="宋体" w:asciiTheme="minorEastAsia" w:hAnsiTheme="minorEastAsia" w:eastAsiaTheme="minorEastAsia"/>
                      <w:color w:val="auto"/>
                      <w:kern w:val="0"/>
                      <w:sz w:val="24"/>
                      <w:szCs w:val="24"/>
                    </w:rPr>
                  </w:pP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168395AF">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1.2投标人必须承担的设备运输、安装调试、验收检测和提供设备操作说明书、图纸等其他类似的义务。</w:t>
                  </w:r>
                </w:p>
              </w:tc>
            </w:tr>
            <w:tr w14:paraId="21A9675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826" w:hRule="atLeast"/>
              </w:trPr>
              <w:tc>
                <w:tcPr>
                  <w:tcW w:w="52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A8B57D">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2</w:t>
                  </w:r>
                </w:p>
              </w:tc>
              <w:tc>
                <w:tcPr>
                  <w:tcW w:w="155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84B2ACF">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关于验收</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57AA4260">
                  <w:pPr>
                    <w:widowControl/>
                    <w:spacing w:before="100" w:beforeAutospacing="1" w:after="100" w:afterAutospacing="1" w:line="340" w:lineRule="atLeast"/>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1.1投标人货物经过双方检验认可后，签署验收报告，产品保修期自验收合格之日起算，由投标人提供产品保修文件。</w:t>
                  </w:r>
                </w:p>
              </w:tc>
            </w:tr>
            <w:tr w14:paraId="03AB362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467" w:hRule="atLeast"/>
              </w:trPr>
              <w:tc>
                <w:tcPr>
                  <w:tcW w:w="524" w:type="dxa"/>
                  <w:vMerge w:val="continue"/>
                  <w:tcBorders>
                    <w:top w:val="nil"/>
                    <w:left w:val="single" w:color="auto" w:sz="8" w:space="0"/>
                    <w:bottom w:val="single" w:color="auto" w:sz="8" w:space="0"/>
                    <w:right w:val="single" w:color="auto" w:sz="8" w:space="0"/>
                  </w:tcBorders>
                  <w:vAlign w:val="center"/>
                </w:tcPr>
                <w:p w14:paraId="716B21DC">
                  <w:pPr>
                    <w:widowControl/>
                    <w:jc w:val="left"/>
                    <w:rPr>
                      <w:rFonts w:cs="宋体" w:asciiTheme="minorEastAsia" w:hAnsiTheme="minorEastAsia" w:eastAsiaTheme="minorEastAsia"/>
                      <w:color w:val="auto"/>
                      <w:kern w:val="0"/>
                      <w:sz w:val="24"/>
                      <w:szCs w:val="24"/>
                    </w:rPr>
                  </w:pPr>
                </w:p>
              </w:tc>
              <w:tc>
                <w:tcPr>
                  <w:tcW w:w="1559" w:type="dxa"/>
                  <w:vMerge w:val="continue"/>
                  <w:tcBorders>
                    <w:top w:val="nil"/>
                    <w:left w:val="nil"/>
                    <w:bottom w:val="single" w:color="auto" w:sz="8" w:space="0"/>
                    <w:right w:val="single" w:color="auto" w:sz="8" w:space="0"/>
                  </w:tcBorders>
                  <w:vAlign w:val="center"/>
                </w:tcPr>
                <w:p w14:paraId="03336165">
                  <w:pPr>
                    <w:widowControl/>
                    <w:jc w:val="left"/>
                    <w:rPr>
                      <w:rFonts w:cs="宋体" w:asciiTheme="minorEastAsia" w:hAnsiTheme="minorEastAsia" w:eastAsiaTheme="minorEastAsia"/>
                      <w:color w:val="auto"/>
                      <w:kern w:val="0"/>
                      <w:sz w:val="24"/>
                      <w:szCs w:val="24"/>
                    </w:rPr>
                  </w:pP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44FD2901">
                  <w:pPr>
                    <w:widowControl/>
                    <w:spacing w:before="100" w:beforeAutospacing="1" w:after="100" w:afterAutospacing="1" w:line="340" w:lineRule="atLeast"/>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1.2当满足以下条件时，采购人才向中标人签发货物验收报告：</w:t>
                  </w:r>
                </w:p>
                <w:p w14:paraId="6029117A">
                  <w:pPr>
                    <w:widowControl/>
                    <w:spacing w:before="100" w:beforeAutospacing="1" w:after="100" w:afterAutospacing="1" w:line="340" w:lineRule="atLeast"/>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a、中标人已按照合同规定提供了全部产品及完整的技术资料。</w:t>
                  </w:r>
                </w:p>
                <w:p w14:paraId="6D087D6B">
                  <w:pPr>
                    <w:widowControl/>
                    <w:spacing w:before="100" w:beforeAutospacing="1" w:after="100" w:afterAutospacing="1" w:line="340" w:lineRule="atLeast"/>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b、货物符合招标文件技术规格书的要求，性能满足要求。</w:t>
                  </w:r>
                </w:p>
                <w:p w14:paraId="47B280FB">
                  <w:pPr>
                    <w:widowControl/>
                    <w:spacing w:before="100" w:beforeAutospacing="1" w:after="100" w:afterAutospacing="1" w:line="340" w:lineRule="atLeast"/>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c、货物具备产品合格证</w:t>
                  </w:r>
                </w:p>
              </w:tc>
            </w:tr>
            <w:tr w14:paraId="183234C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5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1CB91DD">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3</w:t>
                  </w: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638998">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 关于付款</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11011E5E">
                  <w:pPr>
                    <w:widowControl/>
                    <w:numPr>
                      <w:ilvl w:val="0"/>
                      <w:numId w:val="2"/>
                    </w:numPr>
                    <w:spacing w:before="100" w:beforeAutospacing="1" w:after="100" w:afterAutospacing="1" w:line="340" w:lineRule="atLeast"/>
                    <w:jc w:val="left"/>
                    <w:rPr>
                      <w:rFonts w:hint="eastAsia"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付款条件</w:t>
                  </w:r>
                  <w:r>
                    <w:rPr>
                      <w:rFonts w:hint="eastAsia" w:cs="宋体" w:asciiTheme="minorEastAsia" w:hAnsiTheme="minorEastAsia" w:eastAsiaTheme="minorEastAsia"/>
                      <w:color w:val="auto"/>
                      <w:kern w:val="0"/>
                      <w:sz w:val="24"/>
                      <w:szCs w:val="24"/>
                    </w:rPr>
                    <w:t>：本合同签订后10天内，乙方以支票、本票或者银行开具的履约保证金保函等非现金形式向甲方提交合同金额5%的履约保证金，作为乙方按合同履行全部义务的保证。在软件按期到货安装上线并经甲方验收合格和正常稳定运行12个月无故障后，乙方向甲方提出退还履约保证金的书面申请，甲方在收到乙方的书面申请后30天内无息退还给乙方。如甲方无故延期退还，应承担相应的法律责任。</w:t>
                  </w:r>
                </w:p>
                <w:p w14:paraId="4B890163">
                  <w:pPr>
                    <w:widowControl/>
                    <w:numPr>
                      <w:ilvl w:val="0"/>
                      <w:numId w:val="0"/>
                    </w:numPr>
                    <w:spacing w:before="100" w:beforeAutospacing="1" w:after="100" w:afterAutospacing="1" w:line="340" w:lineRule="atLeast"/>
                    <w:ind w:firstLine="240" w:firstLineChars="100"/>
                    <w:jc w:val="left"/>
                    <w:rPr>
                      <w:rFonts w:hint="eastAsia"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合同签订后，乙方提供当期应付款等额的税务发票之日起15天内，甲方向乙方支付合同总金额的3</w:t>
                  </w:r>
                  <w:r>
                    <w:rPr>
                      <w:rFonts w:hint="eastAsia" w:cs="宋体" w:asciiTheme="minorEastAsia" w:hAnsiTheme="minorEastAsia" w:eastAsiaTheme="minorEastAsia"/>
                      <w:color w:val="auto"/>
                      <w:kern w:val="0"/>
                      <w:sz w:val="24"/>
                      <w:szCs w:val="24"/>
                      <w:lang w:val="en-US" w:eastAsia="zh-CN"/>
                    </w:rPr>
                    <w:t>0</w:t>
                  </w:r>
                  <w:r>
                    <w:rPr>
                      <w:rFonts w:hint="eastAsia" w:cs="宋体" w:asciiTheme="minorEastAsia" w:hAnsiTheme="minorEastAsia" w:eastAsiaTheme="minorEastAsia"/>
                      <w:color w:val="auto"/>
                      <w:kern w:val="0"/>
                      <w:sz w:val="24"/>
                      <w:szCs w:val="24"/>
                    </w:rPr>
                    <w:t>%。</w:t>
                  </w:r>
                </w:p>
                <w:p w14:paraId="635A19C6">
                  <w:pPr>
                    <w:widowControl/>
                    <w:spacing w:before="100" w:beforeAutospacing="1" w:after="100" w:afterAutospacing="1" w:line="340" w:lineRule="atLeast"/>
                    <w:ind w:firstLine="240" w:firstLineChars="100"/>
                    <w:jc w:val="left"/>
                    <w:rPr>
                      <w:rFonts w:hint="eastAsia"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系统上线且经甲方书面确</w:t>
                  </w:r>
                  <w:bookmarkStart w:id="15" w:name="_GoBack"/>
                  <w:bookmarkEnd w:id="15"/>
                  <w:r>
                    <w:rPr>
                      <w:rFonts w:hint="eastAsia" w:cs="宋体" w:asciiTheme="minorEastAsia" w:hAnsiTheme="minorEastAsia" w:eastAsiaTheme="minorEastAsia"/>
                      <w:color w:val="auto"/>
                      <w:kern w:val="0"/>
                      <w:sz w:val="24"/>
                      <w:szCs w:val="24"/>
                    </w:rPr>
                    <w:t>认后，乙方提供当期应付款等额的税务发票之日起15天内，甲方向乙方支付合同总金额的30%。</w:t>
                  </w:r>
                </w:p>
                <w:p w14:paraId="6DC4F359">
                  <w:pPr>
                    <w:widowControl/>
                    <w:spacing w:before="100" w:beforeAutospacing="1" w:after="100" w:afterAutospacing="1" w:line="340" w:lineRule="atLeast"/>
                    <w:ind w:firstLine="240" w:firstLineChars="100"/>
                    <w:jc w:val="left"/>
                    <w:rPr>
                      <w:rFonts w:hint="eastAsia"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本项目所有软件完成调试（在甲方至少试运行15日且无质量异议）并通过甲方验收合格后（以甲方签署的验收报告为准），乙方提供当期应付款等额的税务发票之日起30天内，甲方向乙方支付合同总金额</w:t>
                  </w:r>
                  <w:r>
                    <w:rPr>
                      <w:rFonts w:hint="eastAsia" w:cs="宋体" w:asciiTheme="minorEastAsia" w:hAnsiTheme="minorEastAsia" w:eastAsiaTheme="minorEastAsia"/>
                      <w:color w:val="auto"/>
                      <w:kern w:val="0"/>
                      <w:sz w:val="24"/>
                      <w:szCs w:val="24"/>
                      <w:lang w:val="en-US" w:eastAsia="zh-CN"/>
                    </w:rPr>
                    <w:t>40</w:t>
                  </w:r>
                  <w:r>
                    <w:rPr>
                      <w:rFonts w:hint="eastAsia" w:cs="宋体" w:asciiTheme="minorEastAsia" w:hAnsiTheme="minorEastAsia" w:eastAsiaTheme="minorEastAsia"/>
                      <w:color w:val="auto"/>
                      <w:kern w:val="0"/>
                      <w:sz w:val="24"/>
                      <w:szCs w:val="24"/>
                    </w:rPr>
                    <w:t>%。</w:t>
                  </w:r>
                </w:p>
                <w:p w14:paraId="0011CC01">
                  <w:pPr>
                    <w:widowControl/>
                    <w:spacing w:before="100" w:beforeAutospacing="1" w:after="100" w:afterAutospacing="1" w:line="340" w:lineRule="atLeast"/>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 2、由于供应商的原因，未能按时供货，每迟一天罚款合同总额的0.5%；如超过供货期30天，我院将终止合同并通过法律程序对供应商进行索赔。</w:t>
                  </w:r>
                </w:p>
                <w:p w14:paraId="2A4C7A2F">
                  <w:pPr>
                    <w:widowControl/>
                    <w:spacing w:before="100" w:beforeAutospacing="1" w:after="100" w:afterAutospacing="1" w:line="340" w:lineRule="atLeast"/>
                    <w:jc w:val="left"/>
                    <w:rPr>
                      <w:rFonts w:cs="宋体" w:asciiTheme="minorEastAsia" w:hAnsiTheme="minorEastAsia" w:eastAsiaTheme="minorEastAsia"/>
                      <w:color w:val="auto"/>
                      <w:kern w:val="0"/>
                      <w:sz w:val="24"/>
                      <w:szCs w:val="24"/>
                      <w:highlight w:val="yellow"/>
                    </w:rPr>
                  </w:pPr>
                  <w:r>
                    <w:rPr>
                      <w:rFonts w:cs="宋体" w:asciiTheme="minorEastAsia" w:hAnsiTheme="minorEastAsia" w:eastAsiaTheme="minorEastAsia"/>
                      <w:color w:val="auto"/>
                      <w:kern w:val="0"/>
                      <w:sz w:val="24"/>
                      <w:szCs w:val="24"/>
                    </w:rPr>
                    <w:t>3、由于供应商的原因，在货到一周内未进行安装调试，或安装调试时间超过正常要求，按每超过一天罚款合同总额的0.5%或按我院损失罚款。情节严重者，我院将依法律程序对供应商进行索赔</w:t>
                  </w:r>
                </w:p>
              </w:tc>
            </w:tr>
          </w:tbl>
          <w:p w14:paraId="242DBF95">
            <w:pPr>
              <w:widowControl/>
              <w:jc w:val="left"/>
              <w:rPr>
                <w:rFonts w:cs="宋体" w:asciiTheme="minorEastAsia" w:hAnsiTheme="minorEastAsia" w:eastAsiaTheme="minorEastAsia"/>
                <w:color w:val="auto"/>
                <w:kern w:val="0"/>
                <w:sz w:val="24"/>
                <w:szCs w:val="24"/>
              </w:rPr>
            </w:pPr>
          </w:p>
        </w:tc>
      </w:tr>
    </w:tbl>
    <w:p w14:paraId="4A4E8A33">
      <w:pPr>
        <w:rPr>
          <w:rFonts w:asciiTheme="minorEastAsia" w:hAnsiTheme="minorEastAsia" w:eastAsiaTheme="minorEastAsia"/>
          <w:color w:val="auto"/>
          <w:sz w:val="24"/>
          <w:szCs w:val="24"/>
        </w:rPr>
      </w:pPr>
    </w:p>
    <w:p w14:paraId="3C1C2992">
      <w:pPr>
        <w:jc w:val="left"/>
        <w:rPr>
          <w:rFonts w:asciiTheme="minorEastAsia" w:hAnsiTheme="minorEastAsia" w:eastAsiaTheme="minorEastAsia"/>
          <w:b/>
          <w:bCs/>
          <w:color w:val="auto"/>
          <w:sz w:val="24"/>
          <w:szCs w:val="24"/>
        </w:rPr>
      </w:pPr>
    </w:p>
    <w:p w14:paraId="43F2B600">
      <w:pPr>
        <w:jc w:val="left"/>
        <w:rPr>
          <w:rFonts w:asciiTheme="minorEastAsia" w:hAnsiTheme="minorEastAsia" w:eastAsiaTheme="minorEastAsia"/>
          <w:b/>
          <w:bCs/>
          <w:color w:val="auto"/>
          <w:sz w:val="24"/>
          <w:szCs w:val="24"/>
        </w:rPr>
      </w:pPr>
    </w:p>
    <w:p w14:paraId="2DB9AFDA">
      <w:pPr>
        <w:jc w:val="left"/>
        <w:rPr>
          <w:rFonts w:asciiTheme="minorEastAsia" w:hAnsiTheme="minorEastAsia" w:eastAsiaTheme="minorEastAsia"/>
          <w:b/>
          <w:bCs/>
          <w:color w:val="auto"/>
          <w:sz w:val="24"/>
          <w:szCs w:val="24"/>
        </w:rPr>
      </w:pPr>
    </w:p>
    <w:p w14:paraId="67891997">
      <w:pPr>
        <w:jc w:val="left"/>
        <w:rPr>
          <w:rFonts w:asciiTheme="minorEastAsia" w:hAnsiTheme="minorEastAsia" w:eastAsiaTheme="minorEastAsia"/>
          <w:b/>
          <w:bCs/>
          <w:color w:val="auto"/>
          <w:sz w:val="24"/>
          <w:szCs w:val="24"/>
        </w:rPr>
      </w:pPr>
    </w:p>
    <w:p w14:paraId="176E65ED">
      <w:pPr>
        <w:jc w:val="left"/>
        <w:rPr>
          <w:rFonts w:asciiTheme="minorEastAsia" w:hAnsiTheme="minorEastAsia" w:eastAsiaTheme="minorEastAsia"/>
          <w:b/>
          <w:bCs/>
          <w:color w:val="auto"/>
          <w:sz w:val="24"/>
          <w:szCs w:val="24"/>
        </w:rPr>
      </w:pPr>
    </w:p>
    <w:tbl>
      <w:tblPr>
        <w:tblStyle w:val="14"/>
        <w:tblW w:w="10089"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8904"/>
      </w:tblGrid>
      <w:tr w14:paraId="131776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2546" w:hRule="atLeast"/>
          <w:tblCellSpacing w:w="0" w:type="dxa"/>
        </w:trPr>
        <w:tc>
          <w:tcPr>
            <w:tcW w:w="1185" w:type="dxa"/>
            <w:tcBorders>
              <w:top w:val="single" w:color="auto" w:sz="6" w:space="0"/>
              <w:left w:val="single" w:color="auto" w:sz="6" w:space="0"/>
              <w:bottom w:val="nil"/>
              <w:right w:val="nil"/>
            </w:tcBorders>
            <w:vAlign w:val="center"/>
          </w:tcPr>
          <w:p w14:paraId="03AF79AE">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b/>
                <w:bCs/>
                <w:color w:val="auto"/>
                <w:kern w:val="0"/>
                <w:sz w:val="24"/>
                <w:szCs w:val="24"/>
              </w:rPr>
              <w:t>技术要求</w:t>
            </w:r>
            <w:r>
              <w:rPr>
                <w:rFonts w:cs="宋体" w:asciiTheme="minorEastAsia" w:hAnsiTheme="minorEastAsia" w:eastAsiaTheme="minorEastAsia"/>
                <w:color w:val="auto"/>
                <w:kern w:val="0"/>
                <w:sz w:val="24"/>
                <w:szCs w:val="24"/>
              </w:rPr>
              <w:t xml:space="preserve"> </w:t>
            </w:r>
          </w:p>
        </w:tc>
        <w:tc>
          <w:tcPr>
            <w:tcW w:w="8904" w:type="dxa"/>
            <w:tcBorders>
              <w:top w:val="single" w:color="auto" w:sz="6" w:space="0"/>
              <w:left w:val="single" w:color="auto" w:sz="6" w:space="0"/>
              <w:right w:val="nil"/>
            </w:tcBorders>
            <w:vAlign w:val="center"/>
          </w:tcPr>
          <w:p w14:paraId="0914826C">
            <w:pPr>
              <w:widowControl/>
              <w:snapToGrid w:val="0"/>
              <w:spacing w:before="100" w:beforeAutospacing="1" w:after="100" w:afterAutospacing="1"/>
              <w:jc w:val="left"/>
              <w:rPr>
                <w:rFonts w:cs="宋体" w:asciiTheme="minorEastAsia" w:hAnsiTheme="minorEastAsia" w:eastAsiaTheme="minorEastAsia"/>
                <w:b/>
                <w:bCs/>
                <w:color w:val="auto"/>
                <w:kern w:val="0"/>
                <w:sz w:val="24"/>
                <w:szCs w:val="24"/>
              </w:rPr>
            </w:pPr>
            <w:r>
              <w:rPr>
                <w:rFonts w:cs="宋体" w:asciiTheme="minorEastAsia" w:hAnsiTheme="minorEastAsia" w:eastAsiaTheme="minorEastAsia"/>
                <w:b/>
                <w:bCs/>
                <w:color w:val="auto"/>
                <w:kern w:val="0"/>
                <w:sz w:val="24"/>
                <w:szCs w:val="24"/>
              </w:rPr>
              <w:t>具体技术</w:t>
            </w:r>
            <w:r>
              <w:rPr>
                <w:rFonts w:hint="eastAsia" w:cs="宋体" w:asciiTheme="minorEastAsia" w:hAnsiTheme="minorEastAsia" w:eastAsiaTheme="minorEastAsia"/>
                <w:b/>
                <w:bCs/>
                <w:color w:val="auto"/>
                <w:kern w:val="0"/>
                <w:sz w:val="24"/>
                <w:szCs w:val="24"/>
              </w:rPr>
              <w:t>参数</w:t>
            </w:r>
            <w:r>
              <w:rPr>
                <w:rFonts w:cs="宋体" w:asciiTheme="minorEastAsia" w:hAnsiTheme="minorEastAsia" w:eastAsiaTheme="minorEastAsia"/>
                <w:b/>
                <w:bCs/>
                <w:color w:val="auto"/>
                <w:kern w:val="0"/>
                <w:sz w:val="24"/>
                <w:szCs w:val="24"/>
              </w:rPr>
              <w:t>要求</w:t>
            </w:r>
            <w:r>
              <w:rPr>
                <w:rFonts w:hint="eastAsia" w:cs="宋体" w:asciiTheme="minorEastAsia" w:hAnsiTheme="minorEastAsia" w:eastAsiaTheme="minorEastAsia"/>
                <w:b/>
                <w:bCs/>
                <w:color w:val="auto"/>
                <w:kern w:val="0"/>
                <w:sz w:val="24"/>
                <w:szCs w:val="24"/>
              </w:rPr>
              <w:t>：</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6711"/>
            </w:tblGrid>
            <w:tr w14:paraId="5D5D1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1" w:type="dxa"/>
                  <w:noWrap w:val="0"/>
                  <w:vAlign w:val="center"/>
                </w:tcPr>
                <w:p w14:paraId="68D7CE35">
                  <w:pPr>
                    <w:numPr>
                      <w:ilvl w:val="0"/>
                      <w:numId w:val="0"/>
                    </w:numPr>
                    <w:bidi w:val="0"/>
                    <w:ind w:left="0" w:leftChars="0" w:right="0" w:rightChars="0" w:firstLine="0" w:firstLineChars="0"/>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功能模块</w:t>
                  </w:r>
                </w:p>
              </w:tc>
              <w:tc>
                <w:tcPr>
                  <w:tcW w:w="6711" w:type="dxa"/>
                  <w:noWrap w:val="0"/>
                  <w:vAlign w:val="top"/>
                </w:tcPr>
                <w:p w14:paraId="27A43889">
                  <w:pPr>
                    <w:bidi w:val="0"/>
                    <w:ind w:left="0" w:firstLine="0"/>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院感系统升级改造技术需求</w:t>
                  </w:r>
                </w:p>
              </w:tc>
            </w:tr>
            <w:tr w14:paraId="1A6AF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1" w:type="dxa"/>
                  <w:noWrap w:val="0"/>
                  <w:vAlign w:val="center"/>
                </w:tcPr>
                <w:p w14:paraId="60965F55">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0" w:firstLineChars="0"/>
                    <w:jc w:val="center"/>
                    <w:textAlignment w:val="auto"/>
                    <w:rPr>
                      <w:rFonts w:hint="eastAsia" w:ascii="仿宋" w:hAnsi="仿宋" w:eastAsia="仿宋" w:cs="仿宋"/>
                      <w:b/>
                      <w:bCs/>
                      <w:color w:val="auto"/>
                      <w:sz w:val="24"/>
                      <w:szCs w:val="24"/>
                    </w:rPr>
                  </w:pPr>
                </w:p>
                <w:p w14:paraId="73A42A1B">
                  <w:pPr>
                    <w:keepNext w:val="0"/>
                    <w:keepLines w:val="0"/>
                    <w:pageBreakBefore w:val="0"/>
                    <w:widowControl w:val="0"/>
                    <w:numPr>
                      <w:ilvl w:val="0"/>
                      <w:numId w:val="3"/>
                    </w:numPr>
                    <w:kinsoku/>
                    <w:wordWrap/>
                    <w:overflowPunct/>
                    <w:topLinePunct w:val="0"/>
                    <w:autoSpaceDE/>
                    <w:autoSpaceDN/>
                    <w:bidi w:val="0"/>
                    <w:adjustRightInd/>
                    <w:snapToGrid/>
                    <w:ind w:left="0" w:leftChars="0" w:right="0" w:rightChars="0" w:firstLine="42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预警</w:t>
                  </w:r>
                  <w:r>
                    <w:rPr>
                      <w:rFonts w:hint="eastAsia" w:ascii="仿宋" w:hAnsi="仿宋" w:eastAsia="仿宋" w:cs="仿宋"/>
                      <w:b/>
                      <w:bCs/>
                      <w:color w:val="auto"/>
                      <w:sz w:val="24"/>
                      <w:szCs w:val="24"/>
                      <w:lang w:val="en-US" w:eastAsia="zh-CN"/>
                    </w:rPr>
                    <w:t>升级改造</w:t>
                  </w:r>
                </w:p>
              </w:tc>
              <w:tc>
                <w:tcPr>
                  <w:tcW w:w="6711" w:type="dxa"/>
                  <w:noWrap w:val="0"/>
                  <w:vAlign w:val="top"/>
                </w:tcPr>
                <w:p w14:paraId="3E06F1B6">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动态预警MRSA、金葡-万古霉素（VRSA）、肠球-万古霉素（VRE)、肺链球-青霉素（PRSP）、耐碳青霉烯类的、以及全院各科室多重耐药（MDR）和泛耐药（XDR）情况，可以查看其明细数据，并且嵌入相关判断标准；</w:t>
                  </w:r>
                </w:p>
                <w:p w14:paraId="48A400B9">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动态预警新的隔离医嘱；</w:t>
                  </w:r>
                </w:p>
                <w:p w14:paraId="580C0C21">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动态预警新的血液体液职业暴露，以及相关的复查提醒；</w:t>
                  </w:r>
                </w:p>
                <w:p w14:paraId="7CDC552B">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▲动态预警环境卫生学不合格提醒；</w:t>
                  </w:r>
                </w:p>
                <w:p w14:paraId="3802C2FE">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动态预警新的感术行动指标</w:t>
                  </w:r>
                  <w:r>
                    <w:rPr>
                      <w:rFonts w:hint="eastAsia" w:ascii="仿宋" w:hAnsi="仿宋" w:eastAsia="仿宋" w:cs="仿宋"/>
                      <w:b w:val="0"/>
                      <w:bCs w:val="0"/>
                      <w:color w:val="auto"/>
                      <w:sz w:val="24"/>
                      <w:szCs w:val="24"/>
                      <w:lang w:val="en-US" w:eastAsia="zh-CN"/>
                    </w:rPr>
                    <w:t>；</w:t>
                  </w:r>
                </w:p>
              </w:tc>
            </w:tr>
            <w:tr w14:paraId="4E2B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1" w:type="dxa"/>
                  <w:noWrap w:val="0"/>
                  <w:vAlign w:val="center"/>
                </w:tcPr>
                <w:p w14:paraId="5D7FBFD3">
                  <w:pPr>
                    <w:keepNext w:val="0"/>
                    <w:keepLines w:val="0"/>
                    <w:pageBreakBefore w:val="0"/>
                    <w:widowControl w:val="0"/>
                    <w:numPr>
                      <w:ilvl w:val="0"/>
                      <w:numId w:val="3"/>
                    </w:numPr>
                    <w:kinsoku/>
                    <w:wordWrap/>
                    <w:overflowPunct/>
                    <w:topLinePunct w:val="0"/>
                    <w:autoSpaceDE/>
                    <w:autoSpaceDN/>
                    <w:bidi w:val="0"/>
                    <w:adjustRightInd/>
                    <w:snapToGrid/>
                    <w:ind w:left="0" w:leftChars="0" w:right="0" w:rightChars="0" w:firstLine="42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病例监测</w:t>
                  </w:r>
                  <w:r>
                    <w:rPr>
                      <w:rFonts w:hint="eastAsia" w:ascii="仿宋" w:hAnsi="仿宋" w:eastAsia="仿宋" w:cs="仿宋"/>
                      <w:b/>
                      <w:bCs/>
                      <w:color w:val="auto"/>
                      <w:sz w:val="24"/>
                      <w:szCs w:val="24"/>
                      <w:lang w:val="en-US" w:eastAsia="zh-CN"/>
                    </w:rPr>
                    <w:t>升级改造</w:t>
                  </w:r>
                </w:p>
              </w:tc>
              <w:tc>
                <w:tcPr>
                  <w:tcW w:w="6711" w:type="dxa"/>
                  <w:noWrap w:val="0"/>
                  <w:vAlign w:val="top"/>
                </w:tcPr>
                <w:p w14:paraId="69AE38DB">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查看患者的基本信息</w:t>
                  </w:r>
                </w:p>
                <w:p w14:paraId="5CB3FF71">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查看患者的入院、出院诊断</w:t>
                  </w:r>
                </w:p>
                <w:p w14:paraId="199DF750">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查看感染要素时序图，图形化展现患者入院以来病情变化情况</w:t>
                  </w:r>
                </w:p>
                <w:p w14:paraId="5BD05972">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查看患者三大管使用情况</w:t>
                  </w:r>
                </w:p>
                <w:p w14:paraId="02ADEE16">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查看患者发热情况及发热值</w:t>
                  </w:r>
                </w:p>
                <w:p w14:paraId="2D96D36A">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查看患者血常规、尿常规、其他常规异常情况</w:t>
                  </w:r>
                </w:p>
                <w:p w14:paraId="148C85FE">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查看患者送检培养情况及细菌检出情况</w:t>
                  </w:r>
                </w:p>
                <w:p w14:paraId="654AECAA">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查看患者手术基本信息</w:t>
                  </w:r>
                </w:p>
                <w:p w14:paraId="7896477D">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查看患者使用抗菌药物情况</w:t>
                  </w:r>
                </w:p>
                <w:p w14:paraId="5E809809">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提供患者入院以来转科记录</w:t>
                  </w:r>
                </w:p>
                <w:p w14:paraId="4E3406F4">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查看电子病历浏览功能，提供电子病历感染关键词标注功能</w:t>
                  </w:r>
                </w:p>
                <w:p w14:paraId="08CE269E">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查看影像检查报告浏览功能，提供影像检查报告感染关键词标注功能</w:t>
                  </w:r>
                </w:p>
                <w:p w14:paraId="0E823B57">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查看患者抗菌药物使用情况，包括抗菌药物名称、医嘱起止时间、药物等级、开医嘱医生、给药方式</w:t>
                  </w:r>
                </w:p>
                <w:p w14:paraId="43957CE0">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查看患者细菌培养原始数据展现功能，包括标本、耐药级别、细菌名称、细菌培养分类、耐药级别、是否ESBL阳性</w:t>
                  </w:r>
                </w:p>
                <w:p w14:paraId="4165A47F">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查看患者手术原始数据展现功能，包括手术时所在病区、手术名、开始时间、结束时间、愈合等级、切口等级、麻醉评分、手术医生、手术助手、麻醉医生、麻醉方式、手术小时</w:t>
                  </w:r>
                </w:p>
                <w:p w14:paraId="3DB8A80F">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查看患者常规检验数据变化趋势功能</w:t>
                  </w:r>
                </w:p>
                <w:p w14:paraId="5E88C0FC">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实时概况：了解全院各科室的情况，并对超过阈值的信息，标红等提醒</w:t>
                  </w:r>
                </w:p>
                <w:p w14:paraId="10C619C9">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项目评价：可对医院感染管理考核等标准，对临床进行打分评价</w:t>
                  </w:r>
                </w:p>
              </w:tc>
            </w:tr>
            <w:tr w14:paraId="4EACF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1" w:type="dxa"/>
                  <w:noWrap w:val="0"/>
                  <w:vAlign w:val="center"/>
                </w:tcPr>
                <w:p w14:paraId="29AB05B9">
                  <w:pPr>
                    <w:keepNext w:val="0"/>
                    <w:keepLines w:val="0"/>
                    <w:pageBreakBefore w:val="0"/>
                    <w:widowControl w:val="0"/>
                    <w:numPr>
                      <w:ilvl w:val="0"/>
                      <w:numId w:val="3"/>
                    </w:numPr>
                    <w:kinsoku/>
                    <w:wordWrap/>
                    <w:overflowPunct/>
                    <w:topLinePunct w:val="0"/>
                    <w:autoSpaceDE/>
                    <w:autoSpaceDN/>
                    <w:bidi w:val="0"/>
                    <w:adjustRightInd/>
                    <w:snapToGrid/>
                    <w:ind w:left="0" w:leftChars="0" w:right="0" w:rightChars="0" w:firstLine="42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细菌耐药性监测</w:t>
                  </w:r>
                  <w:r>
                    <w:rPr>
                      <w:rFonts w:hint="eastAsia" w:ascii="仿宋" w:hAnsi="仿宋" w:eastAsia="仿宋" w:cs="仿宋"/>
                      <w:b/>
                      <w:bCs/>
                      <w:color w:val="auto"/>
                      <w:sz w:val="24"/>
                      <w:szCs w:val="24"/>
                      <w:lang w:val="en-US" w:eastAsia="zh-CN"/>
                    </w:rPr>
                    <w:t>升级改造</w:t>
                  </w:r>
                </w:p>
              </w:tc>
              <w:tc>
                <w:tcPr>
                  <w:tcW w:w="6711" w:type="dxa"/>
                  <w:noWrap w:val="0"/>
                  <w:vAlign w:val="top"/>
                </w:tcPr>
                <w:p w14:paraId="515DCFAB">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微生物送检明细查询：可按科室，送检时间等多种条件查询特定范围的送检信息及结果明细</w:t>
                  </w:r>
                </w:p>
                <w:p w14:paraId="3D1BA28E">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药敏查询：可以查询药敏耐药率、敏感率等情况，并结合卫生部：《抗菌药物临床应用管理办法》相关内容，对结果给予提示</w:t>
                  </w:r>
                </w:p>
                <w:p w14:paraId="4300EFA4">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特殊耐药查询： 可以监测 MRSA，VRSA，万古霉素耐屎肠球菌(VREF)，青霉素耐药肺炎链球菌(PRSP)，超广谱β-内酰胺酶（ESBLs），多重耐药，泛耐药，耐碳青霉烯类肠杆菌等内容</w:t>
                  </w:r>
                </w:p>
                <w:p w14:paraId="3311F2B0">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rPr>
                    <w:t>临床用药与药敏比对：如果药敏实验，检出某个细菌对某个药物耐药或者天然耐药，而临床恰用了该药，系统可以查询例举出来，并可查看医嘱，药敏结果等信息，由相关人员分析其用药原因，比如是预防用药还是联合用药等</w:t>
                  </w:r>
                </w:p>
                <w:p w14:paraId="00C5E9AD">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同期比对：可按 月/季度/年 比较各科室，MRSA/VRE/MDR/XDR 等情况，并可根据介入操作，手术，使用抗菌药物等信息，分析其原因，且可以具体看到数据的明细，汇总与明细结合，做到有据可查，数据前后吻合</w:t>
                  </w:r>
                </w:p>
                <w:p w14:paraId="560C3282">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系统可以与WHONET做接口，支持微生物和检验数据实时自动导入。</w:t>
                  </w:r>
                </w:p>
                <w:p w14:paraId="18A6CDB4">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多重耐药菌及患者的追踪与反馈等，比如实验室检出多耐菌，系统评价自动排除天然耐药，自动识别判读，确认后，院感科第一时间通知临床医生，并进行追踪，提供相关历年大数据药敏结果等相关数据，为临床用药提供参考，了解是否下隔离医嘱及何时停止隔离等，且留有痕迹管理，实现PDCA循环管理，满足预警三级报告等的要求</w:t>
                  </w:r>
                </w:p>
              </w:tc>
            </w:tr>
            <w:tr w14:paraId="2AE1A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1" w:type="dxa"/>
                  <w:noWrap w:val="0"/>
                  <w:vAlign w:val="center"/>
                </w:tcPr>
                <w:p w14:paraId="02C92A5D">
                  <w:pPr>
                    <w:keepNext w:val="0"/>
                    <w:keepLines w:val="0"/>
                    <w:pageBreakBefore w:val="0"/>
                    <w:widowControl w:val="0"/>
                    <w:numPr>
                      <w:ilvl w:val="0"/>
                      <w:numId w:val="3"/>
                    </w:numPr>
                    <w:kinsoku/>
                    <w:wordWrap/>
                    <w:overflowPunct/>
                    <w:topLinePunct w:val="0"/>
                    <w:autoSpaceDE/>
                    <w:autoSpaceDN/>
                    <w:bidi w:val="0"/>
                    <w:adjustRightInd/>
                    <w:snapToGrid/>
                    <w:ind w:left="0" w:leftChars="0" w:right="0" w:rightChars="0" w:firstLine="42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细菌耐药统计报表</w:t>
                  </w:r>
                  <w:r>
                    <w:rPr>
                      <w:rFonts w:hint="eastAsia" w:ascii="仿宋" w:hAnsi="仿宋" w:eastAsia="仿宋" w:cs="仿宋"/>
                      <w:b/>
                      <w:bCs/>
                      <w:color w:val="auto"/>
                      <w:sz w:val="24"/>
                      <w:szCs w:val="24"/>
                      <w:lang w:val="en-US" w:eastAsia="zh-CN"/>
                    </w:rPr>
                    <w:t>升级改造</w:t>
                  </w:r>
                </w:p>
              </w:tc>
              <w:tc>
                <w:tcPr>
                  <w:tcW w:w="6711" w:type="dxa"/>
                  <w:noWrap w:val="0"/>
                  <w:vAlign w:val="top"/>
                </w:tcPr>
                <w:p w14:paraId="58DDB87B">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临床总分离菌菌种分布情况：所有检出菌的检出例数，各自的构成比</w:t>
                  </w:r>
                </w:p>
                <w:p w14:paraId="3DB90EFA">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病原菌革兰染色分布情况：所有检出菌按革兰氏染色情况统计，各自的构成比；且可查看相应明细</w:t>
                  </w:r>
                </w:p>
                <w:p w14:paraId="183841C5">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病原菌科室分布情况：所有检出菌按科室分布情况统计，各自的构成比；且可查看相应明细</w:t>
                  </w:r>
                </w:p>
                <w:p w14:paraId="6911C018">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病原菌标本分布情况：所有检出菌按标本分布情况统计，各自的构成比；且可查看相应明细</w:t>
                  </w:r>
                </w:p>
                <w:p w14:paraId="0232D7EC">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各科室细菌培养送检：查询各科室细菌培养送检情况；且可查看相应明细</w:t>
                  </w:r>
                </w:p>
                <w:p w14:paraId="0C537423">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各标本细菌培养送检：查询各标本细菌培养送检情况；且可查看相应明细</w:t>
                  </w:r>
                </w:p>
                <w:p w14:paraId="1FBBE6BF">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同次住院检出重复病原体：查询同次住院检出重复病原体；且可查看相应明细</w:t>
                  </w:r>
                </w:p>
                <w:p w14:paraId="3819DC7B">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rPr>
                    <w:t>同次住院相同标本检出重复病原体：查询同次住院相同标本检出重复病原体；且可查看相应明细</w:t>
                  </w:r>
                </w:p>
                <w:p w14:paraId="355F4E4A">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分离绝对数查询：所有细菌检出数统计使用分离绝对数表示，即剔除了同一患者在一次住院中相同部位的重复菌后所计算得的检出数</w:t>
                  </w:r>
                </w:p>
                <w:p w14:paraId="74012DBB">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送检所有信息：将送检信息的所有检验结果，显示出来</w:t>
                  </w:r>
                </w:p>
                <w:p w14:paraId="4398A160">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感染暴发查询：查询相同科室，检出菌超过阈值情况，判断是否存在感染暴发</w:t>
                  </w:r>
                </w:p>
                <w:p w14:paraId="54B3F636">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ESBL抗生素阳性率：ESBL阳性的数量及构成比</w:t>
                  </w:r>
                </w:p>
                <w:p w14:paraId="5BD97D3F">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病原体检出数量变迁查询：多重耐药，泛耐药不同时间段检出数量的同期比对</w:t>
                  </w:r>
                </w:p>
                <w:p w14:paraId="0BB0F938">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常见菌不同时间间隔的耐药分析：某种病原体对某种抗生素，不同时间段耐药情况的同期比对</w:t>
                  </w:r>
                </w:p>
                <w:p w14:paraId="2B6A90D6">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病原体ESBL产酶率变迁查询：病原体ESBL不同时间段产酶率情况的同期比对</w:t>
                  </w:r>
                </w:p>
                <w:p w14:paraId="3692AB24">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ICU 和 非ICU病房几种细菌分离率的差异</w:t>
                  </w:r>
                </w:p>
                <w:p w14:paraId="0DE4F9E2">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革兰染色细菌分离量</w:t>
                  </w:r>
                </w:p>
                <w:p w14:paraId="513F2C8E">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同比和环比的分析：细菌送检情况，同期比对，可分为横向、纵向分析，含送检数量、检出数量、MDR、XDR、MRCNS、MRSA、ESBLS、耐碳青霉烯等监测及图表分析，并可追踪到数据来源构成及明细个案；图表可根据上述不同监测项，动态生成</w:t>
                  </w:r>
                </w:p>
              </w:tc>
            </w:tr>
            <w:tr w14:paraId="68314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1" w:type="dxa"/>
                  <w:noWrap w:val="0"/>
                  <w:vAlign w:val="center"/>
                </w:tcPr>
                <w:p w14:paraId="43D86816">
                  <w:pPr>
                    <w:keepNext w:val="0"/>
                    <w:keepLines w:val="0"/>
                    <w:pageBreakBefore w:val="0"/>
                    <w:widowControl w:val="0"/>
                    <w:numPr>
                      <w:ilvl w:val="0"/>
                      <w:numId w:val="3"/>
                    </w:numPr>
                    <w:kinsoku/>
                    <w:wordWrap/>
                    <w:overflowPunct/>
                    <w:topLinePunct w:val="0"/>
                    <w:autoSpaceDE/>
                    <w:autoSpaceDN/>
                    <w:bidi w:val="0"/>
                    <w:adjustRightInd/>
                    <w:snapToGrid/>
                    <w:ind w:left="0" w:leftChars="0" w:right="0" w:rightChars="0" w:firstLine="42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手术目标性监测</w:t>
                  </w:r>
                </w:p>
              </w:tc>
              <w:tc>
                <w:tcPr>
                  <w:tcW w:w="6711" w:type="dxa"/>
                  <w:noWrap w:val="0"/>
                  <w:vAlign w:val="top"/>
                </w:tcPr>
                <w:p w14:paraId="39A72C80">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一类手术切口用药情况，含术前、术中、术后用药等分析</w:t>
                  </w:r>
                </w:p>
                <w:p w14:paraId="457BF431">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一类切口抗菌药物相关统计报表</w:t>
                  </w:r>
                </w:p>
                <w:p w14:paraId="05ACA484">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手术切口感染目标性监测：</w:t>
                  </w:r>
                </w:p>
                <w:p w14:paraId="62BC092E">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手术相关数据自动采集</w:t>
                  </w:r>
                </w:p>
                <w:p w14:paraId="0850E2F1">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自动计算NNIS等级</w:t>
                  </w:r>
                </w:p>
                <w:p w14:paraId="48BACEE6">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手术用药信息，自动分解成：术前、术中、术后，并可根据实际情况，由监测老师调整</w:t>
                  </w:r>
                </w:p>
                <w:p w14:paraId="6194ABEB">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手术回访情况</w:t>
                  </w:r>
                </w:p>
                <w:p w14:paraId="0735E891">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监测个案可打印，支持单打、连打等</w:t>
                  </w:r>
                </w:p>
                <w:p w14:paraId="1A5DCEB6">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手术目标性监测分析统计：</w:t>
                  </w:r>
                </w:p>
                <w:p w14:paraId="2AFD7423">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手术部位感染率，可支持按手术名称、手术类型分析</w:t>
                  </w:r>
                </w:p>
                <w:p w14:paraId="181B831E">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▲可按NNIS危险指数，分析手术感染发生率，可监测到明细个案及图表分析</w:t>
                  </w:r>
                </w:p>
              </w:tc>
            </w:tr>
            <w:tr w14:paraId="1BF88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1" w:type="dxa"/>
                  <w:noWrap w:val="0"/>
                  <w:vAlign w:val="center"/>
                </w:tcPr>
                <w:p w14:paraId="1C0A2CD7">
                  <w:pPr>
                    <w:keepNext w:val="0"/>
                    <w:keepLines w:val="0"/>
                    <w:pageBreakBefore w:val="0"/>
                    <w:widowControl w:val="0"/>
                    <w:numPr>
                      <w:ilvl w:val="0"/>
                      <w:numId w:val="3"/>
                    </w:numPr>
                    <w:kinsoku/>
                    <w:wordWrap/>
                    <w:overflowPunct/>
                    <w:topLinePunct w:val="0"/>
                    <w:autoSpaceDE/>
                    <w:autoSpaceDN/>
                    <w:bidi w:val="0"/>
                    <w:adjustRightInd/>
                    <w:snapToGrid/>
                    <w:ind w:left="0" w:leftChars="0" w:right="0" w:rightChars="0" w:firstLine="42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抗菌药物目标性监测</w:t>
                  </w:r>
                </w:p>
              </w:tc>
              <w:tc>
                <w:tcPr>
                  <w:tcW w:w="6711" w:type="dxa"/>
                  <w:noWrap w:val="0"/>
                  <w:vAlign w:val="top"/>
                </w:tcPr>
                <w:p w14:paraId="45DD179F">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抗菌药物联合用药情况统计报表</w:t>
                  </w:r>
                </w:p>
                <w:p w14:paraId="44CED2D6">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抗菌药物用药目的情况统计报表</w:t>
                  </w:r>
                </w:p>
                <w:p w14:paraId="0735E1A2">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抗菌药物使用送检率情况统计报表</w:t>
                  </w:r>
                </w:p>
                <w:p w14:paraId="0FDBF384">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抗菌药物分级送检情况统计报表</w:t>
                  </w:r>
                </w:p>
                <w:p w14:paraId="5C7BAA1E">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抗菌药物未送检情况统计报表</w:t>
                  </w:r>
                </w:p>
                <w:p w14:paraId="6BC7BE5C">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rPr>
                    <w:t xml:space="preserve">抗菌药物按 种类 使用率及送检情况报表 </w:t>
                  </w:r>
                </w:p>
                <w:p w14:paraId="06A46120">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lang w:eastAsia="zh-CN"/>
                    </w:rPr>
                    <w:t>抗菌药物治疗前病原学送检率</w:t>
                  </w:r>
                  <w:r>
                    <w:rPr>
                      <w:rFonts w:hint="eastAsia" w:ascii="仿宋" w:hAnsi="仿宋" w:eastAsia="仿宋" w:cs="仿宋"/>
                      <w:b w:val="0"/>
                      <w:bCs w:val="0"/>
                      <w:color w:val="auto"/>
                      <w:sz w:val="24"/>
                      <w:szCs w:val="24"/>
                      <w:lang w:val="en-US" w:eastAsia="zh-CN"/>
                    </w:rPr>
                    <w:t xml:space="preserve">报表 </w:t>
                  </w:r>
                </w:p>
              </w:tc>
            </w:tr>
            <w:tr w14:paraId="768CA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1" w:type="dxa"/>
                  <w:noWrap w:val="0"/>
                  <w:vAlign w:val="center"/>
                </w:tcPr>
                <w:p w14:paraId="310EE8A9">
                  <w:pPr>
                    <w:keepNext w:val="0"/>
                    <w:keepLines w:val="0"/>
                    <w:pageBreakBefore w:val="0"/>
                    <w:widowControl w:val="0"/>
                    <w:numPr>
                      <w:ilvl w:val="0"/>
                      <w:numId w:val="3"/>
                    </w:numPr>
                    <w:kinsoku/>
                    <w:wordWrap/>
                    <w:overflowPunct/>
                    <w:topLinePunct w:val="0"/>
                    <w:autoSpaceDE/>
                    <w:autoSpaceDN/>
                    <w:bidi w:val="0"/>
                    <w:adjustRightInd/>
                    <w:snapToGrid/>
                    <w:ind w:left="0" w:leftChars="0" w:right="0" w:rightChars="0" w:firstLine="42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综合性监测</w:t>
                  </w:r>
                  <w:r>
                    <w:rPr>
                      <w:rFonts w:hint="eastAsia" w:ascii="仿宋" w:hAnsi="仿宋" w:eastAsia="仿宋" w:cs="仿宋"/>
                      <w:b/>
                      <w:bCs/>
                      <w:color w:val="auto"/>
                      <w:sz w:val="24"/>
                      <w:szCs w:val="24"/>
                      <w:lang w:val="en-US" w:eastAsia="zh-CN"/>
                    </w:rPr>
                    <w:t>升级改造</w:t>
                  </w:r>
                </w:p>
              </w:tc>
              <w:tc>
                <w:tcPr>
                  <w:tcW w:w="6711" w:type="dxa"/>
                  <w:noWrap w:val="0"/>
                  <w:vAlign w:val="top"/>
                </w:tcPr>
                <w:p w14:paraId="24ECDFD3">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 xml:space="preserve"> ICU日志与月报：</w:t>
                  </w:r>
                </w:p>
                <w:p w14:paraId="03A6C9EC">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▲可每天自动生成：新进患者数、在住患者数、出科患者数、留置导尿管患者数、中心静脉插管患者数、使用呼吸机患者数，并可展开追踪到明细及个案</w:t>
                  </w:r>
                </w:p>
                <w:p w14:paraId="512BEE15">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新生儿日志与月报：</w:t>
                  </w:r>
                </w:p>
                <w:p w14:paraId="5500A889">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自动按照不同体重标准，每天生成新入新生儿数、已住新生儿数、脐/中心静脉数、使用呼吸机数，并可展开明细到个案</w:t>
                  </w:r>
                </w:p>
                <w:p w14:paraId="56DEC601">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ICU临床病情等级评定</w:t>
                  </w:r>
                </w:p>
                <w:p w14:paraId="1A596A58">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可每周监测不同病情等级人数，并有反映病情等级变化的图表；</w:t>
                  </w:r>
                </w:p>
                <w:p w14:paraId="2DC6E9AF">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可具体到个案的病情等级评定，支持一周一次、一周多次的评定，系统自动汇总分析</w:t>
                  </w:r>
                </w:p>
                <w:p w14:paraId="557DE933">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注：ICU,NICU 等，可精确计算实际住在ICU,NICU的日数，以及三大管的实际使用日数，并由此可计算调整感染率等</w:t>
                  </w:r>
                </w:p>
                <w:p w14:paraId="282FF547">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隔离医嘱的监测</w:t>
                  </w:r>
                </w:p>
                <w:p w14:paraId="5C0F83DF">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耐药谱同源性的分析和监测</w:t>
                  </w:r>
                </w:p>
                <w:p w14:paraId="68FF7FFD">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可按照卫生部新标准新要求，展开监测，比如不同的监测内容，可选择以出院人数或者在院人数作为分母来统计</w:t>
                  </w:r>
                </w:p>
                <w:p w14:paraId="6949847D">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住院时序图：住院患者，从入院到出院，展现每天的抗菌药物，手术，发热，呼吸机，静脉插管，检出细菌，常规检验异常，影像结果等明细信息</w:t>
                  </w:r>
                </w:p>
                <w:p w14:paraId="2F060D65">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综合功能：对于患者信息，可双击查看其医嘱，手术，体温，电子病例，影像结果，细菌培养，常规生化检验等数据</w:t>
                  </w:r>
                </w:p>
                <w:p w14:paraId="404432F4">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可支持全院及感染病原体的监测</w:t>
                  </w:r>
                  <w:r>
                    <w:rPr>
                      <w:rFonts w:hint="eastAsia" w:ascii="仿宋" w:hAnsi="仿宋" w:eastAsia="仿宋" w:cs="仿宋"/>
                      <w:b w:val="0"/>
                      <w:bCs w:val="0"/>
                      <w:color w:val="auto"/>
                      <w:sz w:val="24"/>
                      <w:szCs w:val="24"/>
                      <w:lang w:val="en-US" w:eastAsia="zh-CN"/>
                    </w:rPr>
                    <w:t>：</w:t>
                  </w:r>
                </w:p>
                <w:p w14:paraId="69C48624">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院感病例微生物送检情况分析等；</w:t>
                  </w:r>
                </w:p>
                <w:p w14:paraId="26970B9E">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院感病例微生物感染部位分部等。</w:t>
                  </w:r>
                </w:p>
              </w:tc>
            </w:tr>
            <w:tr w14:paraId="44C94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1" w:type="dxa"/>
                  <w:noWrap w:val="0"/>
                  <w:vAlign w:val="center"/>
                </w:tcPr>
                <w:p w14:paraId="21D8629A">
                  <w:pPr>
                    <w:keepNext w:val="0"/>
                    <w:keepLines w:val="0"/>
                    <w:pageBreakBefore w:val="0"/>
                    <w:widowControl w:val="0"/>
                    <w:numPr>
                      <w:ilvl w:val="0"/>
                      <w:numId w:val="3"/>
                    </w:numPr>
                    <w:kinsoku/>
                    <w:wordWrap/>
                    <w:overflowPunct/>
                    <w:topLinePunct w:val="0"/>
                    <w:autoSpaceDE/>
                    <w:autoSpaceDN/>
                    <w:bidi w:val="0"/>
                    <w:adjustRightInd/>
                    <w:snapToGrid/>
                    <w:ind w:left="0" w:leftChars="0" w:right="0" w:rightChars="0" w:firstLine="420" w:firstLineChars="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消息平台</w:t>
                  </w:r>
                  <w:r>
                    <w:rPr>
                      <w:rFonts w:hint="eastAsia" w:ascii="仿宋" w:hAnsi="仿宋" w:eastAsia="仿宋" w:cs="仿宋"/>
                      <w:b/>
                      <w:bCs/>
                      <w:color w:val="auto"/>
                      <w:sz w:val="24"/>
                      <w:szCs w:val="24"/>
                      <w:lang w:val="en-US" w:eastAsia="zh-CN"/>
                    </w:rPr>
                    <w:t>升级改造</w:t>
                  </w:r>
                </w:p>
              </w:tc>
              <w:tc>
                <w:tcPr>
                  <w:tcW w:w="6711" w:type="dxa"/>
                  <w:noWrap w:val="0"/>
                  <w:vAlign w:val="top"/>
                </w:tcPr>
                <w:p w14:paraId="76A105C1">
                  <w:pPr>
                    <w:keepNext w:val="0"/>
                    <w:keepLines w:val="0"/>
                    <w:pageBreakBefore w:val="0"/>
                    <w:widowControl w:val="0"/>
                    <w:numPr>
                      <w:ilvl w:val="0"/>
                      <w:numId w:val="4"/>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重要、紧急等情况，超过设定时间未上报或处理事件，系统支持自动发送短信给相关人员手机上</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前提：医院有短信平台可以对接</w:t>
                  </w:r>
                  <w:r>
                    <w:rPr>
                      <w:rFonts w:hint="eastAsia" w:ascii="仿宋" w:hAnsi="仿宋" w:eastAsia="仿宋" w:cs="仿宋"/>
                      <w:b w:val="0"/>
                      <w:bCs w:val="0"/>
                      <w:color w:val="auto"/>
                      <w:sz w:val="24"/>
                      <w:szCs w:val="24"/>
                      <w:lang w:eastAsia="zh-CN"/>
                    </w:rPr>
                    <w:t>）</w:t>
                  </w:r>
                </w:p>
              </w:tc>
            </w:tr>
            <w:tr w14:paraId="64C0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1" w:type="dxa"/>
                  <w:noWrap w:val="0"/>
                  <w:vAlign w:val="center"/>
                </w:tcPr>
                <w:p w14:paraId="15974B1E">
                  <w:pPr>
                    <w:numPr>
                      <w:ilvl w:val="0"/>
                      <w:numId w:val="3"/>
                    </w:numPr>
                    <w:bidi w:val="0"/>
                    <w:ind w:left="0" w:leftChars="0" w:right="0" w:rightChars="0" w:firstLine="420" w:firstLineChars="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2024年12项</w:t>
                  </w:r>
                  <w:r>
                    <w:rPr>
                      <w:rFonts w:hint="eastAsia" w:ascii="仿宋" w:hAnsi="仿宋" w:eastAsia="仿宋" w:cs="仿宋"/>
                      <w:b/>
                      <w:bCs/>
                      <w:color w:val="auto"/>
                      <w:sz w:val="24"/>
                      <w:szCs w:val="24"/>
                    </w:rPr>
                    <w:t>医院感染管理医疗质量控制指标</w:t>
                  </w:r>
                </w:p>
              </w:tc>
              <w:tc>
                <w:tcPr>
                  <w:tcW w:w="6711" w:type="dxa"/>
                  <w:noWrap w:val="0"/>
                  <w:vAlign w:val="top"/>
                </w:tcPr>
                <w:p w14:paraId="45CBA7EE">
                  <w:pPr>
                    <w:numPr>
                      <w:ilvl w:val="0"/>
                      <w:numId w:val="4"/>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感控专职人员床位比</w:t>
                  </w:r>
                </w:p>
                <w:p w14:paraId="2F49467A">
                  <w:pPr>
                    <w:numPr>
                      <w:ilvl w:val="0"/>
                      <w:numId w:val="4"/>
                    </w:numPr>
                    <w:bidi w:val="0"/>
                    <w:ind w:left="454" w:leftChars="0" w:hanging="454" w:firstLineChars="0"/>
                    <w:rPr>
                      <w:rFonts w:hint="eastAsia" w:ascii="仿宋" w:hAnsi="仿宋" w:eastAsia="仿宋" w:cs="仿宋"/>
                      <w:color w:val="auto"/>
                      <w:sz w:val="24"/>
                      <w:szCs w:val="24"/>
                    </w:rPr>
                  </w:pPr>
                  <w:r>
                    <w:rPr>
                      <w:rFonts w:hint="eastAsia" w:ascii="仿宋" w:hAnsi="仿宋" w:eastAsia="仿宋" w:cs="仿宋"/>
                      <w:color w:val="auto"/>
                      <w:sz w:val="24"/>
                      <w:szCs w:val="24"/>
                    </w:rPr>
                    <w:t>医疗机构工作人员手卫生</w:t>
                  </w:r>
                  <w:r>
                    <w:rPr>
                      <w:rFonts w:hint="eastAsia" w:ascii="仿宋" w:hAnsi="仿宋" w:eastAsia="仿宋" w:cs="仿宋"/>
                      <w:color w:val="auto"/>
                      <w:sz w:val="24"/>
                      <w:szCs w:val="24"/>
                      <w:lang w:val="en-US" w:eastAsia="zh-CN"/>
                    </w:rPr>
                    <w:t>依从率</w:t>
                  </w:r>
                </w:p>
                <w:p w14:paraId="21AD1AC0">
                  <w:pPr>
                    <w:numPr>
                      <w:ilvl w:val="0"/>
                      <w:numId w:val="4"/>
                    </w:numPr>
                    <w:bidi w:val="0"/>
                    <w:ind w:left="454" w:leftChars="0" w:hanging="454" w:firstLineChars="0"/>
                    <w:rPr>
                      <w:rFonts w:hint="eastAsia" w:ascii="仿宋" w:hAnsi="仿宋" w:eastAsia="仿宋" w:cs="仿宋"/>
                      <w:color w:val="auto"/>
                      <w:sz w:val="24"/>
                      <w:szCs w:val="24"/>
                    </w:rPr>
                  </w:pPr>
                  <w:r>
                    <w:rPr>
                      <w:rFonts w:hint="eastAsia" w:ascii="仿宋" w:hAnsi="仿宋" w:eastAsia="仿宋" w:cs="仿宋"/>
                      <w:color w:val="auto"/>
                      <w:sz w:val="24"/>
                      <w:szCs w:val="24"/>
                    </w:rPr>
                    <w:t>千日医院感染</w:t>
                  </w:r>
                  <w:r>
                    <w:rPr>
                      <w:rFonts w:hint="eastAsia" w:ascii="仿宋" w:hAnsi="仿宋" w:eastAsia="仿宋" w:cs="仿宋"/>
                      <w:color w:val="auto"/>
                      <w:sz w:val="24"/>
                      <w:szCs w:val="24"/>
                      <w:lang w:val="en-US" w:eastAsia="zh-CN"/>
                    </w:rPr>
                    <w:t>例</w:t>
                  </w:r>
                  <w:r>
                    <w:rPr>
                      <w:rFonts w:hint="eastAsia" w:ascii="仿宋" w:hAnsi="仿宋" w:eastAsia="仿宋" w:cs="仿宋"/>
                      <w:color w:val="auto"/>
                      <w:sz w:val="24"/>
                      <w:szCs w:val="24"/>
                    </w:rPr>
                    <w:t>次发病率</w:t>
                  </w:r>
                </w:p>
                <w:p w14:paraId="0D78BE19">
                  <w:pPr>
                    <w:numPr>
                      <w:ilvl w:val="0"/>
                      <w:numId w:val="4"/>
                    </w:numPr>
                    <w:bidi w:val="0"/>
                    <w:ind w:left="454" w:leftChars="0" w:hanging="454" w:firstLineChars="0"/>
                    <w:rPr>
                      <w:rFonts w:hint="eastAsia" w:ascii="仿宋" w:hAnsi="仿宋" w:eastAsia="仿宋" w:cs="仿宋"/>
                      <w:color w:val="auto"/>
                      <w:sz w:val="24"/>
                      <w:szCs w:val="24"/>
                    </w:rPr>
                  </w:pPr>
                  <w:r>
                    <w:rPr>
                      <w:rFonts w:hint="eastAsia" w:ascii="仿宋" w:hAnsi="仿宋" w:eastAsia="仿宋" w:cs="仿宋"/>
                      <w:color w:val="auto"/>
                      <w:sz w:val="24"/>
                      <w:szCs w:val="24"/>
                    </w:rPr>
                    <w:t>新生儿千日医院感染例次发病率</w:t>
                  </w:r>
                </w:p>
                <w:p w14:paraId="393DAB46">
                  <w:pPr>
                    <w:numPr>
                      <w:ilvl w:val="0"/>
                      <w:numId w:val="4"/>
                    </w:numPr>
                    <w:bidi w:val="0"/>
                    <w:ind w:left="454" w:leftChars="0" w:hanging="454" w:firstLineChars="0"/>
                    <w:rPr>
                      <w:rFonts w:hint="eastAsia" w:ascii="仿宋" w:hAnsi="仿宋" w:eastAsia="仿宋" w:cs="仿宋"/>
                      <w:color w:val="auto"/>
                      <w:sz w:val="24"/>
                      <w:szCs w:val="24"/>
                    </w:rPr>
                  </w:pPr>
                  <w:r>
                    <w:rPr>
                      <w:rFonts w:hint="eastAsia" w:ascii="仿宋" w:hAnsi="仿宋" w:eastAsia="仿宋" w:cs="仿宋"/>
                      <w:color w:val="auto"/>
                      <w:sz w:val="24"/>
                      <w:szCs w:val="24"/>
                    </w:rPr>
                    <w:t>千日特定多重耐药菌医院感染例次发病率</w:t>
                  </w:r>
                </w:p>
                <w:p w14:paraId="36B073D6">
                  <w:pPr>
                    <w:numPr>
                      <w:ilvl w:val="0"/>
                      <w:numId w:val="4"/>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住院患者联合使用重点抗菌药物治疗前病原学</w:t>
                  </w:r>
                  <w:r>
                    <w:rPr>
                      <w:rFonts w:hint="eastAsia" w:ascii="仿宋" w:hAnsi="仿宋" w:eastAsia="仿宋" w:cs="仿宋"/>
                      <w:color w:val="auto"/>
                      <w:sz w:val="24"/>
                      <w:szCs w:val="24"/>
                      <w:lang w:val="en-US" w:eastAsia="zh-CN"/>
                    </w:rPr>
                    <w:t>送检率</w:t>
                  </w:r>
                </w:p>
                <w:p w14:paraId="63E6293D">
                  <w:pPr>
                    <w:numPr>
                      <w:ilvl w:val="0"/>
                      <w:numId w:val="4"/>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住院患者I类切口手术抗菌药物预防使用率</w:t>
                  </w:r>
                </w:p>
                <w:p w14:paraId="1D0A9CB3">
                  <w:pPr>
                    <w:numPr>
                      <w:ilvl w:val="0"/>
                      <w:numId w:val="4"/>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住院患者I类切口手术部位感染率</w:t>
                  </w:r>
                </w:p>
                <w:p w14:paraId="23C847E3">
                  <w:pPr>
                    <w:numPr>
                      <w:ilvl w:val="0"/>
                      <w:numId w:val="4"/>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血管导管相关血流感染发病率</w:t>
                  </w:r>
                </w:p>
                <w:p w14:paraId="3AFB5ABD">
                  <w:pPr>
                    <w:numPr>
                      <w:ilvl w:val="0"/>
                      <w:numId w:val="4"/>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呼吸机相关肺炎发病率</w:t>
                  </w:r>
                </w:p>
                <w:p w14:paraId="39B00585">
                  <w:pPr>
                    <w:numPr>
                      <w:ilvl w:val="0"/>
                      <w:numId w:val="4"/>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导尿管相关尿路感染发病率</w:t>
                  </w:r>
                </w:p>
                <w:p w14:paraId="3E7D56E9">
                  <w:pPr>
                    <w:numPr>
                      <w:ilvl w:val="0"/>
                      <w:numId w:val="4"/>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血液透析相关感染发生率</w:t>
                  </w:r>
                </w:p>
                <w:p w14:paraId="2E1A40A4">
                  <w:pPr>
                    <w:numPr>
                      <w:ilvl w:val="0"/>
                      <w:numId w:val="0"/>
                    </w:numPr>
                    <w:bidi w:val="0"/>
                    <w:ind w:left="0" w:leftChars="0" w:firstLine="0" w:firstLineChars="0"/>
                    <w:rPr>
                      <w:rFonts w:hint="eastAsia" w:ascii="仿宋" w:hAnsi="仿宋" w:eastAsia="仿宋" w:cs="仿宋"/>
                      <w:b w:val="0"/>
                      <w:bCs w:val="0"/>
                      <w:color w:val="auto"/>
                      <w:sz w:val="24"/>
                      <w:szCs w:val="24"/>
                    </w:rPr>
                  </w:pPr>
                  <w:r>
                    <w:rPr>
                      <w:rFonts w:hint="eastAsia" w:ascii="仿宋" w:hAnsi="仿宋" w:eastAsia="仿宋" w:cs="仿宋"/>
                      <w:color w:val="auto"/>
                      <w:sz w:val="24"/>
                      <w:szCs w:val="24"/>
                      <w:lang w:val="en-US" w:eastAsia="zh-CN"/>
                    </w:rPr>
                    <w:t>备注：12项指标要求按照医院感染管理医疗质量控制指标(2024年版)红头文件的要求来统计。</w:t>
                  </w:r>
                </w:p>
              </w:tc>
            </w:tr>
            <w:tr w14:paraId="59FB0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1" w:type="dxa"/>
                  <w:noWrap w:val="0"/>
                  <w:vAlign w:val="center"/>
                </w:tcPr>
                <w:p w14:paraId="034ABAD4">
                  <w:pPr>
                    <w:numPr>
                      <w:ilvl w:val="0"/>
                      <w:numId w:val="3"/>
                    </w:numPr>
                    <w:bidi w:val="0"/>
                    <w:ind w:left="0" w:leftChars="0" w:right="0" w:rightChars="0" w:firstLine="420" w:firstLineChars="0"/>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感术行动方案改造</w:t>
                  </w:r>
                </w:p>
              </w:tc>
              <w:tc>
                <w:tcPr>
                  <w:tcW w:w="6711" w:type="dxa"/>
                  <w:noWrap w:val="0"/>
                  <w:vAlign w:val="top"/>
                </w:tcPr>
                <w:p w14:paraId="2FF2670B">
                  <w:pPr>
                    <w:numPr>
                      <w:ilvl w:val="0"/>
                      <w:numId w:val="4"/>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支持对接手麻系统备皮是否合格信息相关资料</w:t>
                  </w:r>
                </w:p>
                <w:p w14:paraId="5C64E36C">
                  <w:pPr>
                    <w:numPr>
                      <w:ilvl w:val="0"/>
                      <w:numId w:val="4"/>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支持对接手嘛系统是否需要去除毛发，去除毛发是否合格信息等相关资料</w:t>
                  </w:r>
                </w:p>
                <w:p w14:paraId="38780CE3">
                  <w:pPr>
                    <w:numPr>
                      <w:ilvl w:val="0"/>
                      <w:numId w:val="4"/>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手术明细界面添加修改备皮（即：皮肤清洁）是否合格</w:t>
                  </w:r>
                </w:p>
                <w:p w14:paraId="47844F1C">
                  <w:pPr>
                    <w:numPr>
                      <w:ilvl w:val="0"/>
                      <w:numId w:val="4"/>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手术明细界面添加修改是否需要去除毛发，去除毛发是否正确信息</w:t>
                  </w:r>
                </w:p>
                <w:p w14:paraId="36AF964F">
                  <w:pPr>
                    <w:numPr>
                      <w:ilvl w:val="0"/>
                      <w:numId w:val="4"/>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支持对住院患者手术皮肤清洁合格率统计</w:t>
                  </w:r>
                </w:p>
                <w:p w14:paraId="2E38AD9B">
                  <w:pPr>
                    <w:numPr>
                      <w:ilvl w:val="0"/>
                      <w:numId w:val="4"/>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支持对住院患者手术去除毛发正确率统计</w:t>
                  </w:r>
                </w:p>
                <w:p w14:paraId="0A82AE9F">
                  <w:pPr>
                    <w:numPr>
                      <w:ilvl w:val="0"/>
                      <w:numId w:val="4"/>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CMI值相关数据导入系统</w:t>
                  </w:r>
                </w:p>
                <w:p w14:paraId="355362B1">
                  <w:pPr>
                    <w:numPr>
                      <w:ilvl w:val="0"/>
                      <w:numId w:val="4"/>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用 CMI 值对数据校准的I类切口手术部位感染率统计</w:t>
                  </w:r>
                </w:p>
                <w:p w14:paraId="50BAB548">
                  <w:pPr>
                    <w:numPr>
                      <w:ilvl w:val="0"/>
                      <w:numId w:val="4"/>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用 CMI 值对数据校准的II类切口手术部位感染率统计</w:t>
                  </w:r>
                </w:p>
                <w:p w14:paraId="5A4D13CC">
                  <w:pPr>
                    <w:numPr>
                      <w:ilvl w:val="0"/>
                      <w:numId w:val="4"/>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用 CMI 值对数据校准的III类切口手术部位感染率统计</w:t>
                  </w:r>
                </w:p>
                <w:p w14:paraId="02DE207A">
                  <w:pPr>
                    <w:numPr>
                      <w:ilvl w:val="0"/>
                      <w:numId w:val="4"/>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用 CMI 值对数据校准的IV类切口手术部位感染率统计</w:t>
                  </w:r>
                </w:p>
                <w:p w14:paraId="54956418">
                  <w:pPr>
                    <w:numPr>
                      <w:ilvl w:val="0"/>
                      <w:numId w:val="4"/>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本机构占比最高 I 类切口手术部位感染率统计</w:t>
                  </w:r>
                </w:p>
                <w:p w14:paraId="07DB5A51">
                  <w:pPr>
                    <w:numPr>
                      <w:ilvl w:val="0"/>
                      <w:numId w:val="4"/>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用 CMI 值对数据校准的本机构占比最高 I 类切口手术部位感染率统计</w:t>
                  </w:r>
                </w:p>
                <w:p w14:paraId="085DEED8">
                  <w:pPr>
                    <w:numPr>
                      <w:ilvl w:val="0"/>
                      <w:numId w:val="4"/>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术后肺炎发生率统计</w:t>
                  </w:r>
                </w:p>
                <w:p w14:paraId="53008D88">
                  <w:pPr>
                    <w:numPr>
                      <w:ilvl w:val="0"/>
                      <w:numId w:val="4"/>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用 CMI 值对数据校准的术后肺炎发生率统计</w:t>
                  </w:r>
                </w:p>
                <w:p w14:paraId="7532695D">
                  <w:pPr>
                    <w:numPr>
                      <w:ilvl w:val="0"/>
                      <w:numId w:val="4"/>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▲预防性使用抗菌药物术前 0.5~1 小时给药率统计</w:t>
                  </w:r>
                </w:p>
                <w:p w14:paraId="3FE1E23B">
                  <w:pPr>
                    <w:numPr>
                      <w:ilvl w:val="0"/>
                      <w:numId w:val="4"/>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I类切口手术预防性用药24小时内抗菌药物停药率统计</w:t>
                  </w:r>
                </w:p>
                <w:p w14:paraId="5A7B6B9E">
                  <w:pPr>
                    <w:numPr>
                      <w:ilvl w:val="0"/>
                      <w:numId w:val="4"/>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按感术行动红头文件要求，进行系统整体设计和改造。</w:t>
                  </w:r>
                </w:p>
              </w:tc>
            </w:tr>
            <w:tr w14:paraId="498F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1" w:type="dxa"/>
                  <w:noWrap w:val="0"/>
                  <w:vAlign w:val="center"/>
                </w:tcPr>
                <w:p w14:paraId="02A33388">
                  <w:pPr>
                    <w:numPr>
                      <w:ilvl w:val="0"/>
                      <w:numId w:val="3"/>
                    </w:numPr>
                    <w:bidi w:val="0"/>
                    <w:ind w:left="0" w:leftChars="0" w:right="0" w:rightChars="0" w:firstLine="420" w:firstLineChars="0"/>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抗菌药物治疗前病原学送检率专项行动改造</w:t>
                  </w:r>
                </w:p>
              </w:tc>
              <w:tc>
                <w:tcPr>
                  <w:tcW w:w="6711" w:type="dxa"/>
                  <w:noWrap w:val="0"/>
                  <w:vAlign w:val="top"/>
                </w:tcPr>
                <w:p w14:paraId="7A3E1B90">
                  <w:pPr>
                    <w:numPr>
                      <w:ilvl w:val="0"/>
                      <w:numId w:val="4"/>
                    </w:numPr>
                    <w:bidi w:val="0"/>
                    <w:ind w:left="454" w:leftChars="0" w:hanging="454" w:firstLineChars="0"/>
                    <w:rPr>
                      <w:rFonts w:hint="eastAsia" w:ascii="仿宋" w:hAnsi="仿宋" w:eastAsia="仿宋" w:cs="仿宋"/>
                      <w:color w:val="auto"/>
                      <w:sz w:val="24"/>
                      <w:szCs w:val="24"/>
                    </w:rPr>
                  </w:pPr>
                  <w:r>
                    <w:rPr>
                      <w:rFonts w:hint="eastAsia" w:ascii="仿宋" w:hAnsi="仿宋" w:eastAsia="仿宋" w:cs="仿宋"/>
                      <w:color w:val="auto"/>
                      <w:sz w:val="24"/>
                      <w:szCs w:val="24"/>
                    </w:rPr>
                    <w:t>根据国家卫生健康委医院管理研究所国卫医研函〔2021〕198号关于印发的"提高住院患者抗菌药物治疗前病原学送检率"专项行动指导意见，定制住院患者抗菌药物治疗前病原学送检率统计报表。</w:t>
                  </w:r>
                </w:p>
                <w:p w14:paraId="4F5BC570">
                  <w:pPr>
                    <w:numPr>
                      <w:ilvl w:val="0"/>
                      <w:numId w:val="4"/>
                    </w:numPr>
                    <w:bidi w:val="0"/>
                    <w:ind w:left="454" w:leftChars="0" w:hanging="454" w:firstLineChars="0"/>
                    <w:rPr>
                      <w:rFonts w:hint="eastAsia" w:ascii="仿宋" w:hAnsi="仿宋" w:eastAsia="仿宋" w:cs="仿宋"/>
                      <w:color w:val="auto"/>
                      <w:sz w:val="24"/>
                      <w:szCs w:val="24"/>
                    </w:rPr>
                  </w:pPr>
                  <w:r>
                    <w:rPr>
                      <w:rFonts w:hint="eastAsia" w:ascii="仿宋" w:hAnsi="仿宋" w:eastAsia="仿宋" w:cs="仿宋"/>
                      <w:color w:val="auto"/>
                      <w:sz w:val="24"/>
                      <w:szCs w:val="24"/>
                    </w:rPr>
                    <w:t>相关改进目标计算公式以红头文件为准。</w:t>
                  </w:r>
                </w:p>
                <w:p w14:paraId="248D84B0">
                  <w:pPr>
                    <w:numPr>
                      <w:ilvl w:val="0"/>
                      <w:numId w:val="4"/>
                    </w:numPr>
                    <w:bidi w:val="0"/>
                    <w:ind w:left="454" w:leftChars="0" w:hanging="454" w:firstLineChars="0"/>
                    <w:rPr>
                      <w:rFonts w:hint="eastAsia" w:ascii="仿宋" w:hAnsi="仿宋" w:eastAsia="仿宋" w:cs="仿宋"/>
                      <w:color w:val="auto"/>
                      <w:sz w:val="24"/>
                      <w:szCs w:val="24"/>
                    </w:rPr>
                  </w:pPr>
                  <w:r>
                    <w:rPr>
                      <w:rFonts w:hint="eastAsia" w:ascii="仿宋" w:hAnsi="仿宋" w:eastAsia="仿宋" w:cs="仿宋"/>
                      <w:color w:val="auto"/>
                      <w:sz w:val="24"/>
                      <w:szCs w:val="24"/>
                    </w:rPr>
                    <w:t>重点药物包括碳青霉烯类（亚胺培南、美罗培南、帕尼培南、比阿培南和厄他培南）、糖肽类（万古霉素、替考拉宁）、替加环素、利奈唑胺、多粘菌素、头孢呱酮舒巴坦、抗真菌类（伏立康唑、伊曲康唑、卡泊芬净）。</w:t>
                  </w:r>
                </w:p>
                <w:p w14:paraId="79D4801C">
                  <w:pPr>
                    <w:numPr>
                      <w:ilvl w:val="0"/>
                      <w:numId w:val="4"/>
                    </w:numPr>
                    <w:bidi w:val="0"/>
                    <w:ind w:left="454" w:leftChars="0" w:hanging="454" w:firstLineChars="0"/>
                    <w:rPr>
                      <w:rFonts w:hint="eastAsia" w:ascii="仿宋" w:hAnsi="仿宋" w:eastAsia="仿宋" w:cs="仿宋"/>
                      <w:color w:val="auto"/>
                      <w:sz w:val="24"/>
                      <w:szCs w:val="24"/>
                    </w:rPr>
                  </w:pPr>
                  <w:r>
                    <w:rPr>
                      <w:rFonts w:hint="eastAsia" w:ascii="仿宋" w:hAnsi="仿宋" w:eastAsia="仿宋" w:cs="仿宋"/>
                      <w:color w:val="auto"/>
                      <w:sz w:val="24"/>
                      <w:szCs w:val="24"/>
                    </w:rPr>
                    <w:t>病原学检测目录以红头文件为准。</w:t>
                  </w:r>
                </w:p>
                <w:p w14:paraId="3CAC3E58">
                  <w:pPr>
                    <w:numPr>
                      <w:ilvl w:val="0"/>
                      <w:numId w:val="4"/>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报表开发：联合使用重点抗菌药物前病原学送检率报表定制。</w:t>
                  </w:r>
                </w:p>
              </w:tc>
            </w:tr>
            <w:tr w14:paraId="65F60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1" w:type="dxa"/>
                  <w:noWrap w:val="0"/>
                  <w:vAlign w:val="center"/>
                </w:tcPr>
                <w:p w14:paraId="11167977">
                  <w:pPr>
                    <w:numPr>
                      <w:ilvl w:val="0"/>
                      <w:numId w:val="3"/>
                    </w:numPr>
                    <w:ind w:left="0" w:leftChars="0" w:right="0" w:rightChars="0" w:firstLine="420" w:firstLineChars="0"/>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数据采集</w:t>
                  </w:r>
                </w:p>
              </w:tc>
              <w:tc>
                <w:tcPr>
                  <w:tcW w:w="6711" w:type="dxa"/>
                  <w:noWrap w:val="0"/>
                  <w:vAlign w:val="center"/>
                </w:tcPr>
                <w:p w14:paraId="3E63F94B">
                  <w:pPr>
                    <w:numPr>
                      <w:ilvl w:val="0"/>
                      <w:numId w:val="4"/>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pacing w:val="15"/>
                      <w:sz w:val="24"/>
                      <w:szCs w:val="24"/>
                      <w:lang w:val="en-US" w:eastAsia="zh-CN"/>
                    </w:rPr>
                    <w:t>▲</w:t>
                  </w:r>
                  <w:r>
                    <w:rPr>
                      <w:rFonts w:hint="eastAsia" w:ascii="仿宋" w:hAnsi="仿宋" w:eastAsia="仿宋" w:cs="仿宋"/>
                      <w:color w:val="auto"/>
                      <w:spacing w:val="15"/>
                      <w:sz w:val="24"/>
                      <w:szCs w:val="24"/>
                    </w:rPr>
                    <w:t>系统自动采集医院的HIS、LIS、EMR、RIS、PACS、手麻、物资等系统中的数据,采集范围以满足前述业务功能模块需求为准。</w:t>
                  </w:r>
                </w:p>
              </w:tc>
            </w:tr>
            <w:tr w14:paraId="35F5F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1" w:type="dxa"/>
                  <w:noWrap w:val="0"/>
                  <w:vAlign w:val="center"/>
                </w:tcPr>
                <w:p w14:paraId="556863B8">
                  <w:pPr>
                    <w:numPr>
                      <w:ilvl w:val="0"/>
                      <w:numId w:val="3"/>
                    </w:numPr>
                    <w:ind w:left="0" w:leftChars="0" w:right="0" w:rightChars="0" w:firstLine="420" w:firstLineChars="0"/>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数据上报</w:t>
                  </w:r>
                </w:p>
              </w:tc>
              <w:tc>
                <w:tcPr>
                  <w:tcW w:w="6711" w:type="dxa"/>
                  <w:noWrap w:val="0"/>
                  <w:vAlign w:val="center"/>
                </w:tcPr>
                <w:p w14:paraId="4C8AED0F">
                  <w:pPr>
                    <w:numPr>
                      <w:ilvl w:val="0"/>
                      <w:numId w:val="4"/>
                    </w:numPr>
                    <w:bidi w:val="0"/>
                    <w:ind w:left="454" w:leftChars="0" w:hanging="454" w:firstLineChars="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支持省级</w:t>
                  </w:r>
                  <w:r>
                    <w:rPr>
                      <w:rFonts w:hint="eastAsia" w:ascii="仿宋" w:hAnsi="仿宋" w:eastAsia="仿宋" w:cs="仿宋"/>
                      <w:color w:val="auto"/>
                      <w:spacing w:val="15"/>
                      <w:sz w:val="24"/>
                      <w:szCs w:val="24"/>
                      <w:lang w:eastAsia="zh-CN"/>
                    </w:rPr>
                    <w:t>、</w:t>
                  </w:r>
                  <w:r>
                    <w:rPr>
                      <w:rFonts w:hint="eastAsia" w:ascii="仿宋" w:hAnsi="仿宋" w:eastAsia="仿宋" w:cs="仿宋"/>
                      <w:color w:val="auto"/>
                      <w:spacing w:val="15"/>
                      <w:sz w:val="24"/>
                      <w:szCs w:val="24"/>
                      <w:lang w:val="en-US" w:eastAsia="zh-CN"/>
                    </w:rPr>
                    <w:t>市级</w:t>
                  </w:r>
                  <w:r>
                    <w:rPr>
                      <w:rFonts w:hint="eastAsia" w:ascii="仿宋" w:hAnsi="仿宋" w:eastAsia="仿宋" w:cs="仿宋"/>
                      <w:color w:val="auto"/>
                      <w:spacing w:val="15"/>
                      <w:sz w:val="24"/>
                      <w:szCs w:val="24"/>
                    </w:rPr>
                    <w:t>院感质控中心的数据上报：</w:t>
                  </w:r>
                </w:p>
                <w:p w14:paraId="5D40CC7D">
                  <w:pPr>
                    <w:numPr>
                      <w:ilvl w:val="0"/>
                      <w:numId w:val="4"/>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pacing w:val="15"/>
                      <w:sz w:val="24"/>
                      <w:szCs w:val="24"/>
                    </w:rPr>
                    <w:t>规定时间内完成数据统计，并支持按要求完成国家、省级市级数据上报</w:t>
                  </w:r>
                </w:p>
              </w:tc>
            </w:tr>
            <w:tr w14:paraId="04602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1" w:type="dxa"/>
                  <w:noWrap w:val="0"/>
                  <w:vAlign w:val="center"/>
                </w:tcPr>
                <w:p w14:paraId="64836381">
                  <w:pPr>
                    <w:numPr>
                      <w:ilvl w:val="0"/>
                      <w:numId w:val="3"/>
                    </w:numPr>
                    <w:bidi w:val="0"/>
                    <w:ind w:left="0" w:leftChars="0" w:right="0" w:rightChars="0" w:firstLine="420" w:firstLineChars="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一键生成院感、细菌耐药月报、季报、年报功能（支持个性化定制）</w:t>
                  </w:r>
                </w:p>
              </w:tc>
              <w:tc>
                <w:tcPr>
                  <w:tcW w:w="6711" w:type="dxa"/>
                  <w:noWrap w:val="0"/>
                  <w:vAlign w:val="top"/>
                </w:tcPr>
                <w:p w14:paraId="18FDEE50">
                  <w:pPr>
                    <w:numPr>
                      <w:ilvl w:val="0"/>
                      <w:numId w:val="4"/>
                    </w:numPr>
                    <w:bidi w:val="0"/>
                    <w:ind w:left="454" w:leftChars="0" w:hanging="454" w:firstLine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▲一键自动生成医院感染分析报告（可以自动生成季报，月报，年报）。已经有现成模板，也支持模板个性化定制。并支持一键生成，支持导出word，pdf。</w:t>
                  </w:r>
                </w:p>
                <w:p w14:paraId="4B0C436F">
                  <w:pPr>
                    <w:numPr>
                      <w:ilvl w:val="0"/>
                      <w:numId w:val="4"/>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一键自动生成细菌耐药分析报告（可以自动生成季报，月报，年报）。已经有现成模板，也支持模板个性化定制。并支持一键生成，支持导出word，pdf。</w:t>
                  </w:r>
                </w:p>
              </w:tc>
            </w:tr>
            <w:tr w14:paraId="38B91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1" w:type="dxa"/>
                  <w:noWrap w:val="0"/>
                  <w:vAlign w:val="center"/>
                </w:tcPr>
                <w:p w14:paraId="15D8204C">
                  <w:pPr>
                    <w:numPr>
                      <w:ilvl w:val="0"/>
                      <w:numId w:val="3"/>
                    </w:numPr>
                    <w:bidi w:val="0"/>
                    <w:ind w:left="0" w:leftChars="0" w:right="0" w:rightChars="0" w:firstLine="420" w:firstLineChars="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PDCA督导</w:t>
                  </w:r>
                </w:p>
              </w:tc>
              <w:tc>
                <w:tcPr>
                  <w:tcW w:w="6711" w:type="dxa"/>
                  <w:noWrap w:val="0"/>
                  <w:vAlign w:val="top"/>
                </w:tcPr>
                <w:p w14:paraId="6244C578">
                  <w:pPr>
                    <w:numPr>
                      <w:ilvl w:val="0"/>
                      <w:numId w:val="4"/>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发起督察功能：</w:t>
                  </w:r>
                </w:p>
                <w:p w14:paraId="56A6B489">
                  <w:pPr>
                    <w:numPr>
                      <w:ilvl w:val="0"/>
                      <w:numId w:val="5"/>
                    </w:numPr>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支持发起日常督察、专项督察（手卫生、多重耐药菌、重症医学、层流、手术部位感染监测、消毒隔离、中心静脉导管感控、内镜及口腔正畸等专项内容，内容支持个性化模板导入）。</w:t>
                  </w:r>
                </w:p>
                <w:p w14:paraId="1CE92B18">
                  <w:pPr>
                    <w:widowControl w:val="0"/>
                    <w:numPr>
                      <w:ilvl w:val="0"/>
                      <w:numId w:val="5"/>
                    </w:numPr>
                    <w:ind w:left="425" w:leftChars="0" w:hanging="425"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支持打分评价，支持自动计算总分。</w:t>
                  </w:r>
                </w:p>
                <w:p w14:paraId="7EDFC2C7">
                  <w:pPr>
                    <w:numPr>
                      <w:ilvl w:val="0"/>
                      <w:numId w:val="5"/>
                    </w:numPr>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支持生成督导本功能：</w:t>
                  </w:r>
                </w:p>
                <w:p w14:paraId="0FE07990">
                  <w:pPr>
                    <w:widowControl w:val="0"/>
                    <w:numPr>
                      <w:ilvl w:val="0"/>
                      <w:numId w:val="5"/>
                    </w:numPr>
                    <w:ind w:left="425" w:leftChars="0" w:hanging="425"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督察记录查询，可以查未达标项目，并查看具体内容。</w:t>
                  </w:r>
                </w:p>
                <w:p w14:paraId="75198851">
                  <w:pPr>
                    <w:ind w:left="0" w:firstLine="0"/>
                    <w:rPr>
                      <w:rFonts w:hint="eastAsia" w:ascii="仿宋" w:hAnsi="仿宋" w:eastAsia="仿宋" w:cs="仿宋"/>
                      <w:color w:val="auto"/>
                      <w:sz w:val="24"/>
                      <w:szCs w:val="24"/>
                      <w:lang w:val="en-US" w:eastAsia="zh-CN"/>
                    </w:rPr>
                  </w:pPr>
                </w:p>
                <w:p w14:paraId="3A1EF830">
                  <w:pPr>
                    <w:numPr>
                      <w:ilvl w:val="0"/>
                      <w:numId w:val="4"/>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发起改进功能：</w:t>
                  </w:r>
                </w:p>
                <w:p w14:paraId="0DEDB670">
                  <w:pPr>
                    <w:widowControl w:val="0"/>
                    <w:numPr>
                      <w:ilvl w:val="0"/>
                      <w:numId w:val="6"/>
                    </w:numPr>
                    <w:ind w:left="425" w:leftChars="0" w:hanging="425"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当前需要改进的督导本查询。</w:t>
                  </w:r>
                </w:p>
                <w:p w14:paraId="55A3086A">
                  <w:pPr>
                    <w:widowControl w:val="0"/>
                    <w:numPr>
                      <w:ilvl w:val="0"/>
                      <w:numId w:val="6"/>
                    </w:numPr>
                    <w:ind w:left="425" w:leftChars="0" w:hanging="425"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督导本状态查询，是否超时。</w:t>
                  </w:r>
                </w:p>
                <w:p w14:paraId="0FDB0204">
                  <w:pPr>
                    <w:widowControl w:val="0"/>
                    <w:numPr>
                      <w:ilvl w:val="0"/>
                      <w:numId w:val="6"/>
                    </w:numPr>
                    <w:ind w:left="425" w:leftChars="0" w:hanging="425"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科室根据督察报告进行改进，填写改进效果，并且对改进结果进行拍照上传。</w:t>
                  </w:r>
                </w:p>
                <w:p w14:paraId="614C7D31">
                  <w:pPr>
                    <w:numPr>
                      <w:ilvl w:val="0"/>
                      <w:numId w:val="6"/>
                    </w:numPr>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督导改进依然不合格的，支持持续督导改进功能。</w:t>
                  </w:r>
                </w:p>
                <w:p w14:paraId="4D191E62">
                  <w:pPr>
                    <w:numPr>
                      <w:ilvl w:val="0"/>
                      <w:numId w:val="6"/>
                    </w:numPr>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督导情况支持按科室统计。</w:t>
                  </w:r>
                </w:p>
                <w:p w14:paraId="057497EC">
                  <w:pPr>
                    <w:numPr>
                      <w:ilvl w:val="0"/>
                      <w:numId w:val="6"/>
                    </w:numPr>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督导情况支持按问题分类统计</w:t>
                  </w:r>
                </w:p>
                <w:p w14:paraId="5871788B">
                  <w:pPr>
                    <w:numPr>
                      <w:ilvl w:val="0"/>
                      <w:numId w:val="6"/>
                    </w:numPr>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支持查询历史督导情况。</w:t>
                  </w:r>
                </w:p>
                <w:p w14:paraId="1347F17D">
                  <w:pPr>
                    <w:numPr>
                      <w:ilvl w:val="0"/>
                      <w:numId w:val="6"/>
                    </w:numPr>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代办事项查询，支持查询需要自己改进的督导本。</w:t>
                  </w:r>
                </w:p>
                <w:p w14:paraId="585A685F">
                  <w:pPr>
                    <w:numPr>
                      <w:ilvl w:val="0"/>
                      <w:numId w:val="6"/>
                    </w:numPr>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支持督导发送短信功能。</w:t>
                  </w:r>
                </w:p>
              </w:tc>
            </w:tr>
            <w:tr w14:paraId="5875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1" w:type="dxa"/>
                  <w:noWrap w:val="0"/>
                  <w:vAlign w:val="center"/>
                </w:tcPr>
                <w:p w14:paraId="0F0751B8">
                  <w:pPr>
                    <w:numPr>
                      <w:ilvl w:val="0"/>
                      <w:numId w:val="3"/>
                    </w:numPr>
                    <w:bidi w:val="0"/>
                    <w:ind w:left="0" w:leftChars="0" w:right="0" w:rightChars="0" w:firstLine="420" w:firstLineChars="0"/>
                    <w:jc w:val="center"/>
                    <w:rPr>
                      <w:rFonts w:hint="eastAsia" w:ascii="仿宋" w:hAnsi="仿宋" w:eastAsia="仿宋" w:cs="仿宋"/>
                      <w:b/>
                      <w:bCs/>
                      <w:color w:val="auto"/>
                      <w:sz w:val="24"/>
                      <w:szCs w:val="24"/>
                      <w:lang w:val="en-US" w:eastAsia="zh-CN"/>
                    </w:rPr>
                  </w:pPr>
                  <w:r>
                    <w:rPr>
                      <w:rFonts w:hint="eastAsia" w:hAnsi="宋体" w:cs="宋体"/>
                      <w:b/>
                      <w:bCs/>
                      <w:color w:val="auto"/>
                      <w:sz w:val="24"/>
                      <w:szCs w:val="24"/>
                    </w:rPr>
                    <w:t>职业暴露改造</w:t>
                  </w:r>
                </w:p>
              </w:tc>
              <w:tc>
                <w:tcPr>
                  <w:tcW w:w="6711" w:type="dxa"/>
                  <w:noWrap w:val="0"/>
                  <w:vAlign w:val="top"/>
                </w:tcPr>
                <w:p w14:paraId="098C41E5">
                  <w:pPr>
                    <w:numPr>
                      <w:ilvl w:val="0"/>
                      <w:numId w:val="4"/>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根据我院提供的职业暴露登记表，个性化定制。完成职业暴露的上报、追踪。支持短信通知，系统预警等功能。</w:t>
                  </w:r>
                </w:p>
                <w:p w14:paraId="638E55AF">
                  <w:pPr>
                    <w:numPr>
                      <w:ilvl w:val="0"/>
                      <w:numId w:val="4"/>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医务人员锐器伤职业暴露上报表格开发</w:t>
                  </w:r>
                </w:p>
                <w:p w14:paraId="3D0FE0EF">
                  <w:pPr>
                    <w:numPr>
                      <w:ilvl w:val="0"/>
                      <w:numId w:val="4"/>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医务人员锐器伤职业暴露检查单提供给暴露者填写</w:t>
                  </w:r>
                </w:p>
                <w:p w14:paraId="279E24CC">
                  <w:pPr>
                    <w:numPr>
                      <w:ilvl w:val="0"/>
                      <w:numId w:val="4"/>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医务人员锐器伤职业暴露处方笺提供给暴露者填写</w:t>
                  </w:r>
                </w:p>
              </w:tc>
            </w:tr>
            <w:tr w14:paraId="714F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1" w:type="dxa"/>
                  <w:noWrap w:val="0"/>
                  <w:vAlign w:val="center"/>
                </w:tcPr>
                <w:p w14:paraId="55BD2B27">
                  <w:pPr>
                    <w:numPr>
                      <w:ilvl w:val="0"/>
                      <w:numId w:val="3"/>
                    </w:numPr>
                    <w:bidi w:val="0"/>
                    <w:ind w:left="0" w:leftChars="0" w:right="0" w:rightChars="0" w:firstLine="420" w:firstLineChars="0"/>
                    <w:jc w:val="center"/>
                    <w:rPr>
                      <w:rFonts w:hint="eastAsia" w:hAnsi="宋体" w:cs="宋体"/>
                      <w:b/>
                      <w:bCs/>
                      <w:color w:val="auto"/>
                      <w:sz w:val="24"/>
                      <w:szCs w:val="24"/>
                    </w:rPr>
                  </w:pPr>
                  <w:r>
                    <w:rPr>
                      <w:rFonts w:hint="eastAsia" w:hAnsi="宋体" w:cs="宋体"/>
                      <w:b/>
                      <w:bCs/>
                      <w:color w:val="auto"/>
                      <w:sz w:val="24"/>
                      <w:szCs w:val="24"/>
                      <w:lang w:val="en-US" w:eastAsia="zh-CN"/>
                    </w:rPr>
                    <w:t>环境卫生学监测</w:t>
                  </w:r>
                </w:p>
              </w:tc>
              <w:tc>
                <w:tcPr>
                  <w:tcW w:w="6711" w:type="dxa"/>
                  <w:noWrap w:val="0"/>
                  <w:vAlign w:val="top"/>
                </w:tcPr>
                <w:p w14:paraId="68EB44F4">
                  <w:pPr>
                    <w:numPr>
                      <w:ilvl w:val="0"/>
                      <w:numId w:val="4"/>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rPr>
                    <w:t>环境卫生学监测，</w:t>
                  </w:r>
                  <w:r>
                    <w:rPr>
                      <w:rFonts w:hint="eastAsia" w:ascii="仿宋" w:hAnsi="仿宋" w:eastAsia="仿宋" w:cs="仿宋"/>
                      <w:b w:val="0"/>
                      <w:bCs w:val="0"/>
                      <w:color w:val="auto"/>
                      <w:sz w:val="24"/>
                      <w:szCs w:val="24"/>
                      <w:lang w:val="en-US" w:eastAsia="zh-CN"/>
                    </w:rPr>
                    <w:t>支持条码功能</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不依赖于检验系统，嵌入判断标准，</w:t>
                  </w:r>
                  <w:r>
                    <w:rPr>
                      <w:rFonts w:hint="eastAsia" w:ascii="仿宋" w:hAnsi="仿宋" w:eastAsia="仿宋" w:cs="仿宋"/>
                      <w:b w:val="0"/>
                      <w:bCs w:val="0"/>
                      <w:color w:val="auto"/>
                      <w:sz w:val="24"/>
                      <w:szCs w:val="24"/>
                    </w:rPr>
                    <w:t>结果自动评价</w:t>
                  </w:r>
                  <w:r>
                    <w:rPr>
                      <w:rFonts w:hint="eastAsia" w:ascii="仿宋" w:hAnsi="仿宋" w:eastAsia="仿宋" w:cs="仿宋"/>
                      <w:b w:val="0"/>
                      <w:bCs w:val="0"/>
                      <w:color w:val="auto"/>
                      <w:sz w:val="24"/>
                      <w:szCs w:val="24"/>
                      <w:lang w:eastAsia="zh-CN"/>
                    </w:rPr>
                    <w:t>。</w:t>
                  </w:r>
                </w:p>
                <w:p w14:paraId="797B0738">
                  <w:pPr>
                    <w:numPr>
                      <w:ilvl w:val="0"/>
                      <w:numId w:val="4"/>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lang w:val="en-US" w:eastAsia="zh-CN"/>
                    </w:rPr>
                    <w:t>支持采样信息录入和修改。</w:t>
                  </w:r>
                </w:p>
                <w:p w14:paraId="5B0702D5">
                  <w:pPr>
                    <w:numPr>
                      <w:ilvl w:val="0"/>
                      <w:numId w:val="4"/>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lang w:val="en-US" w:eastAsia="zh-CN"/>
                    </w:rPr>
                    <w:t>支持采样结果录入和审核。</w:t>
                  </w:r>
                </w:p>
                <w:p w14:paraId="760A4E5A">
                  <w:pPr>
                    <w:numPr>
                      <w:ilvl w:val="0"/>
                      <w:numId w:val="4"/>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lang w:val="en-US" w:eastAsia="zh-CN"/>
                    </w:rPr>
                    <w:t>支持打印报告单。</w:t>
                  </w:r>
                </w:p>
              </w:tc>
            </w:tr>
          </w:tbl>
          <w:p w14:paraId="56FBDDFF">
            <w:pPr>
              <w:autoSpaceDE w:val="0"/>
              <w:autoSpaceDN w:val="0"/>
              <w:adjustRightInd w:val="0"/>
              <w:rPr>
                <w:rFonts w:cs="宋体" w:asciiTheme="minorEastAsia" w:hAnsiTheme="minorEastAsia" w:eastAsiaTheme="minorEastAsia"/>
                <w:color w:val="auto"/>
                <w:kern w:val="0"/>
                <w:sz w:val="24"/>
                <w:szCs w:val="24"/>
              </w:rPr>
            </w:pPr>
          </w:p>
        </w:tc>
      </w:tr>
    </w:tbl>
    <w:p w14:paraId="4F3CEF7D">
      <w:pPr>
        <w:jc w:val="left"/>
        <w:rPr>
          <w:rFonts w:asciiTheme="minorEastAsia" w:hAnsiTheme="minorEastAsia" w:eastAsiaTheme="minorEastAsia"/>
          <w:b/>
          <w:bCs/>
          <w:color w:val="auto"/>
          <w:sz w:val="24"/>
          <w:szCs w:val="24"/>
        </w:rPr>
      </w:pPr>
    </w:p>
    <w:p w14:paraId="1E801D00">
      <w:pPr>
        <w:pStyle w:val="2"/>
        <w:rPr>
          <w:rFonts w:asciiTheme="minorEastAsia" w:hAnsiTheme="minorEastAsia" w:eastAsiaTheme="minorEastAsia"/>
          <w:b/>
          <w:bCs/>
          <w:color w:val="auto"/>
          <w:sz w:val="24"/>
          <w:szCs w:val="24"/>
        </w:rPr>
      </w:pPr>
    </w:p>
    <w:p w14:paraId="68ECF647">
      <w:pPr>
        <w:rPr>
          <w:color w:val="auto"/>
        </w:rPr>
      </w:pPr>
    </w:p>
    <w:p w14:paraId="54F829FB">
      <w:pPr>
        <w:rPr>
          <w:rFonts w:asciiTheme="minorEastAsia" w:hAnsiTheme="minorEastAsia" w:eastAsiaTheme="minorEastAsia"/>
          <w:color w:val="auto"/>
          <w:sz w:val="24"/>
          <w:szCs w:val="24"/>
        </w:rPr>
      </w:pPr>
    </w:p>
    <w:p w14:paraId="5BAAA433">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第二节  具体技术要求</w:t>
      </w:r>
    </w:p>
    <w:p w14:paraId="66CA58E2">
      <w:pPr>
        <w:spacing w:line="360" w:lineRule="auto"/>
        <w:ind w:right="105" w:rightChars="5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重要提示：</w:t>
      </w:r>
    </w:p>
    <w:p w14:paraId="7B6D4406">
      <w:pPr>
        <w:spacing w:line="360" w:lineRule="auto"/>
        <w:ind w:right="105" w:rightChars="50"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投标人须如实填写《技术规格偏离表》，并按招标文件的要求提供相关证明资料，包括产品原厂说明书或产品彩页等。提供的证明资料与投标响应情况不相符的，视为《技术规格偏离表》填写不实。</w:t>
      </w:r>
    </w:p>
    <w:p w14:paraId="2D65111D">
      <w:pPr>
        <w:pStyle w:val="4"/>
        <w:spacing w:line="300" w:lineRule="auto"/>
        <w:jc w:val="center"/>
        <w:rPr>
          <w:rFonts w:asciiTheme="minorEastAsia" w:hAnsiTheme="minorEastAsia" w:eastAsiaTheme="minorEastAsia"/>
          <w:color w:val="auto"/>
          <w:szCs w:val="24"/>
        </w:rPr>
      </w:pPr>
      <w:bookmarkStart w:id="0" w:name="_Toc201998022"/>
      <w:bookmarkStart w:id="1" w:name="_Toc313109540"/>
      <w:bookmarkStart w:id="2" w:name="_Toc201743194"/>
      <w:r>
        <w:rPr>
          <w:rFonts w:hint="eastAsia" w:asciiTheme="minorEastAsia" w:hAnsiTheme="minorEastAsia" w:eastAsiaTheme="minorEastAsia"/>
          <w:color w:val="auto"/>
          <w:szCs w:val="24"/>
        </w:rPr>
        <w:t>具体技术要求表</w:t>
      </w:r>
    </w:p>
    <w:bookmarkEnd w:id="0"/>
    <w:bookmarkEnd w:id="1"/>
    <w:bookmarkEnd w:id="2"/>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14:paraId="3B6C0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14:paraId="4E9AE1D9">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序号</w:t>
            </w:r>
          </w:p>
        </w:tc>
        <w:tc>
          <w:tcPr>
            <w:tcW w:w="1843" w:type="dxa"/>
            <w:vAlign w:val="center"/>
          </w:tcPr>
          <w:p w14:paraId="436FF4AA">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货物名称</w:t>
            </w:r>
          </w:p>
        </w:tc>
        <w:tc>
          <w:tcPr>
            <w:tcW w:w="5109" w:type="dxa"/>
            <w:vAlign w:val="center"/>
          </w:tcPr>
          <w:p w14:paraId="1347C745">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招标技术要求</w:t>
            </w:r>
          </w:p>
        </w:tc>
      </w:tr>
      <w:tr w14:paraId="3F44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14:paraId="724D985B">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p>
        </w:tc>
        <w:tc>
          <w:tcPr>
            <w:tcW w:w="1843" w:type="dxa"/>
            <w:vMerge w:val="restart"/>
            <w:vAlign w:val="center"/>
          </w:tcPr>
          <w:p w14:paraId="037FABB5">
            <w:pPr>
              <w:rPr>
                <w:rFonts w:asciiTheme="minorEastAsia" w:hAnsiTheme="minorEastAsia" w:eastAsiaTheme="minorEastAsia"/>
                <w:color w:val="auto"/>
                <w:sz w:val="24"/>
                <w:szCs w:val="24"/>
              </w:rPr>
            </w:pPr>
          </w:p>
        </w:tc>
        <w:tc>
          <w:tcPr>
            <w:tcW w:w="5109" w:type="dxa"/>
            <w:vAlign w:val="center"/>
          </w:tcPr>
          <w:p w14:paraId="10EDFCAA">
            <w:pPr>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w:t>
            </w:r>
          </w:p>
        </w:tc>
      </w:tr>
      <w:tr w14:paraId="19626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3156B4B5">
            <w:pPr>
              <w:jc w:val="center"/>
              <w:rPr>
                <w:rFonts w:asciiTheme="minorEastAsia" w:hAnsiTheme="minorEastAsia" w:eastAsiaTheme="minorEastAsia"/>
                <w:color w:val="auto"/>
                <w:sz w:val="24"/>
                <w:szCs w:val="24"/>
              </w:rPr>
            </w:pPr>
          </w:p>
        </w:tc>
        <w:tc>
          <w:tcPr>
            <w:tcW w:w="1843" w:type="dxa"/>
            <w:vMerge w:val="continue"/>
            <w:vAlign w:val="center"/>
          </w:tcPr>
          <w:p w14:paraId="3E5A6D20">
            <w:pPr>
              <w:rPr>
                <w:rFonts w:asciiTheme="minorEastAsia" w:hAnsiTheme="minorEastAsia" w:eastAsiaTheme="minorEastAsia"/>
                <w:color w:val="auto"/>
                <w:sz w:val="24"/>
                <w:szCs w:val="24"/>
              </w:rPr>
            </w:pPr>
          </w:p>
        </w:tc>
        <w:tc>
          <w:tcPr>
            <w:tcW w:w="5109" w:type="dxa"/>
            <w:vAlign w:val="center"/>
          </w:tcPr>
          <w:p w14:paraId="2B57504C">
            <w:pPr>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1.2</w:t>
            </w:r>
          </w:p>
        </w:tc>
      </w:tr>
      <w:tr w14:paraId="60D64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5E32FE51">
            <w:pPr>
              <w:jc w:val="center"/>
              <w:rPr>
                <w:rFonts w:asciiTheme="minorEastAsia" w:hAnsiTheme="minorEastAsia" w:eastAsiaTheme="minorEastAsia"/>
                <w:color w:val="auto"/>
                <w:sz w:val="24"/>
                <w:szCs w:val="24"/>
              </w:rPr>
            </w:pPr>
          </w:p>
        </w:tc>
        <w:tc>
          <w:tcPr>
            <w:tcW w:w="1843" w:type="dxa"/>
            <w:vMerge w:val="continue"/>
            <w:vAlign w:val="center"/>
          </w:tcPr>
          <w:p w14:paraId="167D60B1">
            <w:pPr>
              <w:rPr>
                <w:rFonts w:asciiTheme="minorEastAsia" w:hAnsiTheme="minorEastAsia" w:eastAsiaTheme="minorEastAsia"/>
                <w:color w:val="auto"/>
                <w:sz w:val="24"/>
                <w:szCs w:val="24"/>
              </w:rPr>
            </w:pPr>
          </w:p>
        </w:tc>
        <w:tc>
          <w:tcPr>
            <w:tcW w:w="5109" w:type="dxa"/>
            <w:vAlign w:val="center"/>
          </w:tcPr>
          <w:p w14:paraId="4664C6D0">
            <w:pPr>
              <w:jc w:val="left"/>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w:t>
            </w:r>
          </w:p>
        </w:tc>
      </w:tr>
      <w:tr w14:paraId="4DC08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14:paraId="57C547BE">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w:t>
            </w:r>
          </w:p>
        </w:tc>
        <w:tc>
          <w:tcPr>
            <w:tcW w:w="1843" w:type="dxa"/>
            <w:vAlign w:val="center"/>
          </w:tcPr>
          <w:p w14:paraId="5CFB9C96">
            <w:pPr>
              <w:widowControl/>
              <w:rPr>
                <w:rFonts w:asciiTheme="minorEastAsia" w:hAnsiTheme="minorEastAsia" w:eastAsiaTheme="minorEastAsia"/>
                <w:color w:val="auto"/>
                <w:sz w:val="24"/>
                <w:szCs w:val="24"/>
              </w:rPr>
            </w:pPr>
          </w:p>
        </w:tc>
        <w:tc>
          <w:tcPr>
            <w:tcW w:w="5109" w:type="dxa"/>
            <w:vAlign w:val="center"/>
          </w:tcPr>
          <w:p w14:paraId="77052179">
            <w:pPr>
              <w:jc w:val="left"/>
              <w:rPr>
                <w:rFonts w:asciiTheme="minorEastAsia" w:hAnsiTheme="minorEastAsia" w:eastAsiaTheme="minorEastAsia"/>
                <w:color w:val="auto"/>
                <w:sz w:val="24"/>
                <w:szCs w:val="24"/>
              </w:rPr>
            </w:pPr>
          </w:p>
        </w:tc>
      </w:tr>
      <w:tr w14:paraId="10E7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1AA32D5F">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w:t>
            </w:r>
          </w:p>
        </w:tc>
        <w:tc>
          <w:tcPr>
            <w:tcW w:w="1843" w:type="dxa"/>
            <w:vAlign w:val="center"/>
          </w:tcPr>
          <w:p w14:paraId="6BEA5A34">
            <w:pPr>
              <w:widowControl/>
              <w:rPr>
                <w:rFonts w:asciiTheme="minorEastAsia" w:hAnsiTheme="minorEastAsia" w:eastAsiaTheme="minorEastAsia"/>
                <w:color w:val="auto"/>
                <w:sz w:val="24"/>
                <w:szCs w:val="24"/>
              </w:rPr>
            </w:pPr>
          </w:p>
        </w:tc>
        <w:tc>
          <w:tcPr>
            <w:tcW w:w="5109" w:type="dxa"/>
            <w:vAlign w:val="center"/>
          </w:tcPr>
          <w:p w14:paraId="7A216B5F">
            <w:pPr>
              <w:jc w:val="left"/>
              <w:rPr>
                <w:rFonts w:asciiTheme="minorEastAsia" w:hAnsiTheme="minorEastAsia" w:eastAsiaTheme="minorEastAsia"/>
                <w:color w:val="auto"/>
                <w:sz w:val="24"/>
                <w:szCs w:val="24"/>
              </w:rPr>
            </w:pPr>
          </w:p>
        </w:tc>
      </w:tr>
      <w:tr w14:paraId="64DA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4BDC6982">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w:t>
            </w:r>
          </w:p>
        </w:tc>
        <w:tc>
          <w:tcPr>
            <w:tcW w:w="1843" w:type="dxa"/>
            <w:vAlign w:val="center"/>
          </w:tcPr>
          <w:p w14:paraId="27B3A793">
            <w:pPr>
              <w:widowControl/>
              <w:rPr>
                <w:rFonts w:asciiTheme="minorEastAsia" w:hAnsiTheme="minorEastAsia" w:eastAsiaTheme="minorEastAsia"/>
                <w:color w:val="auto"/>
                <w:sz w:val="24"/>
                <w:szCs w:val="24"/>
              </w:rPr>
            </w:pPr>
          </w:p>
        </w:tc>
        <w:tc>
          <w:tcPr>
            <w:tcW w:w="5109" w:type="dxa"/>
            <w:vAlign w:val="center"/>
          </w:tcPr>
          <w:p w14:paraId="2B68DCD5">
            <w:pPr>
              <w:jc w:val="left"/>
              <w:rPr>
                <w:rFonts w:asciiTheme="minorEastAsia" w:hAnsiTheme="minorEastAsia" w:eastAsiaTheme="minorEastAsia"/>
                <w:color w:val="auto"/>
                <w:sz w:val="24"/>
                <w:szCs w:val="24"/>
              </w:rPr>
            </w:pPr>
          </w:p>
        </w:tc>
      </w:tr>
      <w:tr w14:paraId="1B26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49961DDB">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p>
        </w:tc>
        <w:tc>
          <w:tcPr>
            <w:tcW w:w="1843" w:type="dxa"/>
            <w:vAlign w:val="center"/>
          </w:tcPr>
          <w:p w14:paraId="234EB6AC">
            <w:pPr>
              <w:widowControl/>
              <w:rPr>
                <w:rFonts w:asciiTheme="minorEastAsia" w:hAnsiTheme="minorEastAsia" w:eastAsiaTheme="minorEastAsia"/>
                <w:color w:val="auto"/>
                <w:sz w:val="24"/>
                <w:szCs w:val="24"/>
              </w:rPr>
            </w:pPr>
          </w:p>
        </w:tc>
        <w:tc>
          <w:tcPr>
            <w:tcW w:w="5109" w:type="dxa"/>
            <w:vAlign w:val="center"/>
          </w:tcPr>
          <w:p w14:paraId="2C19AAF3">
            <w:pPr>
              <w:jc w:val="left"/>
              <w:rPr>
                <w:rFonts w:asciiTheme="minorEastAsia" w:hAnsiTheme="minorEastAsia" w:eastAsiaTheme="minorEastAsia"/>
                <w:color w:val="auto"/>
                <w:sz w:val="24"/>
                <w:szCs w:val="24"/>
              </w:rPr>
            </w:pPr>
          </w:p>
        </w:tc>
      </w:tr>
    </w:tbl>
    <w:p w14:paraId="40E26D27">
      <w:pPr>
        <w:pStyle w:val="4"/>
        <w:spacing w:line="300" w:lineRule="auto"/>
        <w:rPr>
          <w:rFonts w:asciiTheme="minorEastAsia" w:hAnsiTheme="minorEastAsia" w:eastAsiaTheme="minorEastAsia"/>
          <w:b w:val="0"/>
          <w:color w:val="auto"/>
          <w:szCs w:val="24"/>
        </w:rPr>
      </w:pPr>
      <w:r>
        <w:rPr>
          <w:rFonts w:hint="eastAsia" w:asciiTheme="minorEastAsia" w:hAnsiTheme="minorEastAsia" w:eastAsiaTheme="minorEastAsia"/>
          <w:b w:val="0"/>
          <w:color w:val="auto"/>
          <w:szCs w:val="24"/>
        </w:rPr>
        <w:t>提示：若招标文件本节表格内容空白，则投标人应根据招标文件相关全部技术要求填写“技术规格偏离表”。</w:t>
      </w:r>
    </w:p>
    <w:p w14:paraId="6DEA041A">
      <w:pPr>
        <w:pStyle w:val="2"/>
        <w:numPr>
          <w:ilvl w:val="0"/>
          <w:numId w:val="0"/>
        </w:numPr>
        <w:rPr>
          <w:color w:val="auto"/>
        </w:rPr>
      </w:pPr>
    </w:p>
    <w:p w14:paraId="36C03E16">
      <w:pPr>
        <w:spacing w:line="360" w:lineRule="auto"/>
        <w:jc w:val="center"/>
        <w:rPr>
          <w:rFonts w:asciiTheme="minorEastAsia" w:hAnsiTheme="minorEastAsia" w:eastAsiaTheme="minorEastAsia"/>
          <w:b/>
          <w:color w:val="auto"/>
          <w:sz w:val="24"/>
          <w:szCs w:val="24"/>
          <w:u w:val="single"/>
        </w:rPr>
      </w:pPr>
    </w:p>
    <w:p w14:paraId="244FBEA2">
      <w:pPr>
        <w:spacing w:line="360" w:lineRule="auto"/>
        <w:jc w:val="center"/>
        <w:rPr>
          <w:rFonts w:asciiTheme="minorEastAsia" w:hAnsiTheme="minorEastAsia" w:eastAsiaTheme="minorEastAsia"/>
          <w:b/>
          <w:color w:val="auto"/>
          <w:sz w:val="24"/>
          <w:szCs w:val="24"/>
          <w:u w:val="single"/>
        </w:rPr>
      </w:pPr>
    </w:p>
    <w:p w14:paraId="20996063">
      <w:pPr>
        <w:spacing w:line="360" w:lineRule="auto"/>
        <w:jc w:val="center"/>
        <w:rPr>
          <w:rFonts w:asciiTheme="minorEastAsia" w:hAnsiTheme="minorEastAsia" w:eastAsiaTheme="minorEastAsia"/>
          <w:b/>
          <w:color w:val="auto"/>
          <w:sz w:val="24"/>
          <w:szCs w:val="24"/>
          <w:u w:val="single"/>
        </w:rPr>
      </w:pPr>
    </w:p>
    <w:p w14:paraId="4CE9E9B7">
      <w:pPr>
        <w:spacing w:line="360" w:lineRule="auto"/>
        <w:jc w:val="center"/>
        <w:rPr>
          <w:rFonts w:asciiTheme="minorEastAsia" w:hAnsiTheme="minorEastAsia" w:eastAsiaTheme="minorEastAsia"/>
          <w:b/>
          <w:color w:val="auto"/>
          <w:sz w:val="24"/>
          <w:szCs w:val="24"/>
          <w:u w:val="single"/>
        </w:rPr>
      </w:pPr>
    </w:p>
    <w:p w14:paraId="57FC4A13">
      <w:pPr>
        <w:spacing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u w:val="single"/>
        </w:rPr>
        <w:t xml:space="preserve">                </w:t>
      </w:r>
      <w:r>
        <w:rPr>
          <w:rFonts w:hint="eastAsia" w:asciiTheme="minorEastAsia" w:hAnsiTheme="minorEastAsia" w:eastAsiaTheme="minorEastAsia"/>
          <w:b/>
          <w:color w:val="auto"/>
          <w:sz w:val="24"/>
          <w:szCs w:val="24"/>
        </w:rPr>
        <w:t>项目投标文件</w:t>
      </w:r>
    </w:p>
    <w:p w14:paraId="3AE0727C">
      <w:pPr>
        <w:spacing w:line="360" w:lineRule="auto"/>
        <w:rPr>
          <w:rFonts w:asciiTheme="minorEastAsia" w:hAnsiTheme="minorEastAsia" w:eastAsiaTheme="minorEastAsia"/>
          <w:b/>
          <w:color w:val="auto"/>
          <w:sz w:val="24"/>
          <w:szCs w:val="24"/>
        </w:rPr>
      </w:pPr>
    </w:p>
    <w:p w14:paraId="163763DC">
      <w:pPr>
        <w:spacing w:line="360" w:lineRule="auto"/>
        <w:jc w:val="center"/>
        <w:rPr>
          <w:rFonts w:asciiTheme="minorEastAsia" w:hAnsiTheme="minorEastAsia" w:eastAsiaTheme="minorEastAsia"/>
          <w:b/>
          <w:color w:val="auto"/>
          <w:sz w:val="24"/>
          <w:szCs w:val="24"/>
        </w:rPr>
      </w:pPr>
    </w:p>
    <w:p w14:paraId="22165A0D">
      <w:pPr>
        <w:spacing w:line="360" w:lineRule="auto"/>
        <w:rPr>
          <w:rFonts w:asciiTheme="minorEastAsia" w:hAnsiTheme="minorEastAsia" w:eastAsiaTheme="minorEastAsia"/>
          <w:b/>
          <w:color w:val="auto"/>
          <w:sz w:val="24"/>
          <w:szCs w:val="24"/>
        </w:rPr>
      </w:pPr>
    </w:p>
    <w:p w14:paraId="315FAD55">
      <w:pPr>
        <w:spacing w:line="360" w:lineRule="auto"/>
        <w:rPr>
          <w:rFonts w:asciiTheme="minorEastAsia" w:hAnsiTheme="minorEastAsia" w:eastAsiaTheme="minorEastAsia"/>
          <w:b/>
          <w:color w:val="auto"/>
          <w:sz w:val="24"/>
          <w:szCs w:val="24"/>
        </w:rPr>
      </w:pPr>
    </w:p>
    <w:p w14:paraId="1668338A">
      <w:pPr>
        <w:spacing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开标一览表</w:t>
      </w:r>
    </w:p>
    <w:p w14:paraId="0C429F7F">
      <w:pPr>
        <w:spacing w:line="360" w:lineRule="auto"/>
        <w:rPr>
          <w:rFonts w:asciiTheme="minorEastAsia" w:hAnsiTheme="minorEastAsia" w:eastAsiaTheme="minorEastAsia"/>
          <w:b/>
          <w:color w:val="auto"/>
          <w:sz w:val="24"/>
          <w:szCs w:val="24"/>
        </w:rPr>
      </w:pPr>
    </w:p>
    <w:p w14:paraId="3220B5EA">
      <w:pPr>
        <w:spacing w:line="360" w:lineRule="auto"/>
        <w:rPr>
          <w:rFonts w:asciiTheme="minorEastAsia" w:hAnsiTheme="minorEastAsia" w:eastAsiaTheme="minorEastAsia"/>
          <w:b/>
          <w:color w:val="auto"/>
          <w:sz w:val="24"/>
          <w:szCs w:val="24"/>
        </w:rPr>
      </w:pPr>
    </w:p>
    <w:p w14:paraId="79DD701D">
      <w:pPr>
        <w:spacing w:line="360" w:lineRule="auto"/>
        <w:rPr>
          <w:rFonts w:asciiTheme="minorEastAsia" w:hAnsiTheme="minorEastAsia" w:eastAsiaTheme="minorEastAsia"/>
          <w:b/>
          <w:color w:val="auto"/>
          <w:sz w:val="24"/>
          <w:szCs w:val="24"/>
        </w:rPr>
      </w:pPr>
    </w:p>
    <w:p w14:paraId="1EA450A2">
      <w:pPr>
        <w:spacing w:line="360" w:lineRule="auto"/>
        <w:rPr>
          <w:rFonts w:asciiTheme="minorEastAsia" w:hAnsiTheme="minorEastAsia" w:eastAsiaTheme="minorEastAsia"/>
          <w:b/>
          <w:color w:val="auto"/>
          <w:sz w:val="24"/>
          <w:szCs w:val="24"/>
        </w:rPr>
      </w:pPr>
    </w:p>
    <w:p w14:paraId="3603297A">
      <w:pPr>
        <w:spacing w:line="360" w:lineRule="auto"/>
        <w:rPr>
          <w:rFonts w:asciiTheme="minorEastAsia" w:hAnsiTheme="minorEastAsia" w:eastAsiaTheme="minorEastAsia"/>
          <w:b/>
          <w:color w:val="auto"/>
          <w:sz w:val="24"/>
          <w:szCs w:val="24"/>
        </w:rPr>
      </w:pPr>
    </w:p>
    <w:p w14:paraId="33551EFD">
      <w:pPr>
        <w:spacing w:line="360" w:lineRule="auto"/>
        <w:rPr>
          <w:rFonts w:asciiTheme="minorEastAsia" w:hAnsiTheme="minorEastAsia" w:eastAsiaTheme="minorEastAsia"/>
          <w:b/>
          <w:color w:val="auto"/>
          <w:sz w:val="24"/>
          <w:szCs w:val="24"/>
        </w:rPr>
      </w:pPr>
    </w:p>
    <w:p w14:paraId="36C2F418">
      <w:pPr>
        <w:spacing w:line="360" w:lineRule="auto"/>
        <w:rPr>
          <w:rFonts w:asciiTheme="minorEastAsia" w:hAnsiTheme="minorEastAsia" w:eastAsiaTheme="minorEastAsia"/>
          <w:b/>
          <w:color w:val="auto"/>
          <w:sz w:val="24"/>
          <w:szCs w:val="24"/>
        </w:rPr>
      </w:pPr>
    </w:p>
    <w:p w14:paraId="257872FA">
      <w:pPr>
        <w:spacing w:line="360" w:lineRule="auto"/>
        <w:rPr>
          <w:rFonts w:asciiTheme="minorEastAsia" w:hAnsiTheme="minorEastAsia" w:eastAsiaTheme="minorEastAsia"/>
          <w:b/>
          <w:color w:val="auto"/>
          <w:sz w:val="24"/>
          <w:szCs w:val="24"/>
        </w:rPr>
      </w:pPr>
    </w:p>
    <w:p w14:paraId="0F2D988C">
      <w:pPr>
        <w:spacing w:line="360" w:lineRule="auto"/>
        <w:ind w:firstLine="1084" w:firstLineChars="450"/>
        <w:jc w:val="left"/>
        <w:rPr>
          <w:rFonts w:asciiTheme="minorEastAsia" w:hAnsiTheme="minorEastAsia" w:eastAsiaTheme="minorEastAsia"/>
          <w:b/>
          <w:color w:val="auto"/>
          <w:sz w:val="24"/>
          <w:szCs w:val="24"/>
          <w:u w:val="single"/>
        </w:rPr>
      </w:pPr>
      <w:r>
        <w:rPr>
          <w:rFonts w:hint="eastAsia" w:asciiTheme="minorEastAsia" w:hAnsiTheme="minorEastAsia" w:eastAsiaTheme="minorEastAsia"/>
          <w:b/>
          <w:color w:val="auto"/>
          <w:sz w:val="24"/>
          <w:szCs w:val="24"/>
        </w:rPr>
        <w:t>采购编号：</w:t>
      </w:r>
      <w:r>
        <w:rPr>
          <w:rFonts w:hint="eastAsia" w:asciiTheme="minorEastAsia" w:hAnsiTheme="minorEastAsia" w:eastAsiaTheme="minorEastAsia"/>
          <w:b/>
          <w:color w:val="auto"/>
          <w:sz w:val="24"/>
          <w:szCs w:val="24"/>
          <w:u w:val="single"/>
        </w:rPr>
        <w:t xml:space="preserve">                            </w:t>
      </w:r>
    </w:p>
    <w:p w14:paraId="548B9C4B">
      <w:pPr>
        <w:spacing w:line="360" w:lineRule="auto"/>
        <w:ind w:firstLine="1084" w:firstLineChars="450"/>
        <w:jc w:val="left"/>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投标人名称（公章)：</w:t>
      </w:r>
      <w:r>
        <w:rPr>
          <w:rFonts w:hint="eastAsia" w:asciiTheme="minorEastAsia" w:hAnsiTheme="minorEastAsia" w:eastAsiaTheme="minorEastAsia"/>
          <w:b/>
          <w:color w:val="auto"/>
          <w:sz w:val="24"/>
          <w:szCs w:val="24"/>
          <w:u w:val="single"/>
        </w:rPr>
        <w:t xml:space="preserve">                   </w:t>
      </w:r>
    </w:p>
    <w:p w14:paraId="7504CDD7">
      <w:pPr>
        <w:spacing w:line="360" w:lineRule="auto"/>
        <w:ind w:firstLine="1084" w:firstLineChars="450"/>
        <w:jc w:val="left"/>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投标人代表（签字）：</w:t>
      </w:r>
      <w:r>
        <w:rPr>
          <w:rFonts w:hint="eastAsia" w:asciiTheme="minorEastAsia" w:hAnsiTheme="minorEastAsia" w:eastAsiaTheme="minorEastAsia"/>
          <w:b/>
          <w:color w:val="auto"/>
          <w:sz w:val="24"/>
          <w:szCs w:val="24"/>
          <w:u w:val="single"/>
        </w:rPr>
        <w:t xml:space="preserve">                    </w:t>
      </w:r>
    </w:p>
    <w:p w14:paraId="509F3343">
      <w:pPr>
        <w:spacing w:line="360" w:lineRule="auto"/>
        <w:ind w:firstLine="1084" w:firstLineChars="450"/>
        <w:jc w:val="left"/>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投标日期：</w:t>
      </w:r>
      <w:r>
        <w:rPr>
          <w:rFonts w:hint="eastAsia" w:asciiTheme="minorEastAsia" w:hAnsiTheme="minorEastAsia" w:eastAsiaTheme="minorEastAsia"/>
          <w:b/>
          <w:color w:val="auto"/>
          <w:sz w:val="24"/>
          <w:szCs w:val="24"/>
          <w:u w:val="single"/>
        </w:rPr>
        <w:t xml:space="preserve">            </w:t>
      </w:r>
      <w:r>
        <w:rPr>
          <w:rFonts w:hint="eastAsia" w:asciiTheme="minorEastAsia" w:hAnsiTheme="minorEastAsia" w:eastAsiaTheme="minorEastAsia"/>
          <w:b/>
          <w:color w:val="auto"/>
          <w:sz w:val="24"/>
          <w:szCs w:val="24"/>
        </w:rPr>
        <w:t xml:space="preserve">年 </w:t>
      </w:r>
      <w:r>
        <w:rPr>
          <w:rFonts w:hint="eastAsia" w:asciiTheme="minorEastAsia" w:hAnsiTheme="minorEastAsia" w:eastAsiaTheme="minorEastAsia"/>
          <w:b/>
          <w:color w:val="auto"/>
          <w:sz w:val="24"/>
          <w:szCs w:val="24"/>
          <w:u w:val="single"/>
        </w:rPr>
        <w:t xml:space="preserve">    </w:t>
      </w:r>
      <w:r>
        <w:rPr>
          <w:rFonts w:hint="eastAsia" w:asciiTheme="minorEastAsia" w:hAnsiTheme="minorEastAsia" w:eastAsiaTheme="minorEastAsia"/>
          <w:b/>
          <w:color w:val="auto"/>
          <w:sz w:val="24"/>
          <w:szCs w:val="24"/>
        </w:rPr>
        <w:t>月</w:t>
      </w:r>
      <w:r>
        <w:rPr>
          <w:rFonts w:hint="eastAsia" w:asciiTheme="minorEastAsia" w:hAnsiTheme="minorEastAsia" w:eastAsiaTheme="minorEastAsia"/>
          <w:b/>
          <w:color w:val="auto"/>
          <w:sz w:val="24"/>
          <w:szCs w:val="24"/>
          <w:u w:val="single"/>
        </w:rPr>
        <w:t xml:space="preserve">      </w:t>
      </w:r>
      <w:r>
        <w:rPr>
          <w:rFonts w:hint="eastAsia" w:asciiTheme="minorEastAsia" w:hAnsiTheme="minorEastAsia" w:eastAsiaTheme="minorEastAsia"/>
          <w:b/>
          <w:color w:val="auto"/>
          <w:sz w:val="24"/>
          <w:szCs w:val="24"/>
        </w:rPr>
        <w:t>日</w:t>
      </w:r>
    </w:p>
    <w:p w14:paraId="6050FDF1">
      <w:pPr>
        <w:spacing w:line="300" w:lineRule="auto"/>
        <w:rPr>
          <w:rFonts w:asciiTheme="minorEastAsia" w:hAnsiTheme="minorEastAsia" w:eastAsiaTheme="minorEastAsia"/>
          <w:color w:val="auto"/>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14:paraId="467DB640">
      <w:pPr>
        <w:spacing w:line="300" w:lineRule="auto"/>
        <w:rPr>
          <w:rFonts w:asciiTheme="minorEastAsia" w:hAnsiTheme="minorEastAsia" w:eastAsiaTheme="minorEastAsia"/>
          <w:b/>
          <w:color w:val="auto"/>
          <w:sz w:val="24"/>
          <w:szCs w:val="24"/>
        </w:rPr>
      </w:pPr>
      <w:r>
        <w:rPr>
          <w:rFonts w:hint="eastAsia" w:asciiTheme="minorEastAsia" w:hAnsiTheme="minorEastAsia" w:eastAsiaTheme="minorEastAsia"/>
          <w:color w:val="auto"/>
          <w:sz w:val="24"/>
          <w:szCs w:val="24"/>
        </w:rPr>
        <w:t xml:space="preserve">开标一览表格式               </w:t>
      </w:r>
    </w:p>
    <w:p w14:paraId="7E08E810">
      <w:pPr>
        <w:pStyle w:val="4"/>
        <w:spacing w:line="300" w:lineRule="auto"/>
        <w:jc w:val="center"/>
        <w:rPr>
          <w:rFonts w:asciiTheme="minorEastAsia" w:hAnsiTheme="minorEastAsia" w:eastAsiaTheme="minorEastAsia"/>
          <w:bCs/>
          <w:color w:val="auto"/>
          <w:szCs w:val="24"/>
        </w:rPr>
      </w:pPr>
      <w:bookmarkStart w:id="3" w:name="_Toc313109512"/>
      <w:bookmarkStart w:id="4" w:name="_Toc309632062"/>
      <w:r>
        <w:rPr>
          <w:rFonts w:hint="eastAsia" w:asciiTheme="minorEastAsia" w:hAnsiTheme="minorEastAsia" w:eastAsiaTheme="minorEastAsia"/>
          <w:bCs/>
          <w:color w:val="auto"/>
          <w:szCs w:val="24"/>
        </w:rPr>
        <w:t>一、开标一览表</w:t>
      </w:r>
      <w:bookmarkEnd w:id="3"/>
      <w:bookmarkEnd w:id="4"/>
    </w:p>
    <w:p w14:paraId="1A603C3E">
      <w:pPr>
        <w:spacing w:line="300" w:lineRule="auto"/>
        <w:rPr>
          <w:rFonts w:asciiTheme="minorEastAsia" w:hAnsiTheme="minorEastAsia" w:eastAsiaTheme="minorEastAsia"/>
          <w:bCs/>
          <w:snapToGrid w:val="0"/>
          <w:color w:val="auto"/>
          <w:kern w:val="0"/>
          <w:sz w:val="24"/>
          <w:szCs w:val="24"/>
        </w:rPr>
      </w:pPr>
      <w:r>
        <w:rPr>
          <w:rFonts w:hint="eastAsia" w:asciiTheme="minorEastAsia" w:hAnsiTheme="minorEastAsia" w:eastAsiaTheme="minorEastAsia"/>
          <w:bCs/>
          <w:snapToGrid w:val="0"/>
          <w:color w:val="auto"/>
          <w:kern w:val="0"/>
          <w:sz w:val="24"/>
          <w:szCs w:val="24"/>
        </w:rPr>
        <w:t xml:space="preserve">               </w:t>
      </w:r>
    </w:p>
    <w:p w14:paraId="20795889">
      <w:pPr>
        <w:spacing w:line="300" w:lineRule="auto"/>
        <w:rPr>
          <w:rFonts w:asciiTheme="minorEastAsia" w:hAnsiTheme="minorEastAsia" w:eastAsiaTheme="minorEastAsia"/>
          <w:bCs/>
          <w:snapToGrid w:val="0"/>
          <w:color w:val="auto"/>
          <w:kern w:val="0"/>
          <w:sz w:val="24"/>
          <w:szCs w:val="24"/>
        </w:rPr>
      </w:pPr>
      <w:r>
        <w:rPr>
          <w:rFonts w:hint="eastAsia" w:asciiTheme="minorEastAsia" w:hAnsiTheme="minorEastAsia" w:eastAsiaTheme="minorEastAsia"/>
          <w:bCs/>
          <w:snapToGrid w:val="0"/>
          <w:color w:val="auto"/>
          <w:kern w:val="0"/>
          <w:sz w:val="24"/>
          <w:szCs w:val="24"/>
        </w:rPr>
        <w:t>项目编号：</w:t>
      </w:r>
      <w:r>
        <w:rPr>
          <w:rFonts w:hint="eastAsia" w:asciiTheme="minorEastAsia" w:hAnsiTheme="minorEastAsia" w:eastAsiaTheme="minorEastAsia"/>
          <w:bCs/>
          <w:snapToGrid w:val="0"/>
          <w:color w:val="auto"/>
          <w:kern w:val="0"/>
          <w:sz w:val="24"/>
          <w:szCs w:val="24"/>
          <w:u w:val="single"/>
        </w:rPr>
        <w:t xml:space="preserve">                     </w:t>
      </w:r>
      <w:r>
        <w:rPr>
          <w:rFonts w:hint="eastAsia" w:asciiTheme="minorEastAsia" w:hAnsiTheme="minorEastAsia" w:eastAsiaTheme="minorEastAsia"/>
          <w:bCs/>
          <w:snapToGrid w:val="0"/>
          <w:color w:val="auto"/>
          <w:kern w:val="0"/>
          <w:sz w:val="24"/>
          <w:szCs w:val="24"/>
        </w:rPr>
        <w:t xml:space="preserve">         </w:t>
      </w:r>
    </w:p>
    <w:p w14:paraId="19D073A4">
      <w:pPr>
        <w:jc w:val="center"/>
        <w:rPr>
          <w:color w:val="auto"/>
          <w:sz w:val="32"/>
          <w:szCs w:val="32"/>
        </w:rPr>
      </w:pPr>
      <w:r>
        <w:rPr>
          <w:rFonts w:hint="eastAsia" w:asciiTheme="minorEastAsia" w:hAnsiTheme="minorEastAsia" w:eastAsiaTheme="minorEastAsia"/>
          <w:bCs/>
          <w:snapToGrid w:val="0"/>
          <w:color w:val="auto"/>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95"/>
        <w:gridCol w:w="3425"/>
        <w:gridCol w:w="2687"/>
      </w:tblGrid>
      <w:tr w14:paraId="12DEB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tcPr>
          <w:p w14:paraId="70C33520">
            <w:pPr>
              <w:jc w:val="center"/>
              <w:rPr>
                <w:color w:val="auto"/>
                <w:szCs w:val="21"/>
              </w:rPr>
            </w:pPr>
            <w:r>
              <w:rPr>
                <w:rFonts w:hint="eastAsia"/>
                <w:color w:val="auto"/>
                <w:szCs w:val="21"/>
              </w:rPr>
              <w:t>项目编号</w:t>
            </w:r>
          </w:p>
        </w:tc>
        <w:tc>
          <w:tcPr>
            <w:tcW w:w="3425" w:type="dxa"/>
          </w:tcPr>
          <w:p w14:paraId="180F3440">
            <w:pPr>
              <w:jc w:val="center"/>
              <w:rPr>
                <w:color w:val="auto"/>
                <w:szCs w:val="21"/>
              </w:rPr>
            </w:pPr>
            <w:r>
              <w:rPr>
                <w:rFonts w:hint="eastAsia"/>
                <w:color w:val="auto"/>
                <w:szCs w:val="21"/>
              </w:rPr>
              <w:t>供应商名称</w:t>
            </w:r>
          </w:p>
        </w:tc>
        <w:tc>
          <w:tcPr>
            <w:tcW w:w="2687" w:type="dxa"/>
          </w:tcPr>
          <w:p w14:paraId="37A9DF9A">
            <w:pPr>
              <w:jc w:val="center"/>
              <w:rPr>
                <w:color w:val="auto"/>
                <w:szCs w:val="21"/>
              </w:rPr>
            </w:pPr>
            <w:r>
              <w:rPr>
                <w:rFonts w:hint="eastAsia"/>
                <w:color w:val="auto"/>
                <w:szCs w:val="21"/>
              </w:rPr>
              <w:t>软件名称</w:t>
            </w:r>
          </w:p>
        </w:tc>
      </w:tr>
      <w:tr w14:paraId="7C244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tcPr>
          <w:p w14:paraId="507C2E8F">
            <w:pPr>
              <w:jc w:val="center"/>
              <w:rPr>
                <w:color w:val="auto"/>
                <w:szCs w:val="21"/>
              </w:rPr>
            </w:pPr>
          </w:p>
        </w:tc>
        <w:tc>
          <w:tcPr>
            <w:tcW w:w="3425" w:type="dxa"/>
          </w:tcPr>
          <w:p w14:paraId="7D0EFA51">
            <w:pPr>
              <w:jc w:val="center"/>
              <w:rPr>
                <w:color w:val="auto"/>
                <w:szCs w:val="21"/>
              </w:rPr>
            </w:pPr>
          </w:p>
        </w:tc>
        <w:tc>
          <w:tcPr>
            <w:tcW w:w="2687" w:type="dxa"/>
          </w:tcPr>
          <w:p w14:paraId="60149C1C">
            <w:pPr>
              <w:jc w:val="center"/>
              <w:rPr>
                <w:color w:val="auto"/>
                <w:szCs w:val="21"/>
              </w:rPr>
            </w:pPr>
          </w:p>
        </w:tc>
      </w:tr>
      <w:tr w14:paraId="72101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tcPr>
          <w:p w14:paraId="450C0A84">
            <w:pPr>
              <w:jc w:val="center"/>
              <w:rPr>
                <w:color w:val="auto"/>
                <w:szCs w:val="21"/>
              </w:rPr>
            </w:pPr>
            <w:r>
              <w:rPr>
                <w:rFonts w:hint="eastAsia"/>
                <w:color w:val="auto"/>
                <w:szCs w:val="21"/>
              </w:rPr>
              <w:t>投标总价（人民币/元）</w:t>
            </w:r>
          </w:p>
        </w:tc>
        <w:tc>
          <w:tcPr>
            <w:tcW w:w="3425" w:type="dxa"/>
          </w:tcPr>
          <w:p w14:paraId="189F520D">
            <w:pPr>
              <w:jc w:val="center"/>
              <w:rPr>
                <w:color w:val="auto"/>
                <w:szCs w:val="21"/>
              </w:rPr>
            </w:pPr>
            <w:r>
              <w:rPr>
                <w:rFonts w:hint="eastAsia"/>
                <w:color w:val="auto"/>
                <w:szCs w:val="21"/>
                <w:lang w:val="en-US" w:eastAsia="zh-CN"/>
              </w:rPr>
              <w:t>实施</w:t>
            </w:r>
            <w:r>
              <w:rPr>
                <w:rFonts w:hint="eastAsia"/>
                <w:color w:val="auto"/>
                <w:szCs w:val="21"/>
              </w:rPr>
              <w:t>日期</w:t>
            </w:r>
          </w:p>
        </w:tc>
        <w:tc>
          <w:tcPr>
            <w:tcW w:w="2687" w:type="dxa"/>
          </w:tcPr>
          <w:p w14:paraId="4B9E7673">
            <w:pPr>
              <w:jc w:val="center"/>
              <w:rPr>
                <w:color w:val="auto"/>
                <w:szCs w:val="21"/>
              </w:rPr>
            </w:pPr>
            <w:r>
              <w:rPr>
                <w:rFonts w:hint="eastAsia"/>
                <w:color w:val="auto"/>
                <w:szCs w:val="21"/>
              </w:rPr>
              <w:t>备注</w:t>
            </w:r>
          </w:p>
        </w:tc>
      </w:tr>
      <w:tr w14:paraId="28D25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tcPr>
          <w:p w14:paraId="6499BA33">
            <w:pPr>
              <w:jc w:val="center"/>
              <w:rPr>
                <w:color w:val="auto"/>
                <w:sz w:val="32"/>
                <w:szCs w:val="32"/>
              </w:rPr>
            </w:pPr>
          </w:p>
        </w:tc>
        <w:tc>
          <w:tcPr>
            <w:tcW w:w="3425" w:type="dxa"/>
          </w:tcPr>
          <w:p w14:paraId="7C796CAF">
            <w:pPr>
              <w:jc w:val="center"/>
              <w:rPr>
                <w:color w:val="auto"/>
                <w:sz w:val="32"/>
                <w:szCs w:val="32"/>
              </w:rPr>
            </w:pPr>
          </w:p>
        </w:tc>
        <w:tc>
          <w:tcPr>
            <w:tcW w:w="2687" w:type="dxa"/>
          </w:tcPr>
          <w:p w14:paraId="3FF9A51F">
            <w:pPr>
              <w:jc w:val="center"/>
              <w:rPr>
                <w:color w:val="auto"/>
                <w:sz w:val="32"/>
                <w:szCs w:val="32"/>
              </w:rPr>
            </w:pPr>
          </w:p>
        </w:tc>
      </w:tr>
    </w:tbl>
    <w:p w14:paraId="5B2B3BED">
      <w:pPr>
        <w:jc w:val="center"/>
        <w:rPr>
          <w:color w:val="auto"/>
          <w:sz w:val="32"/>
          <w:szCs w:val="32"/>
        </w:rPr>
      </w:pPr>
    </w:p>
    <w:p w14:paraId="12B1737A">
      <w:pPr>
        <w:spacing w:line="300" w:lineRule="auto"/>
        <w:rPr>
          <w:rFonts w:asciiTheme="minorEastAsia" w:hAnsiTheme="minorEastAsia" w:eastAsiaTheme="minorEastAsia"/>
          <w:snapToGrid w:val="0"/>
          <w:color w:val="auto"/>
          <w:kern w:val="0"/>
          <w:sz w:val="24"/>
          <w:szCs w:val="24"/>
        </w:rPr>
      </w:pPr>
    </w:p>
    <w:p w14:paraId="6DD7A5D3">
      <w:pPr>
        <w:spacing w:line="360" w:lineRule="auto"/>
        <w:rPr>
          <w:rFonts w:asciiTheme="minorEastAsia" w:hAnsiTheme="minorEastAsia" w:eastAsiaTheme="minorEastAsia"/>
          <w:snapToGrid w:val="0"/>
          <w:color w:val="auto"/>
          <w:kern w:val="0"/>
          <w:sz w:val="24"/>
          <w:szCs w:val="24"/>
        </w:rPr>
      </w:pPr>
      <w:r>
        <w:rPr>
          <w:rFonts w:hint="eastAsia" w:asciiTheme="minorEastAsia" w:hAnsiTheme="minorEastAsia" w:eastAsiaTheme="minorEastAsia"/>
          <w:snapToGrid w:val="0"/>
          <w:color w:val="auto"/>
          <w:kern w:val="0"/>
          <w:sz w:val="24"/>
          <w:szCs w:val="24"/>
        </w:rPr>
        <w:t>注：</w:t>
      </w:r>
    </w:p>
    <w:p w14:paraId="25B90986">
      <w:pPr>
        <w:spacing w:line="360" w:lineRule="auto"/>
        <w:ind w:firstLine="480" w:firstLineChars="200"/>
        <w:rPr>
          <w:rFonts w:asciiTheme="minorEastAsia" w:hAnsiTheme="minorEastAsia" w:eastAsiaTheme="minorEastAsia"/>
          <w:snapToGrid w:val="0"/>
          <w:color w:val="auto"/>
          <w:kern w:val="0"/>
          <w:sz w:val="24"/>
          <w:szCs w:val="24"/>
        </w:rPr>
      </w:pPr>
      <w:r>
        <w:rPr>
          <w:rFonts w:hint="eastAsia" w:asciiTheme="minorEastAsia" w:hAnsiTheme="minorEastAsia" w:eastAsiaTheme="minorEastAsia"/>
          <w:snapToGrid w:val="0"/>
          <w:color w:val="auto"/>
          <w:kern w:val="0"/>
          <w:sz w:val="24"/>
          <w:szCs w:val="24"/>
        </w:rPr>
        <w:t>1、价格应按“采购文件”中规定的货币单位填写。</w:t>
      </w:r>
    </w:p>
    <w:p w14:paraId="77898520">
      <w:pPr>
        <w:spacing w:line="360" w:lineRule="auto"/>
        <w:rPr>
          <w:rFonts w:asciiTheme="minorEastAsia" w:hAnsiTheme="minorEastAsia" w:eastAsiaTheme="minorEastAsia"/>
          <w:snapToGrid w:val="0"/>
          <w:color w:val="auto"/>
          <w:kern w:val="0"/>
          <w:sz w:val="24"/>
          <w:szCs w:val="24"/>
        </w:rPr>
      </w:pPr>
      <w:r>
        <w:rPr>
          <w:rFonts w:hint="eastAsia" w:asciiTheme="minorEastAsia" w:hAnsiTheme="minorEastAsia" w:eastAsiaTheme="minorEastAsia"/>
          <w:snapToGrid w:val="0"/>
          <w:color w:val="auto"/>
          <w:kern w:val="0"/>
          <w:sz w:val="24"/>
          <w:szCs w:val="24"/>
        </w:rPr>
        <w:t xml:space="preserve">    2、投标人如果需要对报价或其它内容加以说明，可在备注栏填写。</w:t>
      </w:r>
    </w:p>
    <w:p w14:paraId="30E94827">
      <w:pPr>
        <w:spacing w:line="360" w:lineRule="auto"/>
        <w:ind w:firstLine="420"/>
        <w:rPr>
          <w:rFonts w:asciiTheme="minorEastAsia" w:hAnsiTheme="minorEastAsia" w:eastAsiaTheme="minorEastAsia"/>
          <w:color w:val="auto"/>
          <w:sz w:val="24"/>
          <w:szCs w:val="24"/>
        </w:rPr>
      </w:pPr>
    </w:p>
    <w:p w14:paraId="44D7C797">
      <w:pPr>
        <w:spacing w:line="360" w:lineRule="auto"/>
        <w:rPr>
          <w:rFonts w:asciiTheme="minorEastAsia" w:hAnsiTheme="minorEastAsia" w:eastAsiaTheme="minorEastAsia"/>
          <w:color w:val="auto"/>
          <w:sz w:val="24"/>
          <w:szCs w:val="24"/>
        </w:rPr>
      </w:pPr>
    </w:p>
    <w:p w14:paraId="785A4176">
      <w:pPr>
        <w:spacing w:line="360" w:lineRule="auto"/>
        <w:rPr>
          <w:rFonts w:asciiTheme="minorEastAsia" w:hAnsiTheme="minorEastAsia" w:eastAsiaTheme="minorEastAsia"/>
          <w:color w:val="auto"/>
          <w:sz w:val="24"/>
          <w:szCs w:val="24"/>
        </w:rPr>
      </w:pPr>
    </w:p>
    <w:p w14:paraId="4E72A83D">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投标人名称（公章）：</w:t>
      </w:r>
      <w:r>
        <w:rPr>
          <w:rFonts w:hint="eastAsia" w:asciiTheme="minorEastAsia" w:hAnsiTheme="minorEastAsia" w:eastAsiaTheme="minorEastAsia"/>
          <w:color w:val="auto"/>
          <w:sz w:val="24"/>
          <w:szCs w:val="24"/>
          <w:u w:val="single"/>
        </w:rPr>
        <w:t>　　　　　　           　</w:t>
      </w:r>
    </w:p>
    <w:p w14:paraId="75E3D526">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w:t>
      </w:r>
    </w:p>
    <w:p w14:paraId="0EDDE59A">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投标人代表（签字)：</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 xml:space="preserve">      </w:t>
      </w:r>
    </w:p>
    <w:p w14:paraId="7AB6854F">
      <w:pPr>
        <w:spacing w:line="360" w:lineRule="auto"/>
        <w:rPr>
          <w:rFonts w:asciiTheme="minorEastAsia" w:hAnsiTheme="minorEastAsia" w:eastAsiaTheme="minorEastAsia"/>
          <w:color w:val="auto"/>
          <w:sz w:val="24"/>
          <w:szCs w:val="24"/>
        </w:rPr>
      </w:pPr>
    </w:p>
    <w:p w14:paraId="4891EF42">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日   期：</w:t>
      </w:r>
      <w:r>
        <w:rPr>
          <w:rFonts w:hint="eastAsia" w:asciiTheme="minorEastAsia" w:hAnsiTheme="minorEastAsia" w:eastAsiaTheme="minorEastAsia"/>
          <w:color w:val="auto"/>
          <w:sz w:val="24"/>
          <w:szCs w:val="24"/>
          <w:u w:val="single"/>
        </w:rPr>
        <w:t xml:space="preserve">                                   </w:t>
      </w:r>
    </w:p>
    <w:p w14:paraId="36C07AA5">
      <w:pPr>
        <w:spacing w:line="300" w:lineRule="auto"/>
        <w:rPr>
          <w:rFonts w:asciiTheme="minorEastAsia" w:hAnsiTheme="minorEastAsia" w:eastAsiaTheme="minorEastAsia"/>
          <w:bCs/>
          <w:color w:val="auto"/>
          <w:sz w:val="24"/>
          <w:szCs w:val="24"/>
        </w:rPr>
      </w:pPr>
    </w:p>
    <w:p w14:paraId="461C1BBF">
      <w:pPr>
        <w:spacing w:line="300" w:lineRule="auto"/>
        <w:rPr>
          <w:rFonts w:asciiTheme="minorEastAsia" w:hAnsiTheme="minorEastAsia" w:eastAsiaTheme="minorEastAsia"/>
          <w:bCs/>
          <w:color w:val="auto"/>
          <w:sz w:val="24"/>
          <w:szCs w:val="24"/>
        </w:rPr>
      </w:pPr>
    </w:p>
    <w:p w14:paraId="36144C49">
      <w:pPr>
        <w:spacing w:line="300" w:lineRule="auto"/>
        <w:rPr>
          <w:rFonts w:asciiTheme="minorEastAsia" w:hAnsiTheme="minorEastAsia" w:eastAsiaTheme="minorEastAsia"/>
          <w:bCs/>
          <w:color w:val="auto"/>
          <w:sz w:val="24"/>
          <w:szCs w:val="24"/>
        </w:rPr>
      </w:pPr>
    </w:p>
    <w:p w14:paraId="17A83386">
      <w:pPr>
        <w:spacing w:line="300" w:lineRule="auto"/>
        <w:rPr>
          <w:rFonts w:asciiTheme="minorEastAsia" w:hAnsiTheme="minorEastAsia" w:eastAsiaTheme="minorEastAsia"/>
          <w:bCs/>
          <w:color w:val="auto"/>
          <w:sz w:val="24"/>
          <w:szCs w:val="24"/>
        </w:rPr>
      </w:pPr>
    </w:p>
    <w:p w14:paraId="5A67BB2D">
      <w:pPr>
        <w:spacing w:line="300" w:lineRule="auto"/>
        <w:rPr>
          <w:rFonts w:asciiTheme="minorEastAsia" w:hAnsiTheme="minorEastAsia" w:eastAsiaTheme="minorEastAsia"/>
          <w:bCs/>
          <w:color w:val="auto"/>
          <w:sz w:val="24"/>
          <w:szCs w:val="24"/>
        </w:rPr>
      </w:pPr>
    </w:p>
    <w:p w14:paraId="701C9F50">
      <w:pPr>
        <w:spacing w:line="300" w:lineRule="auto"/>
        <w:rPr>
          <w:rFonts w:asciiTheme="minorEastAsia" w:hAnsiTheme="minorEastAsia" w:eastAsiaTheme="minorEastAsia"/>
          <w:bCs/>
          <w:color w:val="auto"/>
          <w:sz w:val="24"/>
          <w:szCs w:val="24"/>
        </w:rPr>
      </w:pPr>
    </w:p>
    <w:p w14:paraId="5303C502">
      <w:pPr>
        <w:spacing w:line="300" w:lineRule="auto"/>
        <w:rPr>
          <w:rFonts w:asciiTheme="minorEastAsia" w:hAnsiTheme="minorEastAsia" w:eastAsiaTheme="minorEastAsia"/>
          <w:bCs/>
          <w:color w:val="auto"/>
          <w:sz w:val="24"/>
          <w:szCs w:val="24"/>
        </w:rPr>
      </w:pPr>
    </w:p>
    <w:p w14:paraId="62656F24">
      <w:pPr>
        <w:spacing w:line="300" w:lineRule="auto"/>
        <w:rPr>
          <w:rFonts w:asciiTheme="minorEastAsia" w:hAnsiTheme="minorEastAsia" w:eastAsiaTheme="minorEastAsia"/>
          <w:color w:val="auto"/>
          <w:sz w:val="24"/>
          <w:szCs w:val="24"/>
        </w:rPr>
      </w:pPr>
      <w:bookmarkStart w:id="5" w:name="_Toc201742861"/>
      <w:bookmarkStart w:id="6" w:name="_Toc201401658"/>
      <w:bookmarkStart w:id="7" w:name="_Toc201743116"/>
      <w:bookmarkStart w:id="8" w:name="_Toc201997946"/>
      <w:bookmarkStart w:id="9" w:name="_Toc201719118"/>
    </w:p>
    <w:p w14:paraId="11181627">
      <w:pPr>
        <w:spacing w:line="360" w:lineRule="auto"/>
        <w:ind w:right="-517" w:rightChars="-246" w:firstLine="3132" w:firstLineChars="1300"/>
        <w:rPr>
          <w:rFonts w:asciiTheme="minorEastAsia" w:hAnsiTheme="minorEastAsia" w:eastAsiaTheme="minorEastAsia"/>
          <w:b/>
          <w:snapToGrid w:val="0"/>
          <w:color w:val="auto"/>
          <w:kern w:val="0"/>
          <w:sz w:val="24"/>
          <w:szCs w:val="24"/>
        </w:rPr>
      </w:pPr>
      <w:r>
        <w:rPr>
          <w:rFonts w:hint="eastAsia" w:asciiTheme="minorEastAsia" w:hAnsiTheme="minorEastAsia" w:eastAsiaTheme="minorEastAsia"/>
          <w:b/>
          <w:color w:val="auto"/>
          <w:sz w:val="24"/>
          <w:szCs w:val="24"/>
        </w:rPr>
        <w:t>二、法定代表人授权委托书</w:t>
      </w:r>
    </w:p>
    <w:p w14:paraId="36C5C680">
      <w:pPr>
        <w:pStyle w:val="8"/>
        <w:spacing w:line="400" w:lineRule="exact"/>
        <w:jc w:val="left"/>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本授权书声明：</w:t>
      </w:r>
    </w:p>
    <w:p w14:paraId="79F09CC4">
      <w:pPr>
        <w:spacing w:line="360" w:lineRule="auto"/>
        <w:ind w:firstLine="480" w:firstLineChars="200"/>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注册于</w:t>
      </w:r>
      <w:r>
        <w:rPr>
          <w:rFonts w:hint="eastAsia" w:asciiTheme="minorEastAsia" w:hAnsiTheme="minorEastAsia" w:eastAsiaTheme="minorEastAsia"/>
          <w:bCs/>
          <w:color w:val="auto"/>
          <w:sz w:val="24"/>
          <w:szCs w:val="24"/>
          <w:u w:val="single"/>
        </w:rPr>
        <w:t xml:space="preserve">                      </w:t>
      </w:r>
      <w:r>
        <w:rPr>
          <w:rFonts w:hint="eastAsia" w:asciiTheme="minorEastAsia" w:hAnsiTheme="minorEastAsia" w:eastAsiaTheme="minorEastAsia"/>
          <w:bCs/>
          <w:color w:val="auto"/>
          <w:sz w:val="24"/>
          <w:szCs w:val="24"/>
        </w:rPr>
        <w:t>（公司地址）</w:t>
      </w:r>
      <w:r>
        <w:rPr>
          <w:rFonts w:hint="eastAsia" w:asciiTheme="minorEastAsia" w:hAnsiTheme="minorEastAsia" w:eastAsiaTheme="minorEastAsia"/>
          <w:bCs/>
          <w:color w:val="auto"/>
          <w:sz w:val="24"/>
          <w:szCs w:val="24"/>
          <w:u w:val="single"/>
        </w:rPr>
        <w:t xml:space="preserve">                    </w:t>
      </w:r>
      <w:r>
        <w:rPr>
          <w:rFonts w:hint="eastAsia" w:asciiTheme="minorEastAsia" w:hAnsiTheme="minorEastAsia" w:eastAsiaTheme="minorEastAsia"/>
          <w:bCs/>
          <w:color w:val="auto"/>
          <w:sz w:val="24"/>
          <w:szCs w:val="24"/>
        </w:rPr>
        <w:t>（公司名称）</w:t>
      </w:r>
      <w:r>
        <w:rPr>
          <w:rFonts w:hint="eastAsia" w:asciiTheme="minorEastAsia" w:hAnsiTheme="minorEastAsia" w:eastAsiaTheme="minorEastAsia"/>
          <w:bCs/>
          <w:color w:val="auto"/>
          <w:sz w:val="24"/>
          <w:szCs w:val="24"/>
          <w:u w:val="single"/>
        </w:rPr>
        <w:t xml:space="preserve">                         </w:t>
      </w:r>
      <w:r>
        <w:rPr>
          <w:rFonts w:hint="eastAsia" w:asciiTheme="minorEastAsia" w:hAnsiTheme="minorEastAsia" w:eastAsiaTheme="minorEastAsia"/>
          <w:bCs/>
          <w:color w:val="auto"/>
          <w:sz w:val="24"/>
          <w:szCs w:val="24"/>
        </w:rPr>
        <w:t>（法定代表人姓名、职务）代表本公司授权</w:t>
      </w:r>
      <w:r>
        <w:rPr>
          <w:rFonts w:hint="eastAsia" w:asciiTheme="minorEastAsia" w:hAnsiTheme="minorEastAsia" w:eastAsiaTheme="minorEastAsia"/>
          <w:bCs/>
          <w:color w:val="auto"/>
          <w:sz w:val="24"/>
          <w:szCs w:val="24"/>
          <w:u w:val="single"/>
        </w:rPr>
        <w:t xml:space="preserve">                        </w:t>
      </w:r>
      <w:r>
        <w:rPr>
          <w:rFonts w:hint="eastAsia" w:asciiTheme="minorEastAsia" w:hAnsiTheme="minorEastAsia" w:eastAsiaTheme="minorEastAsia"/>
          <w:bCs/>
          <w:color w:val="auto"/>
          <w:sz w:val="24"/>
          <w:szCs w:val="24"/>
        </w:rPr>
        <w:t>（被授权人的姓名、职务）为本公司的合法代理人，以本公司名义负责处理在深圳市儿童医院软件采购活动中相关谈判采购事务。</w:t>
      </w:r>
    </w:p>
    <w:p w14:paraId="6B31C134">
      <w:pPr>
        <w:spacing w:line="500" w:lineRule="exact"/>
        <w:ind w:firstLine="480" w:firstLineChars="200"/>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本授权书于</w:t>
      </w:r>
      <w:r>
        <w:rPr>
          <w:rFonts w:hint="eastAsia" w:asciiTheme="minorEastAsia" w:hAnsiTheme="minorEastAsia" w:eastAsiaTheme="minorEastAsia"/>
          <w:bCs/>
          <w:color w:val="auto"/>
          <w:sz w:val="24"/>
          <w:szCs w:val="24"/>
          <w:u w:val="single"/>
        </w:rPr>
        <w:t xml:space="preserve">      </w:t>
      </w:r>
      <w:r>
        <w:rPr>
          <w:rFonts w:hint="eastAsia" w:asciiTheme="minorEastAsia" w:hAnsiTheme="minorEastAsia" w:eastAsiaTheme="minorEastAsia"/>
          <w:bCs/>
          <w:color w:val="auto"/>
          <w:sz w:val="24"/>
          <w:szCs w:val="24"/>
        </w:rPr>
        <w:t>年</w:t>
      </w:r>
      <w:r>
        <w:rPr>
          <w:rFonts w:hint="eastAsia" w:asciiTheme="minorEastAsia" w:hAnsiTheme="minorEastAsia" w:eastAsiaTheme="minorEastAsia"/>
          <w:bCs/>
          <w:color w:val="auto"/>
          <w:sz w:val="24"/>
          <w:szCs w:val="24"/>
          <w:u w:val="single"/>
        </w:rPr>
        <w:t xml:space="preserve">   </w:t>
      </w:r>
      <w:r>
        <w:rPr>
          <w:rFonts w:hint="eastAsia" w:asciiTheme="minorEastAsia" w:hAnsiTheme="minorEastAsia" w:eastAsiaTheme="minorEastAsia"/>
          <w:bCs/>
          <w:color w:val="auto"/>
          <w:sz w:val="24"/>
          <w:szCs w:val="24"/>
        </w:rPr>
        <w:t>月</w:t>
      </w:r>
      <w:r>
        <w:rPr>
          <w:rFonts w:hint="eastAsia" w:asciiTheme="minorEastAsia" w:hAnsiTheme="minorEastAsia" w:eastAsiaTheme="minorEastAsia"/>
          <w:bCs/>
          <w:color w:val="auto"/>
          <w:sz w:val="24"/>
          <w:szCs w:val="24"/>
          <w:u w:val="single"/>
        </w:rPr>
        <w:t xml:space="preserve">   </w:t>
      </w:r>
      <w:r>
        <w:rPr>
          <w:rFonts w:hint="eastAsia" w:asciiTheme="minorEastAsia" w:hAnsiTheme="minorEastAsia" w:eastAsiaTheme="minorEastAsia"/>
          <w:bCs/>
          <w:color w:val="auto"/>
          <w:sz w:val="24"/>
          <w:szCs w:val="24"/>
        </w:rPr>
        <w:t>日签字生效，特此声明。</w:t>
      </w:r>
    </w:p>
    <w:p w14:paraId="485C8A59">
      <w:pPr>
        <w:spacing w:line="500" w:lineRule="exact"/>
        <w:ind w:firstLine="480" w:firstLineChars="200"/>
        <w:jc w:val="left"/>
        <w:rPr>
          <w:rFonts w:asciiTheme="minorEastAsia" w:hAnsiTheme="minorEastAsia" w:eastAsiaTheme="minorEastAsia"/>
          <w:bCs/>
          <w:color w:val="auto"/>
          <w:sz w:val="24"/>
          <w:szCs w:val="24"/>
        </w:rPr>
      </w:pPr>
    </w:p>
    <w:p w14:paraId="08F14BEC">
      <w:pPr>
        <w:spacing w:line="360" w:lineRule="auto"/>
        <w:ind w:firstLine="480" w:firstLineChars="200"/>
        <w:rPr>
          <w:rFonts w:asciiTheme="minorEastAsia" w:hAnsiTheme="minorEastAsia" w:eastAsiaTheme="minorEastAsia"/>
          <w:bCs/>
          <w:color w:val="auto"/>
          <w:sz w:val="24"/>
          <w:szCs w:val="24"/>
          <w:u w:val="single"/>
        </w:rPr>
      </w:pPr>
      <w:r>
        <w:rPr>
          <w:rFonts w:hint="eastAsia" w:asciiTheme="minorEastAsia" w:hAnsiTheme="minorEastAsia" w:eastAsiaTheme="minorEastAsia"/>
          <w:bCs/>
          <w:color w:val="auto"/>
          <w:sz w:val="24"/>
          <w:szCs w:val="24"/>
        </w:rPr>
        <w:t>供应商法定代表人签字（盖章）</w:t>
      </w:r>
      <w:r>
        <w:rPr>
          <w:rFonts w:hint="eastAsia" w:asciiTheme="minorEastAsia" w:hAnsiTheme="minorEastAsia" w:eastAsiaTheme="minorEastAsia"/>
          <w:bCs/>
          <w:snapToGrid w:val="0"/>
          <w:color w:val="auto"/>
          <w:kern w:val="0"/>
          <w:sz w:val="24"/>
          <w:szCs w:val="24"/>
        </w:rPr>
        <w:t>：</w:t>
      </w:r>
      <w:r>
        <w:rPr>
          <w:rFonts w:hint="eastAsia" w:asciiTheme="minorEastAsia" w:hAnsiTheme="minorEastAsia" w:eastAsiaTheme="minorEastAsia"/>
          <w:bCs/>
          <w:color w:val="auto"/>
          <w:sz w:val="24"/>
          <w:szCs w:val="24"/>
          <w:u w:val="single"/>
        </w:rPr>
        <w:t xml:space="preserve">                                </w:t>
      </w:r>
    </w:p>
    <w:p w14:paraId="3B18CDB3">
      <w:pPr>
        <w:spacing w:line="360" w:lineRule="auto"/>
        <w:ind w:firstLine="480" w:firstLineChars="200"/>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被授权人签字（盖章）</w:t>
      </w:r>
      <w:r>
        <w:rPr>
          <w:rFonts w:hint="eastAsia" w:asciiTheme="minorEastAsia" w:hAnsiTheme="minorEastAsia" w:eastAsiaTheme="minorEastAsia"/>
          <w:bCs/>
          <w:snapToGrid w:val="0"/>
          <w:color w:val="auto"/>
          <w:kern w:val="0"/>
          <w:sz w:val="24"/>
          <w:szCs w:val="24"/>
        </w:rPr>
        <w:t>：</w:t>
      </w:r>
      <w:r>
        <w:rPr>
          <w:rFonts w:hint="eastAsia" w:asciiTheme="minorEastAsia" w:hAnsiTheme="minorEastAsia" w:eastAsiaTheme="minorEastAsia"/>
          <w:bCs/>
          <w:color w:val="auto"/>
          <w:sz w:val="24"/>
          <w:szCs w:val="24"/>
          <w:u w:val="single"/>
        </w:rPr>
        <w:t xml:space="preserve">                                        </w:t>
      </w:r>
    </w:p>
    <w:p w14:paraId="2752D9F8">
      <w:pPr>
        <w:spacing w:line="360" w:lineRule="auto"/>
        <w:ind w:firstLine="480" w:firstLineChars="200"/>
        <w:rPr>
          <w:rFonts w:asciiTheme="minorEastAsia" w:hAnsiTheme="minorEastAsia" w:eastAsiaTheme="minorEastAsia"/>
          <w:bCs/>
          <w:color w:val="auto"/>
          <w:sz w:val="24"/>
          <w:szCs w:val="24"/>
          <w:u w:val="single"/>
        </w:rPr>
      </w:pPr>
      <w:r>
        <w:rPr>
          <w:rFonts w:hint="eastAsia" w:asciiTheme="minorEastAsia" w:hAnsiTheme="minorEastAsia" w:eastAsiaTheme="minorEastAsia"/>
          <w:bCs/>
          <w:color w:val="auto"/>
          <w:sz w:val="24"/>
          <w:szCs w:val="24"/>
        </w:rPr>
        <w:t>企业公章：</w:t>
      </w:r>
      <w:r>
        <w:rPr>
          <w:rFonts w:hint="eastAsia" w:asciiTheme="minorEastAsia" w:hAnsiTheme="minorEastAsia" w:eastAsiaTheme="minorEastAsia"/>
          <w:bCs/>
          <w:color w:val="auto"/>
          <w:sz w:val="24"/>
          <w:szCs w:val="24"/>
          <w:u w:val="single"/>
        </w:rPr>
        <w:t xml:space="preserve">                                              </w:t>
      </w:r>
    </w:p>
    <w:p w14:paraId="79A4A96E">
      <w:pPr>
        <w:spacing w:line="500" w:lineRule="exact"/>
        <w:ind w:firstLine="555"/>
        <w:jc w:val="left"/>
        <w:rPr>
          <w:rFonts w:asciiTheme="minorEastAsia" w:hAnsiTheme="minorEastAsia" w:eastAsiaTheme="minorEastAsia"/>
          <w:bCs/>
          <w:color w:val="auto"/>
          <w:sz w:val="24"/>
          <w:szCs w:val="24"/>
        </w:rPr>
      </w:pPr>
      <w:r>
        <w:rPr>
          <w:rFonts w:asciiTheme="minorEastAsia" w:hAnsiTheme="minorEastAsia" w:eastAsiaTheme="minorEastAsia"/>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11E55911">
                            <w:pPr>
                              <w:rPr>
                                <w:rFonts w:eastAsia="黑体"/>
                                <w:b/>
                                <w:sz w:val="30"/>
                              </w:rPr>
                            </w:pPr>
                          </w:p>
                          <w:p w14:paraId="5008D0EF">
                            <w:pPr>
                              <w:jc w:val="center"/>
                              <w:rPr>
                                <w:rFonts w:eastAsia="华文中宋"/>
                                <w:b/>
                                <w:sz w:val="28"/>
                              </w:rPr>
                            </w:pPr>
                            <w:r>
                              <w:rPr>
                                <w:rFonts w:hint="eastAsia" w:eastAsia="华文中宋"/>
                                <w:b/>
                                <w:sz w:val="28"/>
                              </w:rPr>
                              <w:t>法人代表</w:t>
                            </w:r>
                          </w:p>
                          <w:p w14:paraId="2C4FA32E">
                            <w:pPr>
                              <w:jc w:val="center"/>
                              <w:rPr>
                                <w:rFonts w:eastAsia="华文中宋"/>
                                <w:b/>
                                <w:sz w:val="28"/>
                              </w:rPr>
                            </w:pPr>
                            <w:r>
                              <w:rPr>
                                <w:rFonts w:hint="eastAsia" w:eastAsia="华文中宋"/>
                                <w:b/>
                                <w:sz w:val="28"/>
                              </w:rPr>
                              <w:t>居民身份证复印件粘贴处</w:t>
                            </w:r>
                          </w:p>
                          <w:p w14:paraId="5ACB01C8">
                            <w:pPr>
                              <w:pStyle w:val="28"/>
                            </w:pPr>
                            <w:r>
                              <w:rPr>
                                <w:rFonts w:hint="eastAsia"/>
                              </w:rPr>
                              <w:t>（请加盖骑缝章）</w:t>
                            </w:r>
                          </w:p>
                          <w:p w14:paraId="7193B80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14:paraId="11E55911">
                      <w:pPr>
                        <w:rPr>
                          <w:rFonts w:eastAsia="黑体"/>
                          <w:b/>
                          <w:sz w:val="30"/>
                        </w:rPr>
                      </w:pPr>
                    </w:p>
                    <w:p w14:paraId="5008D0EF">
                      <w:pPr>
                        <w:jc w:val="center"/>
                        <w:rPr>
                          <w:rFonts w:eastAsia="华文中宋"/>
                          <w:b/>
                          <w:sz w:val="28"/>
                        </w:rPr>
                      </w:pPr>
                      <w:r>
                        <w:rPr>
                          <w:rFonts w:hint="eastAsia" w:eastAsia="华文中宋"/>
                          <w:b/>
                          <w:sz w:val="28"/>
                        </w:rPr>
                        <w:t>法人代表</w:t>
                      </w:r>
                    </w:p>
                    <w:p w14:paraId="2C4FA32E">
                      <w:pPr>
                        <w:jc w:val="center"/>
                        <w:rPr>
                          <w:rFonts w:eastAsia="华文中宋"/>
                          <w:b/>
                          <w:sz w:val="28"/>
                        </w:rPr>
                      </w:pPr>
                      <w:r>
                        <w:rPr>
                          <w:rFonts w:hint="eastAsia" w:eastAsia="华文中宋"/>
                          <w:b/>
                          <w:sz w:val="28"/>
                        </w:rPr>
                        <w:t>居民身份证复印件粘贴处</w:t>
                      </w:r>
                    </w:p>
                    <w:p w14:paraId="5ACB01C8">
                      <w:pPr>
                        <w:pStyle w:val="28"/>
                      </w:pPr>
                      <w:r>
                        <w:rPr>
                          <w:rFonts w:hint="eastAsia"/>
                        </w:rPr>
                        <w:t>（请加盖骑缝章）</w:t>
                      </w:r>
                    </w:p>
                    <w:p w14:paraId="7193B80E">
                      <w:pPr>
                        <w:jc w:val="center"/>
                        <w:rPr>
                          <w:rFonts w:eastAsia="华文中宋"/>
                          <w:sz w:val="28"/>
                        </w:rPr>
                      </w:pPr>
                    </w:p>
                  </w:txbxContent>
                </v:textbox>
              </v:rect>
            </w:pict>
          </mc:Fallback>
        </mc:AlternateContent>
      </w:r>
      <w:r>
        <w:rPr>
          <w:rFonts w:asciiTheme="minorEastAsia" w:hAnsiTheme="minorEastAsia" w:eastAsiaTheme="minorEastAsia"/>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74C7B514">
                            <w:pPr>
                              <w:rPr>
                                <w:rFonts w:eastAsia="黑体"/>
                                <w:b/>
                                <w:sz w:val="30"/>
                              </w:rPr>
                            </w:pPr>
                          </w:p>
                          <w:p w14:paraId="00370733">
                            <w:pPr>
                              <w:jc w:val="center"/>
                              <w:rPr>
                                <w:rFonts w:eastAsia="华文中宋"/>
                                <w:b/>
                                <w:sz w:val="28"/>
                              </w:rPr>
                            </w:pPr>
                            <w:r>
                              <w:rPr>
                                <w:rFonts w:hint="eastAsia" w:eastAsia="华文中宋"/>
                                <w:b/>
                                <w:sz w:val="28"/>
                              </w:rPr>
                              <w:t>被授权人</w:t>
                            </w:r>
                          </w:p>
                          <w:p w14:paraId="145EABB4">
                            <w:pPr>
                              <w:jc w:val="center"/>
                              <w:rPr>
                                <w:rFonts w:eastAsia="华文中宋"/>
                                <w:b/>
                                <w:sz w:val="28"/>
                              </w:rPr>
                            </w:pPr>
                            <w:r>
                              <w:rPr>
                                <w:rFonts w:hint="eastAsia" w:eastAsia="华文中宋"/>
                                <w:b/>
                                <w:sz w:val="28"/>
                              </w:rPr>
                              <w:t>居民身份证复印件粘贴处</w:t>
                            </w:r>
                          </w:p>
                          <w:p w14:paraId="6B2D590E">
                            <w:pPr>
                              <w:pStyle w:val="28"/>
                            </w:pPr>
                            <w:r>
                              <w:rPr>
                                <w:rFonts w:hint="eastAsia"/>
                              </w:rPr>
                              <w:t>（请加盖骑缝章）</w:t>
                            </w:r>
                          </w:p>
                          <w:p w14:paraId="4A21AEC7">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14:paraId="74C7B514">
                      <w:pPr>
                        <w:rPr>
                          <w:rFonts w:eastAsia="黑体"/>
                          <w:b/>
                          <w:sz w:val="30"/>
                        </w:rPr>
                      </w:pPr>
                    </w:p>
                    <w:p w14:paraId="00370733">
                      <w:pPr>
                        <w:jc w:val="center"/>
                        <w:rPr>
                          <w:rFonts w:eastAsia="华文中宋"/>
                          <w:b/>
                          <w:sz w:val="28"/>
                        </w:rPr>
                      </w:pPr>
                      <w:r>
                        <w:rPr>
                          <w:rFonts w:hint="eastAsia" w:eastAsia="华文中宋"/>
                          <w:b/>
                          <w:sz w:val="28"/>
                        </w:rPr>
                        <w:t>被授权人</w:t>
                      </w:r>
                    </w:p>
                    <w:p w14:paraId="145EABB4">
                      <w:pPr>
                        <w:jc w:val="center"/>
                        <w:rPr>
                          <w:rFonts w:eastAsia="华文中宋"/>
                          <w:b/>
                          <w:sz w:val="28"/>
                        </w:rPr>
                      </w:pPr>
                      <w:r>
                        <w:rPr>
                          <w:rFonts w:hint="eastAsia" w:eastAsia="华文中宋"/>
                          <w:b/>
                          <w:sz w:val="28"/>
                        </w:rPr>
                        <w:t>居民身份证复印件粘贴处</w:t>
                      </w:r>
                    </w:p>
                    <w:p w14:paraId="6B2D590E">
                      <w:pPr>
                        <w:pStyle w:val="28"/>
                      </w:pPr>
                      <w:r>
                        <w:rPr>
                          <w:rFonts w:hint="eastAsia"/>
                        </w:rPr>
                        <w:t>（请加盖骑缝章）</w:t>
                      </w:r>
                    </w:p>
                    <w:p w14:paraId="4A21AEC7">
                      <w:pPr>
                        <w:jc w:val="center"/>
                        <w:rPr>
                          <w:rFonts w:eastAsia="华文中宋"/>
                          <w:sz w:val="28"/>
                        </w:rPr>
                      </w:pPr>
                    </w:p>
                  </w:txbxContent>
                </v:textbox>
              </v:rect>
            </w:pict>
          </mc:Fallback>
        </mc:AlternateContent>
      </w:r>
      <w:r>
        <w:rPr>
          <w:rFonts w:asciiTheme="minorEastAsia" w:hAnsiTheme="minorEastAsia" w:eastAsiaTheme="minorEastAsia"/>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7CC05EBF">
                            <w:pPr>
                              <w:rPr>
                                <w:rFonts w:eastAsia="黑体"/>
                                <w:b/>
                                <w:sz w:val="30"/>
                              </w:rPr>
                            </w:pPr>
                          </w:p>
                          <w:p w14:paraId="503A1340">
                            <w:pPr>
                              <w:jc w:val="center"/>
                              <w:rPr>
                                <w:rFonts w:eastAsia="华文中宋"/>
                                <w:b/>
                                <w:sz w:val="28"/>
                              </w:rPr>
                            </w:pPr>
                            <w:r>
                              <w:rPr>
                                <w:rFonts w:hint="eastAsia" w:eastAsia="华文中宋"/>
                                <w:b/>
                                <w:sz w:val="28"/>
                              </w:rPr>
                              <w:t>被授权人</w:t>
                            </w:r>
                          </w:p>
                          <w:p w14:paraId="51471535">
                            <w:pPr>
                              <w:jc w:val="center"/>
                              <w:rPr>
                                <w:rFonts w:eastAsia="华文中宋"/>
                                <w:b/>
                                <w:sz w:val="28"/>
                              </w:rPr>
                            </w:pPr>
                            <w:r>
                              <w:rPr>
                                <w:rFonts w:hint="eastAsia" w:eastAsia="华文中宋"/>
                                <w:b/>
                                <w:sz w:val="28"/>
                              </w:rPr>
                              <w:t>居民身份证复印件粘贴处</w:t>
                            </w:r>
                          </w:p>
                          <w:p w14:paraId="2098A80C">
                            <w:pPr>
                              <w:pStyle w:val="28"/>
                            </w:pPr>
                            <w:r>
                              <w:rPr>
                                <w:rFonts w:hint="eastAsia"/>
                              </w:rPr>
                              <w:t>（请加盖骑缝章）</w:t>
                            </w:r>
                          </w:p>
                          <w:p w14:paraId="2790B115">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14:paraId="7CC05EBF">
                      <w:pPr>
                        <w:rPr>
                          <w:rFonts w:eastAsia="黑体"/>
                          <w:b/>
                          <w:sz w:val="30"/>
                        </w:rPr>
                      </w:pPr>
                    </w:p>
                    <w:p w14:paraId="503A1340">
                      <w:pPr>
                        <w:jc w:val="center"/>
                        <w:rPr>
                          <w:rFonts w:eastAsia="华文中宋"/>
                          <w:b/>
                          <w:sz w:val="28"/>
                        </w:rPr>
                      </w:pPr>
                      <w:r>
                        <w:rPr>
                          <w:rFonts w:hint="eastAsia" w:eastAsia="华文中宋"/>
                          <w:b/>
                          <w:sz w:val="28"/>
                        </w:rPr>
                        <w:t>被授权人</w:t>
                      </w:r>
                    </w:p>
                    <w:p w14:paraId="51471535">
                      <w:pPr>
                        <w:jc w:val="center"/>
                        <w:rPr>
                          <w:rFonts w:eastAsia="华文中宋"/>
                          <w:b/>
                          <w:sz w:val="28"/>
                        </w:rPr>
                      </w:pPr>
                      <w:r>
                        <w:rPr>
                          <w:rFonts w:hint="eastAsia" w:eastAsia="华文中宋"/>
                          <w:b/>
                          <w:sz w:val="28"/>
                        </w:rPr>
                        <w:t>居民身份证复印件粘贴处</w:t>
                      </w:r>
                    </w:p>
                    <w:p w14:paraId="2098A80C">
                      <w:pPr>
                        <w:pStyle w:val="28"/>
                      </w:pPr>
                      <w:r>
                        <w:rPr>
                          <w:rFonts w:hint="eastAsia"/>
                        </w:rPr>
                        <w:t>（请加盖骑缝章）</w:t>
                      </w:r>
                    </w:p>
                    <w:p w14:paraId="2790B115">
                      <w:pPr>
                        <w:jc w:val="center"/>
                        <w:rPr>
                          <w:rFonts w:eastAsia="华文中宋"/>
                          <w:sz w:val="28"/>
                        </w:rPr>
                      </w:pPr>
                    </w:p>
                  </w:txbxContent>
                </v:textbox>
              </v:rect>
            </w:pict>
          </mc:Fallback>
        </mc:AlternateContent>
      </w:r>
      <w:r>
        <w:rPr>
          <w:rFonts w:asciiTheme="minorEastAsia" w:hAnsiTheme="minorEastAsia" w:eastAsiaTheme="minorEastAsia"/>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025598E5">
                            <w:pPr>
                              <w:rPr>
                                <w:rFonts w:eastAsia="黑体"/>
                                <w:b/>
                                <w:sz w:val="30"/>
                              </w:rPr>
                            </w:pPr>
                          </w:p>
                          <w:p w14:paraId="39ECE7FB">
                            <w:pPr>
                              <w:jc w:val="center"/>
                              <w:rPr>
                                <w:rFonts w:eastAsia="华文中宋"/>
                                <w:b/>
                                <w:sz w:val="28"/>
                              </w:rPr>
                            </w:pPr>
                            <w:r>
                              <w:rPr>
                                <w:rFonts w:hint="eastAsia" w:eastAsia="华文中宋"/>
                                <w:b/>
                                <w:sz w:val="28"/>
                              </w:rPr>
                              <w:t>法人代表</w:t>
                            </w:r>
                          </w:p>
                          <w:p w14:paraId="4A3F0D5A">
                            <w:pPr>
                              <w:jc w:val="center"/>
                              <w:rPr>
                                <w:rFonts w:eastAsia="华文中宋"/>
                                <w:b/>
                                <w:sz w:val="28"/>
                              </w:rPr>
                            </w:pPr>
                            <w:r>
                              <w:rPr>
                                <w:rFonts w:hint="eastAsia" w:eastAsia="华文中宋"/>
                                <w:b/>
                                <w:sz w:val="28"/>
                              </w:rPr>
                              <w:t>居民身份证复印件粘贴处</w:t>
                            </w:r>
                          </w:p>
                          <w:p w14:paraId="558770A4">
                            <w:pPr>
                              <w:pStyle w:val="28"/>
                            </w:pPr>
                            <w:r>
                              <w:rPr>
                                <w:rFonts w:hint="eastAsia"/>
                              </w:rPr>
                              <w:t>（请加盖骑缝章）</w:t>
                            </w:r>
                          </w:p>
                          <w:p w14:paraId="5AC553B7">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14:paraId="025598E5">
                      <w:pPr>
                        <w:rPr>
                          <w:rFonts w:eastAsia="黑体"/>
                          <w:b/>
                          <w:sz w:val="30"/>
                        </w:rPr>
                      </w:pPr>
                    </w:p>
                    <w:p w14:paraId="39ECE7FB">
                      <w:pPr>
                        <w:jc w:val="center"/>
                        <w:rPr>
                          <w:rFonts w:eastAsia="华文中宋"/>
                          <w:b/>
                          <w:sz w:val="28"/>
                        </w:rPr>
                      </w:pPr>
                      <w:r>
                        <w:rPr>
                          <w:rFonts w:hint="eastAsia" w:eastAsia="华文中宋"/>
                          <w:b/>
                          <w:sz w:val="28"/>
                        </w:rPr>
                        <w:t>法人代表</w:t>
                      </w:r>
                    </w:p>
                    <w:p w14:paraId="4A3F0D5A">
                      <w:pPr>
                        <w:jc w:val="center"/>
                        <w:rPr>
                          <w:rFonts w:eastAsia="华文中宋"/>
                          <w:b/>
                          <w:sz w:val="28"/>
                        </w:rPr>
                      </w:pPr>
                      <w:r>
                        <w:rPr>
                          <w:rFonts w:hint="eastAsia" w:eastAsia="华文中宋"/>
                          <w:b/>
                          <w:sz w:val="28"/>
                        </w:rPr>
                        <w:t>居民身份证复印件粘贴处</w:t>
                      </w:r>
                    </w:p>
                    <w:p w14:paraId="558770A4">
                      <w:pPr>
                        <w:pStyle w:val="28"/>
                      </w:pPr>
                      <w:r>
                        <w:rPr>
                          <w:rFonts w:hint="eastAsia"/>
                        </w:rPr>
                        <w:t>（请加盖骑缝章）</w:t>
                      </w:r>
                    </w:p>
                    <w:p w14:paraId="5AC553B7">
                      <w:pPr>
                        <w:jc w:val="center"/>
                        <w:rPr>
                          <w:rFonts w:eastAsia="华文中宋"/>
                          <w:sz w:val="28"/>
                        </w:rPr>
                      </w:pPr>
                    </w:p>
                  </w:txbxContent>
                </v:textbox>
              </v:rect>
            </w:pict>
          </mc:Fallback>
        </mc:AlternateContent>
      </w:r>
    </w:p>
    <w:p w14:paraId="08842075">
      <w:pPr>
        <w:spacing w:line="500" w:lineRule="exact"/>
        <w:ind w:firstLine="555"/>
        <w:jc w:val="left"/>
        <w:rPr>
          <w:rFonts w:asciiTheme="minorEastAsia" w:hAnsiTheme="minorEastAsia" w:eastAsiaTheme="minorEastAsia"/>
          <w:bCs/>
          <w:color w:val="auto"/>
          <w:sz w:val="24"/>
          <w:szCs w:val="24"/>
          <w:u w:val="single"/>
        </w:rPr>
      </w:pPr>
    </w:p>
    <w:p w14:paraId="0CF3BDC4">
      <w:pPr>
        <w:spacing w:line="500" w:lineRule="exact"/>
        <w:ind w:firstLine="555"/>
        <w:jc w:val="left"/>
        <w:rPr>
          <w:rFonts w:asciiTheme="minorEastAsia" w:hAnsiTheme="minorEastAsia" w:eastAsiaTheme="minorEastAsia"/>
          <w:bCs/>
          <w:color w:val="auto"/>
          <w:sz w:val="24"/>
          <w:szCs w:val="24"/>
          <w:u w:val="single"/>
        </w:rPr>
      </w:pPr>
    </w:p>
    <w:p w14:paraId="49D447D2">
      <w:pPr>
        <w:spacing w:line="500" w:lineRule="exact"/>
        <w:ind w:firstLine="555"/>
        <w:jc w:val="left"/>
        <w:rPr>
          <w:rFonts w:asciiTheme="minorEastAsia" w:hAnsiTheme="minorEastAsia" w:eastAsiaTheme="minorEastAsia"/>
          <w:bCs/>
          <w:color w:val="auto"/>
          <w:sz w:val="24"/>
          <w:szCs w:val="24"/>
          <w:u w:val="single"/>
        </w:rPr>
      </w:pPr>
    </w:p>
    <w:p w14:paraId="06D707C8">
      <w:pPr>
        <w:tabs>
          <w:tab w:val="left" w:pos="0"/>
        </w:tabs>
        <w:spacing w:line="276" w:lineRule="auto"/>
        <w:jc w:val="left"/>
        <w:rPr>
          <w:rFonts w:asciiTheme="minorEastAsia" w:hAnsiTheme="minorEastAsia" w:eastAsiaTheme="minorEastAsia"/>
          <w:color w:val="auto"/>
          <w:sz w:val="24"/>
          <w:szCs w:val="24"/>
        </w:rPr>
      </w:pPr>
    </w:p>
    <w:p w14:paraId="2B1C30ED">
      <w:pPr>
        <w:rPr>
          <w:rFonts w:asciiTheme="minorEastAsia" w:hAnsiTheme="minorEastAsia" w:eastAsiaTheme="minorEastAsia"/>
          <w:color w:val="auto"/>
          <w:sz w:val="24"/>
          <w:szCs w:val="24"/>
        </w:rPr>
      </w:pPr>
    </w:p>
    <w:p w14:paraId="34D38819">
      <w:pPr>
        <w:rPr>
          <w:rFonts w:asciiTheme="minorEastAsia" w:hAnsiTheme="minorEastAsia" w:eastAsiaTheme="minorEastAsia"/>
          <w:color w:val="auto"/>
          <w:sz w:val="24"/>
          <w:szCs w:val="24"/>
        </w:rPr>
      </w:pPr>
    </w:p>
    <w:p w14:paraId="1F948C8E">
      <w:pPr>
        <w:spacing w:line="300" w:lineRule="auto"/>
        <w:rPr>
          <w:rFonts w:asciiTheme="minorEastAsia" w:hAnsiTheme="minorEastAsia" w:eastAsiaTheme="minorEastAsia"/>
          <w:color w:val="auto"/>
          <w:sz w:val="24"/>
          <w:szCs w:val="24"/>
        </w:rPr>
      </w:pPr>
    </w:p>
    <w:p w14:paraId="36995DED">
      <w:pPr>
        <w:spacing w:line="300" w:lineRule="auto"/>
        <w:rPr>
          <w:rFonts w:asciiTheme="minorEastAsia" w:hAnsiTheme="minorEastAsia" w:eastAsiaTheme="minorEastAsia"/>
          <w:color w:val="auto"/>
          <w:sz w:val="24"/>
          <w:szCs w:val="24"/>
        </w:rPr>
      </w:pPr>
    </w:p>
    <w:p w14:paraId="52397CF1">
      <w:pPr>
        <w:spacing w:line="300" w:lineRule="auto"/>
        <w:rPr>
          <w:rFonts w:asciiTheme="minorEastAsia" w:hAnsiTheme="minorEastAsia" w:eastAsiaTheme="minorEastAsia"/>
          <w:color w:val="auto"/>
          <w:sz w:val="24"/>
          <w:szCs w:val="24"/>
        </w:rPr>
      </w:pPr>
    </w:p>
    <w:p w14:paraId="1515297C">
      <w:pPr>
        <w:spacing w:line="300" w:lineRule="auto"/>
        <w:rPr>
          <w:rFonts w:asciiTheme="minorEastAsia" w:hAnsiTheme="minorEastAsia" w:eastAsiaTheme="minorEastAsia"/>
          <w:color w:val="auto"/>
          <w:sz w:val="24"/>
          <w:szCs w:val="24"/>
        </w:rPr>
      </w:pPr>
    </w:p>
    <w:p w14:paraId="218A6B85">
      <w:pPr>
        <w:spacing w:line="300" w:lineRule="auto"/>
        <w:rPr>
          <w:rFonts w:asciiTheme="minorEastAsia" w:hAnsiTheme="minorEastAsia" w:eastAsiaTheme="minorEastAsia"/>
          <w:color w:val="auto"/>
          <w:sz w:val="24"/>
          <w:szCs w:val="24"/>
        </w:rPr>
      </w:pPr>
    </w:p>
    <w:p w14:paraId="4AD7B93D">
      <w:pPr>
        <w:spacing w:line="300" w:lineRule="auto"/>
        <w:rPr>
          <w:rFonts w:asciiTheme="minorEastAsia" w:hAnsiTheme="minorEastAsia" w:eastAsiaTheme="minorEastAsia"/>
          <w:color w:val="auto"/>
          <w:sz w:val="24"/>
          <w:szCs w:val="24"/>
        </w:rPr>
      </w:pPr>
    </w:p>
    <w:p w14:paraId="207468BF">
      <w:pPr>
        <w:spacing w:line="300" w:lineRule="auto"/>
        <w:rPr>
          <w:rFonts w:asciiTheme="minorEastAsia" w:hAnsiTheme="minorEastAsia" w:eastAsiaTheme="minorEastAsia"/>
          <w:color w:val="auto"/>
          <w:sz w:val="24"/>
          <w:szCs w:val="24"/>
        </w:rPr>
      </w:pPr>
    </w:p>
    <w:p w14:paraId="6E735B17">
      <w:pPr>
        <w:spacing w:line="300" w:lineRule="auto"/>
        <w:rPr>
          <w:rFonts w:asciiTheme="minorEastAsia" w:hAnsiTheme="minorEastAsia" w:eastAsiaTheme="minorEastAsia"/>
          <w:color w:val="auto"/>
          <w:sz w:val="24"/>
          <w:szCs w:val="24"/>
        </w:rPr>
      </w:pPr>
    </w:p>
    <w:p w14:paraId="2D5AB529">
      <w:pPr>
        <w:spacing w:line="300" w:lineRule="auto"/>
        <w:rPr>
          <w:rFonts w:asciiTheme="minorEastAsia" w:hAnsiTheme="minorEastAsia" w:eastAsiaTheme="minorEastAsia"/>
          <w:color w:val="auto"/>
          <w:sz w:val="24"/>
          <w:szCs w:val="24"/>
        </w:rPr>
      </w:pPr>
    </w:p>
    <w:p w14:paraId="4CB3DEA3">
      <w:pPr>
        <w:spacing w:line="300" w:lineRule="auto"/>
        <w:rPr>
          <w:rFonts w:asciiTheme="minorEastAsia" w:hAnsiTheme="minorEastAsia" w:eastAsiaTheme="minorEastAsia"/>
          <w:bCs/>
          <w:color w:val="auto"/>
          <w:sz w:val="24"/>
          <w:szCs w:val="24"/>
        </w:rPr>
        <w:sectPr>
          <w:pgSz w:w="11906" w:h="16838"/>
          <w:pgMar w:top="1701" w:right="1588" w:bottom="1304" w:left="1588" w:header="1247" w:footer="737" w:gutter="0"/>
          <w:cols w:space="425" w:num="1"/>
          <w:docGrid w:linePitch="380" w:charSpace="-4301"/>
        </w:sectPr>
      </w:pPr>
    </w:p>
    <w:bookmarkEnd w:id="5"/>
    <w:bookmarkEnd w:id="6"/>
    <w:bookmarkEnd w:id="7"/>
    <w:bookmarkEnd w:id="8"/>
    <w:bookmarkEnd w:id="9"/>
    <w:p w14:paraId="7A1D29E4">
      <w:pPr>
        <w:spacing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技术规格偏离表格式</w:t>
      </w:r>
    </w:p>
    <w:p w14:paraId="5A2E8CAA">
      <w:pPr>
        <w:spacing w:line="360" w:lineRule="auto"/>
        <w:ind w:firstLine="2983" w:firstLineChars="1238"/>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三、技术规格偏离表</w:t>
      </w:r>
    </w:p>
    <w:p w14:paraId="75920282">
      <w:pPr>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注：▲参数为重要参数，</w:t>
      </w:r>
      <w:r>
        <w:rPr>
          <w:rFonts w:hint="eastAsia" w:asciiTheme="minorEastAsia" w:hAnsiTheme="minorEastAsia" w:eastAsiaTheme="minorEastAsia"/>
          <w:b/>
          <w:color w:val="auto"/>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auto"/>
          <w:sz w:val="24"/>
          <w:szCs w:val="24"/>
        </w:rPr>
        <w:t>不作为废标条款。</w:t>
      </w:r>
    </w:p>
    <w:p w14:paraId="7ACA00ED">
      <w:pPr>
        <w:rPr>
          <w:rFonts w:asciiTheme="minorEastAsia" w:hAnsiTheme="minorEastAsia" w:eastAsiaTheme="minorEastAsia"/>
          <w:color w:val="auto"/>
          <w:sz w:val="24"/>
          <w:szCs w:val="24"/>
        </w:rPr>
      </w:pPr>
    </w:p>
    <w:tbl>
      <w:tblPr>
        <w:tblStyle w:val="14"/>
        <w:tblW w:w="7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2014"/>
        <w:gridCol w:w="1640"/>
        <w:gridCol w:w="1404"/>
      </w:tblGrid>
      <w:tr w14:paraId="30666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816" w:type="dxa"/>
            <w:vAlign w:val="center"/>
          </w:tcPr>
          <w:p w14:paraId="519B897B">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序号</w:t>
            </w:r>
          </w:p>
        </w:tc>
        <w:tc>
          <w:tcPr>
            <w:tcW w:w="1924" w:type="dxa"/>
            <w:vAlign w:val="center"/>
          </w:tcPr>
          <w:p w14:paraId="7B48CFCB">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招标技术要求</w:t>
            </w:r>
          </w:p>
        </w:tc>
        <w:tc>
          <w:tcPr>
            <w:tcW w:w="2014" w:type="dxa"/>
            <w:vAlign w:val="center"/>
          </w:tcPr>
          <w:p w14:paraId="5BE0956C">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投标技术响应</w:t>
            </w:r>
          </w:p>
        </w:tc>
        <w:tc>
          <w:tcPr>
            <w:tcW w:w="1640" w:type="dxa"/>
            <w:vAlign w:val="center"/>
          </w:tcPr>
          <w:p w14:paraId="1E50D549">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偏离情况</w:t>
            </w:r>
          </w:p>
        </w:tc>
        <w:tc>
          <w:tcPr>
            <w:tcW w:w="1404" w:type="dxa"/>
            <w:vAlign w:val="center"/>
          </w:tcPr>
          <w:p w14:paraId="36E68676">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说明</w:t>
            </w:r>
          </w:p>
        </w:tc>
      </w:tr>
      <w:tr w14:paraId="30AE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816" w:type="dxa"/>
          </w:tcPr>
          <w:p w14:paraId="15F8FB1B">
            <w:pPr>
              <w:rPr>
                <w:rFonts w:asciiTheme="minorEastAsia" w:hAnsiTheme="minorEastAsia" w:eastAsiaTheme="minorEastAsia"/>
                <w:color w:val="auto"/>
                <w:sz w:val="24"/>
                <w:szCs w:val="24"/>
              </w:rPr>
            </w:pPr>
          </w:p>
        </w:tc>
        <w:tc>
          <w:tcPr>
            <w:tcW w:w="1924" w:type="dxa"/>
          </w:tcPr>
          <w:p w14:paraId="4CDD2191">
            <w:pPr>
              <w:rPr>
                <w:rFonts w:asciiTheme="minorEastAsia" w:hAnsiTheme="minorEastAsia" w:eastAsiaTheme="minorEastAsia"/>
                <w:color w:val="auto"/>
                <w:sz w:val="24"/>
                <w:szCs w:val="24"/>
              </w:rPr>
            </w:pPr>
          </w:p>
        </w:tc>
        <w:tc>
          <w:tcPr>
            <w:tcW w:w="2014" w:type="dxa"/>
          </w:tcPr>
          <w:p w14:paraId="12D9AC66">
            <w:pPr>
              <w:rPr>
                <w:rFonts w:asciiTheme="minorEastAsia" w:hAnsiTheme="minorEastAsia" w:eastAsiaTheme="minorEastAsia"/>
                <w:color w:val="auto"/>
                <w:sz w:val="24"/>
                <w:szCs w:val="24"/>
              </w:rPr>
            </w:pPr>
          </w:p>
        </w:tc>
        <w:tc>
          <w:tcPr>
            <w:tcW w:w="1640" w:type="dxa"/>
          </w:tcPr>
          <w:p w14:paraId="71CE690B">
            <w:pPr>
              <w:rPr>
                <w:rFonts w:asciiTheme="minorEastAsia" w:hAnsiTheme="minorEastAsia" w:eastAsiaTheme="minorEastAsia"/>
                <w:color w:val="auto"/>
                <w:sz w:val="24"/>
                <w:szCs w:val="24"/>
              </w:rPr>
            </w:pPr>
          </w:p>
        </w:tc>
        <w:tc>
          <w:tcPr>
            <w:tcW w:w="1404" w:type="dxa"/>
          </w:tcPr>
          <w:p w14:paraId="3B9478B2">
            <w:pPr>
              <w:rPr>
                <w:rFonts w:asciiTheme="minorEastAsia" w:hAnsiTheme="minorEastAsia" w:eastAsiaTheme="minorEastAsia"/>
                <w:color w:val="auto"/>
                <w:sz w:val="24"/>
                <w:szCs w:val="24"/>
              </w:rPr>
            </w:pPr>
          </w:p>
        </w:tc>
      </w:tr>
      <w:tr w14:paraId="0576C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816" w:type="dxa"/>
          </w:tcPr>
          <w:p w14:paraId="29A890D5">
            <w:pPr>
              <w:rPr>
                <w:rFonts w:asciiTheme="minorEastAsia" w:hAnsiTheme="minorEastAsia" w:eastAsiaTheme="minorEastAsia"/>
                <w:color w:val="auto"/>
                <w:sz w:val="24"/>
                <w:szCs w:val="24"/>
              </w:rPr>
            </w:pPr>
          </w:p>
        </w:tc>
        <w:tc>
          <w:tcPr>
            <w:tcW w:w="1924" w:type="dxa"/>
          </w:tcPr>
          <w:p w14:paraId="74B693BD">
            <w:pPr>
              <w:rPr>
                <w:rFonts w:asciiTheme="minorEastAsia" w:hAnsiTheme="minorEastAsia" w:eastAsiaTheme="minorEastAsia"/>
                <w:color w:val="auto"/>
                <w:sz w:val="24"/>
                <w:szCs w:val="24"/>
              </w:rPr>
            </w:pPr>
          </w:p>
        </w:tc>
        <w:tc>
          <w:tcPr>
            <w:tcW w:w="2014" w:type="dxa"/>
          </w:tcPr>
          <w:p w14:paraId="51E28128">
            <w:pPr>
              <w:rPr>
                <w:rFonts w:asciiTheme="minorEastAsia" w:hAnsiTheme="minorEastAsia" w:eastAsiaTheme="minorEastAsia"/>
                <w:color w:val="auto"/>
                <w:sz w:val="24"/>
                <w:szCs w:val="24"/>
              </w:rPr>
            </w:pPr>
          </w:p>
        </w:tc>
        <w:tc>
          <w:tcPr>
            <w:tcW w:w="1640" w:type="dxa"/>
          </w:tcPr>
          <w:p w14:paraId="27B8440E">
            <w:pPr>
              <w:rPr>
                <w:rFonts w:asciiTheme="minorEastAsia" w:hAnsiTheme="minorEastAsia" w:eastAsiaTheme="minorEastAsia"/>
                <w:color w:val="auto"/>
                <w:sz w:val="24"/>
                <w:szCs w:val="24"/>
              </w:rPr>
            </w:pPr>
          </w:p>
        </w:tc>
        <w:tc>
          <w:tcPr>
            <w:tcW w:w="1404" w:type="dxa"/>
          </w:tcPr>
          <w:p w14:paraId="0815635A">
            <w:pPr>
              <w:rPr>
                <w:rFonts w:asciiTheme="minorEastAsia" w:hAnsiTheme="minorEastAsia" w:eastAsiaTheme="minorEastAsia"/>
                <w:color w:val="auto"/>
                <w:sz w:val="24"/>
                <w:szCs w:val="24"/>
              </w:rPr>
            </w:pPr>
          </w:p>
        </w:tc>
      </w:tr>
      <w:tr w14:paraId="677C8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816" w:type="dxa"/>
          </w:tcPr>
          <w:p w14:paraId="49B50499">
            <w:pPr>
              <w:rPr>
                <w:rFonts w:asciiTheme="minorEastAsia" w:hAnsiTheme="minorEastAsia" w:eastAsiaTheme="minorEastAsia"/>
                <w:color w:val="auto"/>
                <w:sz w:val="24"/>
                <w:szCs w:val="24"/>
              </w:rPr>
            </w:pPr>
          </w:p>
        </w:tc>
        <w:tc>
          <w:tcPr>
            <w:tcW w:w="1924" w:type="dxa"/>
          </w:tcPr>
          <w:p w14:paraId="67D07C24">
            <w:pPr>
              <w:rPr>
                <w:rFonts w:asciiTheme="minorEastAsia" w:hAnsiTheme="minorEastAsia" w:eastAsiaTheme="minorEastAsia"/>
                <w:color w:val="auto"/>
                <w:sz w:val="24"/>
                <w:szCs w:val="24"/>
              </w:rPr>
            </w:pPr>
          </w:p>
        </w:tc>
        <w:tc>
          <w:tcPr>
            <w:tcW w:w="2014" w:type="dxa"/>
          </w:tcPr>
          <w:p w14:paraId="084F50A9">
            <w:pPr>
              <w:rPr>
                <w:rFonts w:asciiTheme="minorEastAsia" w:hAnsiTheme="minorEastAsia" w:eastAsiaTheme="minorEastAsia"/>
                <w:color w:val="auto"/>
                <w:sz w:val="24"/>
                <w:szCs w:val="24"/>
              </w:rPr>
            </w:pPr>
          </w:p>
        </w:tc>
        <w:tc>
          <w:tcPr>
            <w:tcW w:w="1640" w:type="dxa"/>
          </w:tcPr>
          <w:p w14:paraId="4B06CCAB">
            <w:pPr>
              <w:rPr>
                <w:rFonts w:asciiTheme="minorEastAsia" w:hAnsiTheme="minorEastAsia" w:eastAsiaTheme="minorEastAsia"/>
                <w:color w:val="auto"/>
                <w:sz w:val="24"/>
                <w:szCs w:val="24"/>
              </w:rPr>
            </w:pPr>
          </w:p>
        </w:tc>
        <w:tc>
          <w:tcPr>
            <w:tcW w:w="1404" w:type="dxa"/>
          </w:tcPr>
          <w:p w14:paraId="3E4C30E1">
            <w:pPr>
              <w:rPr>
                <w:rFonts w:asciiTheme="minorEastAsia" w:hAnsiTheme="minorEastAsia" w:eastAsiaTheme="minorEastAsia"/>
                <w:color w:val="auto"/>
                <w:sz w:val="24"/>
                <w:szCs w:val="24"/>
              </w:rPr>
            </w:pPr>
          </w:p>
        </w:tc>
      </w:tr>
      <w:tr w14:paraId="790F4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816" w:type="dxa"/>
          </w:tcPr>
          <w:p w14:paraId="7E3CE12F">
            <w:pPr>
              <w:rPr>
                <w:rFonts w:asciiTheme="minorEastAsia" w:hAnsiTheme="minorEastAsia" w:eastAsiaTheme="minorEastAsia"/>
                <w:color w:val="auto"/>
                <w:sz w:val="24"/>
                <w:szCs w:val="24"/>
              </w:rPr>
            </w:pPr>
          </w:p>
        </w:tc>
        <w:tc>
          <w:tcPr>
            <w:tcW w:w="1924" w:type="dxa"/>
          </w:tcPr>
          <w:p w14:paraId="684AAD68">
            <w:pPr>
              <w:rPr>
                <w:rFonts w:asciiTheme="minorEastAsia" w:hAnsiTheme="minorEastAsia" w:eastAsiaTheme="minorEastAsia"/>
                <w:color w:val="auto"/>
                <w:sz w:val="24"/>
                <w:szCs w:val="24"/>
              </w:rPr>
            </w:pPr>
          </w:p>
        </w:tc>
        <w:tc>
          <w:tcPr>
            <w:tcW w:w="2014" w:type="dxa"/>
          </w:tcPr>
          <w:p w14:paraId="2E6DB3F3">
            <w:pPr>
              <w:rPr>
                <w:rFonts w:asciiTheme="minorEastAsia" w:hAnsiTheme="minorEastAsia" w:eastAsiaTheme="minorEastAsia"/>
                <w:color w:val="auto"/>
                <w:sz w:val="24"/>
                <w:szCs w:val="24"/>
              </w:rPr>
            </w:pPr>
          </w:p>
        </w:tc>
        <w:tc>
          <w:tcPr>
            <w:tcW w:w="1640" w:type="dxa"/>
          </w:tcPr>
          <w:p w14:paraId="7F4A07CC">
            <w:pPr>
              <w:rPr>
                <w:rFonts w:asciiTheme="minorEastAsia" w:hAnsiTheme="minorEastAsia" w:eastAsiaTheme="minorEastAsia"/>
                <w:color w:val="auto"/>
                <w:sz w:val="24"/>
                <w:szCs w:val="24"/>
              </w:rPr>
            </w:pPr>
          </w:p>
        </w:tc>
        <w:tc>
          <w:tcPr>
            <w:tcW w:w="1404" w:type="dxa"/>
          </w:tcPr>
          <w:p w14:paraId="30488132">
            <w:pPr>
              <w:rPr>
                <w:rFonts w:asciiTheme="minorEastAsia" w:hAnsiTheme="minorEastAsia" w:eastAsiaTheme="minorEastAsia"/>
                <w:color w:val="auto"/>
                <w:sz w:val="24"/>
                <w:szCs w:val="24"/>
              </w:rPr>
            </w:pPr>
          </w:p>
        </w:tc>
      </w:tr>
    </w:tbl>
    <w:p w14:paraId="54AE41BD">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提示：</w:t>
      </w:r>
    </w:p>
    <w:p w14:paraId="2F4D3F83">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1、“招标技术要求”一栏应填写招标文件“具体技术要求”的内容。如“具体技术要求”内容空白，则“招标技术要求”一栏应填写招标文件相关的全部技术要求内容)</w:t>
      </w:r>
    </w:p>
    <w:p w14:paraId="0A77B0E8">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2、“投标技术响应”一栏必须详细填写投标产品的具体参数，并应对照招标技术要求一一对应响应。</w:t>
      </w:r>
    </w:p>
    <w:p w14:paraId="53D223F4">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3、“偏离情况”一栏应如实填写“正偏离”、“负偏离”或“无偏离”。</w:t>
      </w:r>
    </w:p>
    <w:p w14:paraId="0CEEFD29">
      <w:pPr>
        <w:spacing w:line="360" w:lineRule="auto"/>
        <w:jc w:val="left"/>
        <w:rPr>
          <w:rFonts w:asciiTheme="minorEastAsia" w:hAnsiTheme="minorEastAsia" w:eastAsiaTheme="minorEastAsia"/>
          <w:color w:val="auto"/>
          <w:sz w:val="24"/>
          <w:szCs w:val="24"/>
        </w:rPr>
      </w:pPr>
      <w:bookmarkStart w:id="10" w:name="_Toc313109527"/>
    </w:p>
    <w:p w14:paraId="3439500D">
      <w:pPr>
        <w:pStyle w:val="2"/>
        <w:rPr>
          <w:rFonts w:asciiTheme="minorEastAsia" w:hAnsiTheme="minorEastAsia" w:eastAsiaTheme="minorEastAsia"/>
          <w:color w:val="auto"/>
          <w:sz w:val="24"/>
          <w:szCs w:val="24"/>
        </w:rPr>
      </w:pPr>
    </w:p>
    <w:p w14:paraId="7E12A58F">
      <w:pPr>
        <w:rPr>
          <w:rFonts w:asciiTheme="minorEastAsia" w:hAnsiTheme="minorEastAsia" w:eastAsiaTheme="minorEastAsia"/>
          <w:color w:val="auto"/>
          <w:sz w:val="24"/>
          <w:szCs w:val="24"/>
        </w:rPr>
      </w:pPr>
    </w:p>
    <w:p w14:paraId="3F134AB3">
      <w:pPr>
        <w:pStyle w:val="2"/>
        <w:rPr>
          <w:rFonts w:asciiTheme="minorEastAsia" w:hAnsiTheme="minorEastAsia" w:eastAsiaTheme="minorEastAsia"/>
          <w:color w:val="auto"/>
          <w:sz w:val="24"/>
          <w:szCs w:val="24"/>
        </w:rPr>
      </w:pPr>
    </w:p>
    <w:p w14:paraId="21B3977B">
      <w:pPr>
        <w:rPr>
          <w:rFonts w:asciiTheme="minorEastAsia" w:hAnsiTheme="minorEastAsia" w:eastAsiaTheme="minorEastAsia"/>
          <w:color w:val="auto"/>
          <w:sz w:val="24"/>
          <w:szCs w:val="24"/>
        </w:rPr>
      </w:pPr>
    </w:p>
    <w:p w14:paraId="4AB219F1">
      <w:pPr>
        <w:pStyle w:val="2"/>
        <w:rPr>
          <w:rFonts w:asciiTheme="minorEastAsia" w:hAnsiTheme="minorEastAsia" w:eastAsiaTheme="minorEastAsia"/>
          <w:color w:val="auto"/>
          <w:sz w:val="24"/>
          <w:szCs w:val="24"/>
        </w:rPr>
      </w:pPr>
    </w:p>
    <w:p w14:paraId="405C0E0C">
      <w:pPr>
        <w:rPr>
          <w:rFonts w:asciiTheme="minorEastAsia" w:hAnsiTheme="minorEastAsia" w:eastAsiaTheme="minorEastAsia"/>
          <w:color w:val="auto"/>
          <w:sz w:val="24"/>
          <w:szCs w:val="24"/>
        </w:rPr>
      </w:pPr>
    </w:p>
    <w:p w14:paraId="3C98F71A">
      <w:pPr>
        <w:rPr>
          <w:color w:val="auto"/>
        </w:rPr>
      </w:pPr>
    </w:p>
    <w:p w14:paraId="1EE9092C">
      <w:pPr>
        <w:spacing w:line="360" w:lineRule="auto"/>
        <w:jc w:val="left"/>
        <w:rPr>
          <w:rFonts w:hint="eastAsia" w:asciiTheme="minorEastAsia" w:hAnsiTheme="minorEastAsia" w:eastAsiaTheme="minorEastAsia"/>
          <w:color w:val="auto"/>
          <w:sz w:val="24"/>
          <w:szCs w:val="24"/>
        </w:rPr>
      </w:pPr>
    </w:p>
    <w:p w14:paraId="172F92A4">
      <w:pPr>
        <w:spacing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商务需求偏离表格式</w:t>
      </w:r>
    </w:p>
    <w:p w14:paraId="0691D297">
      <w:pPr>
        <w:spacing w:line="360" w:lineRule="auto"/>
        <w:jc w:val="center"/>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四、商务需求偏离表</w:t>
      </w:r>
      <w:bookmarkEnd w:id="10"/>
    </w:p>
    <w:p w14:paraId="0CE9819C">
      <w:pPr>
        <w:pStyle w:val="21"/>
        <w:jc w:val="left"/>
        <w:rPr>
          <w:rFonts w:asciiTheme="minorEastAsia" w:hAnsiTheme="minorEastAsia" w:eastAsiaTheme="minorEastAsia"/>
          <w:color w:val="auto"/>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14:paraId="45A0D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14:paraId="2A37EF59">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序号</w:t>
            </w:r>
          </w:p>
        </w:tc>
        <w:tc>
          <w:tcPr>
            <w:tcW w:w="1080" w:type="dxa"/>
            <w:vAlign w:val="center"/>
          </w:tcPr>
          <w:p w14:paraId="02CF817E">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目录</w:t>
            </w:r>
          </w:p>
        </w:tc>
        <w:tc>
          <w:tcPr>
            <w:tcW w:w="1980" w:type="dxa"/>
            <w:vAlign w:val="center"/>
          </w:tcPr>
          <w:p w14:paraId="4057651B">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招标商务条款</w:t>
            </w:r>
          </w:p>
        </w:tc>
        <w:tc>
          <w:tcPr>
            <w:tcW w:w="1980" w:type="dxa"/>
            <w:vAlign w:val="center"/>
          </w:tcPr>
          <w:p w14:paraId="40CB7598">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投标商务条款</w:t>
            </w:r>
          </w:p>
        </w:tc>
        <w:tc>
          <w:tcPr>
            <w:tcW w:w="1440" w:type="dxa"/>
            <w:vAlign w:val="center"/>
          </w:tcPr>
          <w:p w14:paraId="69296BEB">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偏离情况</w:t>
            </w:r>
          </w:p>
        </w:tc>
        <w:tc>
          <w:tcPr>
            <w:tcW w:w="1620" w:type="dxa"/>
            <w:vAlign w:val="center"/>
          </w:tcPr>
          <w:p w14:paraId="67242157">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说明</w:t>
            </w:r>
          </w:p>
        </w:tc>
      </w:tr>
      <w:tr w14:paraId="75C0A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0101815E">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（一）免费保修期内售后服务条款偏离表</w:t>
            </w:r>
          </w:p>
        </w:tc>
      </w:tr>
      <w:tr w14:paraId="30DE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45F3D67F">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p>
        </w:tc>
        <w:tc>
          <w:tcPr>
            <w:tcW w:w="1080" w:type="dxa"/>
          </w:tcPr>
          <w:p w14:paraId="1789FD11">
            <w:pPr>
              <w:rPr>
                <w:rFonts w:asciiTheme="minorEastAsia" w:hAnsiTheme="minorEastAsia" w:eastAsiaTheme="minorEastAsia"/>
                <w:color w:val="auto"/>
                <w:sz w:val="24"/>
                <w:szCs w:val="24"/>
              </w:rPr>
            </w:pPr>
          </w:p>
        </w:tc>
        <w:tc>
          <w:tcPr>
            <w:tcW w:w="1980" w:type="dxa"/>
          </w:tcPr>
          <w:p w14:paraId="5BED5377">
            <w:pPr>
              <w:rPr>
                <w:rFonts w:asciiTheme="minorEastAsia" w:hAnsiTheme="minorEastAsia" w:eastAsiaTheme="minorEastAsia"/>
                <w:color w:val="auto"/>
                <w:sz w:val="24"/>
                <w:szCs w:val="24"/>
              </w:rPr>
            </w:pPr>
          </w:p>
        </w:tc>
        <w:tc>
          <w:tcPr>
            <w:tcW w:w="1980" w:type="dxa"/>
          </w:tcPr>
          <w:p w14:paraId="0FE61242">
            <w:pPr>
              <w:rPr>
                <w:rFonts w:asciiTheme="minorEastAsia" w:hAnsiTheme="minorEastAsia" w:eastAsiaTheme="minorEastAsia"/>
                <w:color w:val="auto"/>
                <w:sz w:val="24"/>
                <w:szCs w:val="24"/>
              </w:rPr>
            </w:pPr>
          </w:p>
        </w:tc>
        <w:tc>
          <w:tcPr>
            <w:tcW w:w="1440" w:type="dxa"/>
          </w:tcPr>
          <w:p w14:paraId="091668D0">
            <w:pPr>
              <w:rPr>
                <w:rFonts w:asciiTheme="minorEastAsia" w:hAnsiTheme="minorEastAsia" w:eastAsiaTheme="minorEastAsia"/>
                <w:color w:val="auto"/>
                <w:sz w:val="24"/>
                <w:szCs w:val="24"/>
              </w:rPr>
            </w:pPr>
          </w:p>
        </w:tc>
        <w:tc>
          <w:tcPr>
            <w:tcW w:w="1620" w:type="dxa"/>
          </w:tcPr>
          <w:p w14:paraId="5E36AF18">
            <w:pPr>
              <w:rPr>
                <w:rFonts w:asciiTheme="minorEastAsia" w:hAnsiTheme="minorEastAsia" w:eastAsiaTheme="minorEastAsia"/>
                <w:color w:val="auto"/>
                <w:sz w:val="24"/>
                <w:szCs w:val="24"/>
              </w:rPr>
            </w:pPr>
          </w:p>
        </w:tc>
      </w:tr>
      <w:tr w14:paraId="15374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66B4803A">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w:t>
            </w:r>
          </w:p>
        </w:tc>
        <w:tc>
          <w:tcPr>
            <w:tcW w:w="1080" w:type="dxa"/>
          </w:tcPr>
          <w:p w14:paraId="4797EB15">
            <w:pPr>
              <w:rPr>
                <w:rFonts w:asciiTheme="minorEastAsia" w:hAnsiTheme="minorEastAsia" w:eastAsiaTheme="minorEastAsia"/>
                <w:color w:val="auto"/>
                <w:sz w:val="24"/>
                <w:szCs w:val="24"/>
              </w:rPr>
            </w:pPr>
          </w:p>
        </w:tc>
        <w:tc>
          <w:tcPr>
            <w:tcW w:w="1980" w:type="dxa"/>
          </w:tcPr>
          <w:p w14:paraId="7DFD4E48">
            <w:pPr>
              <w:rPr>
                <w:rFonts w:asciiTheme="minorEastAsia" w:hAnsiTheme="minorEastAsia" w:eastAsiaTheme="minorEastAsia"/>
                <w:color w:val="auto"/>
                <w:sz w:val="24"/>
                <w:szCs w:val="24"/>
              </w:rPr>
            </w:pPr>
          </w:p>
        </w:tc>
        <w:tc>
          <w:tcPr>
            <w:tcW w:w="1980" w:type="dxa"/>
          </w:tcPr>
          <w:p w14:paraId="2F42AC7E">
            <w:pPr>
              <w:rPr>
                <w:rFonts w:asciiTheme="minorEastAsia" w:hAnsiTheme="minorEastAsia" w:eastAsiaTheme="minorEastAsia"/>
                <w:color w:val="auto"/>
                <w:sz w:val="24"/>
                <w:szCs w:val="24"/>
              </w:rPr>
            </w:pPr>
          </w:p>
        </w:tc>
        <w:tc>
          <w:tcPr>
            <w:tcW w:w="1440" w:type="dxa"/>
          </w:tcPr>
          <w:p w14:paraId="4CA1D7C1">
            <w:pPr>
              <w:rPr>
                <w:rFonts w:asciiTheme="minorEastAsia" w:hAnsiTheme="minorEastAsia" w:eastAsiaTheme="minorEastAsia"/>
                <w:color w:val="auto"/>
                <w:sz w:val="24"/>
                <w:szCs w:val="24"/>
              </w:rPr>
            </w:pPr>
          </w:p>
        </w:tc>
        <w:tc>
          <w:tcPr>
            <w:tcW w:w="1620" w:type="dxa"/>
          </w:tcPr>
          <w:p w14:paraId="3F4F1A77">
            <w:pPr>
              <w:rPr>
                <w:rFonts w:asciiTheme="minorEastAsia" w:hAnsiTheme="minorEastAsia" w:eastAsiaTheme="minorEastAsia"/>
                <w:color w:val="auto"/>
                <w:sz w:val="24"/>
                <w:szCs w:val="24"/>
              </w:rPr>
            </w:pPr>
          </w:p>
        </w:tc>
      </w:tr>
      <w:tr w14:paraId="3ABA6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22F16D7">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p>
        </w:tc>
        <w:tc>
          <w:tcPr>
            <w:tcW w:w="1080" w:type="dxa"/>
          </w:tcPr>
          <w:p w14:paraId="51C317CB">
            <w:pPr>
              <w:rPr>
                <w:rFonts w:asciiTheme="minorEastAsia" w:hAnsiTheme="minorEastAsia" w:eastAsiaTheme="minorEastAsia"/>
                <w:color w:val="auto"/>
                <w:sz w:val="24"/>
                <w:szCs w:val="24"/>
              </w:rPr>
            </w:pPr>
          </w:p>
        </w:tc>
        <w:tc>
          <w:tcPr>
            <w:tcW w:w="1980" w:type="dxa"/>
          </w:tcPr>
          <w:p w14:paraId="31B7A9D3">
            <w:pPr>
              <w:rPr>
                <w:rFonts w:asciiTheme="minorEastAsia" w:hAnsiTheme="minorEastAsia" w:eastAsiaTheme="minorEastAsia"/>
                <w:color w:val="auto"/>
                <w:sz w:val="24"/>
                <w:szCs w:val="24"/>
              </w:rPr>
            </w:pPr>
          </w:p>
        </w:tc>
        <w:tc>
          <w:tcPr>
            <w:tcW w:w="1980" w:type="dxa"/>
          </w:tcPr>
          <w:p w14:paraId="4E0AD957">
            <w:pPr>
              <w:rPr>
                <w:rFonts w:asciiTheme="minorEastAsia" w:hAnsiTheme="minorEastAsia" w:eastAsiaTheme="minorEastAsia"/>
                <w:color w:val="auto"/>
                <w:sz w:val="24"/>
                <w:szCs w:val="24"/>
              </w:rPr>
            </w:pPr>
          </w:p>
        </w:tc>
        <w:tc>
          <w:tcPr>
            <w:tcW w:w="1440" w:type="dxa"/>
          </w:tcPr>
          <w:p w14:paraId="5B193D2B">
            <w:pPr>
              <w:rPr>
                <w:rFonts w:asciiTheme="minorEastAsia" w:hAnsiTheme="minorEastAsia" w:eastAsiaTheme="minorEastAsia"/>
                <w:color w:val="auto"/>
                <w:sz w:val="24"/>
                <w:szCs w:val="24"/>
              </w:rPr>
            </w:pPr>
          </w:p>
        </w:tc>
        <w:tc>
          <w:tcPr>
            <w:tcW w:w="1620" w:type="dxa"/>
          </w:tcPr>
          <w:p w14:paraId="3FA1B43C">
            <w:pPr>
              <w:rPr>
                <w:rFonts w:asciiTheme="minorEastAsia" w:hAnsiTheme="minorEastAsia" w:eastAsiaTheme="minorEastAsia"/>
                <w:color w:val="auto"/>
                <w:sz w:val="24"/>
                <w:szCs w:val="24"/>
              </w:rPr>
            </w:pPr>
          </w:p>
        </w:tc>
      </w:tr>
      <w:tr w14:paraId="24425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43AC651D">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（一）免费保修期外售后服务条款偏离表</w:t>
            </w:r>
          </w:p>
        </w:tc>
      </w:tr>
      <w:tr w14:paraId="5A006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2A3774A9">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p>
        </w:tc>
        <w:tc>
          <w:tcPr>
            <w:tcW w:w="1080" w:type="dxa"/>
          </w:tcPr>
          <w:p w14:paraId="325CB594">
            <w:pPr>
              <w:rPr>
                <w:rFonts w:asciiTheme="minorEastAsia" w:hAnsiTheme="minorEastAsia" w:eastAsiaTheme="minorEastAsia"/>
                <w:color w:val="auto"/>
                <w:sz w:val="24"/>
                <w:szCs w:val="24"/>
              </w:rPr>
            </w:pPr>
          </w:p>
        </w:tc>
        <w:tc>
          <w:tcPr>
            <w:tcW w:w="1980" w:type="dxa"/>
          </w:tcPr>
          <w:p w14:paraId="65E35827">
            <w:pPr>
              <w:rPr>
                <w:rFonts w:asciiTheme="minorEastAsia" w:hAnsiTheme="minorEastAsia" w:eastAsiaTheme="minorEastAsia"/>
                <w:color w:val="auto"/>
                <w:sz w:val="24"/>
                <w:szCs w:val="24"/>
              </w:rPr>
            </w:pPr>
          </w:p>
        </w:tc>
        <w:tc>
          <w:tcPr>
            <w:tcW w:w="1980" w:type="dxa"/>
          </w:tcPr>
          <w:p w14:paraId="758B5223">
            <w:pPr>
              <w:rPr>
                <w:rFonts w:asciiTheme="minorEastAsia" w:hAnsiTheme="minorEastAsia" w:eastAsiaTheme="minorEastAsia"/>
                <w:color w:val="auto"/>
                <w:sz w:val="24"/>
                <w:szCs w:val="24"/>
              </w:rPr>
            </w:pPr>
          </w:p>
        </w:tc>
        <w:tc>
          <w:tcPr>
            <w:tcW w:w="1440" w:type="dxa"/>
          </w:tcPr>
          <w:p w14:paraId="1037EA6A">
            <w:pPr>
              <w:rPr>
                <w:rFonts w:asciiTheme="minorEastAsia" w:hAnsiTheme="minorEastAsia" w:eastAsiaTheme="minorEastAsia"/>
                <w:color w:val="auto"/>
                <w:sz w:val="24"/>
                <w:szCs w:val="24"/>
              </w:rPr>
            </w:pPr>
          </w:p>
        </w:tc>
        <w:tc>
          <w:tcPr>
            <w:tcW w:w="1620" w:type="dxa"/>
          </w:tcPr>
          <w:p w14:paraId="7D90C8CB">
            <w:pPr>
              <w:rPr>
                <w:rFonts w:asciiTheme="minorEastAsia" w:hAnsiTheme="minorEastAsia" w:eastAsiaTheme="minorEastAsia"/>
                <w:color w:val="auto"/>
                <w:sz w:val="24"/>
                <w:szCs w:val="24"/>
              </w:rPr>
            </w:pPr>
          </w:p>
        </w:tc>
      </w:tr>
      <w:tr w14:paraId="728E5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4F9A42C7">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w:t>
            </w:r>
          </w:p>
        </w:tc>
        <w:tc>
          <w:tcPr>
            <w:tcW w:w="1080" w:type="dxa"/>
          </w:tcPr>
          <w:p w14:paraId="4D20F0E4">
            <w:pPr>
              <w:rPr>
                <w:rFonts w:asciiTheme="minorEastAsia" w:hAnsiTheme="minorEastAsia" w:eastAsiaTheme="minorEastAsia"/>
                <w:color w:val="auto"/>
                <w:sz w:val="24"/>
                <w:szCs w:val="24"/>
              </w:rPr>
            </w:pPr>
          </w:p>
        </w:tc>
        <w:tc>
          <w:tcPr>
            <w:tcW w:w="1980" w:type="dxa"/>
          </w:tcPr>
          <w:p w14:paraId="319CADCD">
            <w:pPr>
              <w:rPr>
                <w:rFonts w:asciiTheme="minorEastAsia" w:hAnsiTheme="minorEastAsia" w:eastAsiaTheme="minorEastAsia"/>
                <w:color w:val="auto"/>
                <w:sz w:val="24"/>
                <w:szCs w:val="24"/>
              </w:rPr>
            </w:pPr>
          </w:p>
        </w:tc>
        <w:tc>
          <w:tcPr>
            <w:tcW w:w="1980" w:type="dxa"/>
          </w:tcPr>
          <w:p w14:paraId="06D7CD1C">
            <w:pPr>
              <w:rPr>
                <w:rFonts w:asciiTheme="minorEastAsia" w:hAnsiTheme="minorEastAsia" w:eastAsiaTheme="minorEastAsia"/>
                <w:color w:val="auto"/>
                <w:sz w:val="24"/>
                <w:szCs w:val="24"/>
              </w:rPr>
            </w:pPr>
          </w:p>
        </w:tc>
        <w:tc>
          <w:tcPr>
            <w:tcW w:w="1440" w:type="dxa"/>
          </w:tcPr>
          <w:p w14:paraId="1073D9AB">
            <w:pPr>
              <w:rPr>
                <w:rFonts w:asciiTheme="minorEastAsia" w:hAnsiTheme="minorEastAsia" w:eastAsiaTheme="minorEastAsia"/>
                <w:color w:val="auto"/>
                <w:sz w:val="24"/>
                <w:szCs w:val="24"/>
              </w:rPr>
            </w:pPr>
          </w:p>
        </w:tc>
        <w:tc>
          <w:tcPr>
            <w:tcW w:w="1620" w:type="dxa"/>
          </w:tcPr>
          <w:p w14:paraId="26D17469">
            <w:pPr>
              <w:rPr>
                <w:rFonts w:asciiTheme="minorEastAsia" w:hAnsiTheme="minorEastAsia" w:eastAsiaTheme="minorEastAsia"/>
                <w:color w:val="auto"/>
                <w:sz w:val="24"/>
                <w:szCs w:val="24"/>
              </w:rPr>
            </w:pPr>
          </w:p>
        </w:tc>
      </w:tr>
      <w:tr w14:paraId="621E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8547377">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p>
        </w:tc>
        <w:tc>
          <w:tcPr>
            <w:tcW w:w="1080" w:type="dxa"/>
          </w:tcPr>
          <w:p w14:paraId="02C26D7C">
            <w:pPr>
              <w:rPr>
                <w:rFonts w:asciiTheme="minorEastAsia" w:hAnsiTheme="minorEastAsia" w:eastAsiaTheme="minorEastAsia"/>
                <w:color w:val="auto"/>
                <w:sz w:val="24"/>
                <w:szCs w:val="24"/>
              </w:rPr>
            </w:pPr>
          </w:p>
        </w:tc>
        <w:tc>
          <w:tcPr>
            <w:tcW w:w="1980" w:type="dxa"/>
          </w:tcPr>
          <w:p w14:paraId="3554EF77">
            <w:pPr>
              <w:rPr>
                <w:rFonts w:asciiTheme="minorEastAsia" w:hAnsiTheme="minorEastAsia" w:eastAsiaTheme="minorEastAsia"/>
                <w:color w:val="auto"/>
                <w:sz w:val="24"/>
                <w:szCs w:val="24"/>
              </w:rPr>
            </w:pPr>
          </w:p>
        </w:tc>
        <w:tc>
          <w:tcPr>
            <w:tcW w:w="1980" w:type="dxa"/>
          </w:tcPr>
          <w:p w14:paraId="46AAB091">
            <w:pPr>
              <w:rPr>
                <w:rFonts w:asciiTheme="minorEastAsia" w:hAnsiTheme="minorEastAsia" w:eastAsiaTheme="minorEastAsia"/>
                <w:color w:val="auto"/>
                <w:sz w:val="24"/>
                <w:szCs w:val="24"/>
              </w:rPr>
            </w:pPr>
          </w:p>
        </w:tc>
        <w:tc>
          <w:tcPr>
            <w:tcW w:w="1440" w:type="dxa"/>
          </w:tcPr>
          <w:p w14:paraId="0CFB3A76">
            <w:pPr>
              <w:rPr>
                <w:rFonts w:asciiTheme="minorEastAsia" w:hAnsiTheme="minorEastAsia" w:eastAsiaTheme="minorEastAsia"/>
                <w:color w:val="auto"/>
                <w:sz w:val="24"/>
                <w:szCs w:val="24"/>
              </w:rPr>
            </w:pPr>
          </w:p>
        </w:tc>
        <w:tc>
          <w:tcPr>
            <w:tcW w:w="1620" w:type="dxa"/>
          </w:tcPr>
          <w:p w14:paraId="275D1D08">
            <w:pPr>
              <w:rPr>
                <w:rFonts w:asciiTheme="minorEastAsia" w:hAnsiTheme="minorEastAsia" w:eastAsiaTheme="minorEastAsia"/>
                <w:color w:val="auto"/>
                <w:sz w:val="24"/>
                <w:szCs w:val="24"/>
              </w:rPr>
            </w:pPr>
          </w:p>
        </w:tc>
      </w:tr>
      <w:tr w14:paraId="33E5D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25BBFA6A">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（三）其他商务条款偏离表</w:t>
            </w:r>
          </w:p>
        </w:tc>
      </w:tr>
      <w:tr w14:paraId="161ED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17E39CB6">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p>
        </w:tc>
        <w:tc>
          <w:tcPr>
            <w:tcW w:w="1080" w:type="dxa"/>
          </w:tcPr>
          <w:p w14:paraId="67F7B871">
            <w:pPr>
              <w:rPr>
                <w:rFonts w:asciiTheme="minorEastAsia" w:hAnsiTheme="minorEastAsia" w:eastAsiaTheme="minorEastAsia"/>
                <w:color w:val="auto"/>
                <w:sz w:val="24"/>
                <w:szCs w:val="24"/>
              </w:rPr>
            </w:pPr>
          </w:p>
        </w:tc>
        <w:tc>
          <w:tcPr>
            <w:tcW w:w="1980" w:type="dxa"/>
          </w:tcPr>
          <w:p w14:paraId="0DC0FB98">
            <w:pPr>
              <w:rPr>
                <w:rFonts w:asciiTheme="minorEastAsia" w:hAnsiTheme="minorEastAsia" w:eastAsiaTheme="minorEastAsia"/>
                <w:color w:val="auto"/>
                <w:sz w:val="24"/>
                <w:szCs w:val="24"/>
              </w:rPr>
            </w:pPr>
          </w:p>
        </w:tc>
        <w:tc>
          <w:tcPr>
            <w:tcW w:w="1980" w:type="dxa"/>
          </w:tcPr>
          <w:p w14:paraId="4ECA48EC">
            <w:pPr>
              <w:rPr>
                <w:rFonts w:asciiTheme="minorEastAsia" w:hAnsiTheme="minorEastAsia" w:eastAsiaTheme="minorEastAsia"/>
                <w:color w:val="auto"/>
                <w:sz w:val="24"/>
                <w:szCs w:val="24"/>
              </w:rPr>
            </w:pPr>
          </w:p>
        </w:tc>
        <w:tc>
          <w:tcPr>
            <w:tcW w:w="1440" w:type="dxa"/>
          </w:tcPr>
          <w:p w14:paraId="1FB201EE">
            <w:pPr>
              <w:rPr>
                <w:rFonts w:asciiTheme="minorEastAsia" w:hAnsiTheme="minorEastAsia" w:eastAsiaTheme="minorEastAsia"/>
                <w:color w:val="auto"/>
                <w:sz w:val="24"/>
                <w:szCs w:val="24"/>
              </w:rPr>
            </w:pPr>
          </w:p>
        </w:tc>
        <w:tc>
          <w:tcPr>
            <w:tcW w:w="1620" w:type="dxa"/>
          </w:tcPr>
          <w:p w14:paraId="38C996D5">
            <w:pPr>
              <w:rPr>
                <w:rFonts w:asciiTheme="minorEastAsia" w:hAnsiTheme="minorEastAsia" w:eastAsiaTheme="minorEastAsia"/>
                <w:color w:val="auto"/>
                <w:sz w:val="24"/>
                <w:szCs w:val="24"/>
              </w:rPr>
            </w:pPr>
          </w:p>
        </w:tc>
      </w:tr>
      <w:tr w14:paraId="282D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647B026">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w:t>
            </w:r>
          </w:p>
        </w:tc>
        <w:tc>
          <w:tcPr>
            <w:tcW w:w="1080" w:type="dxa"/>
          </w:tcPr>
          <w:p w14:paraId="3633CF83">
            <w:pPr>
              <w:rPr>
                <w:rFonts w:asciiTheme="minorEastAsia" w:hAnsiTheme="minorEastAsia" w:eastAsiaTheme="minorEastAsia"/>
                <w:color w:val="auto"/>
                <w:sz w:val="24"/>
                <w:szCs w:val="24"/>
              </w:rPr>
            </w:pPr>
          </w:p>
        </w:tc>
        <w:tc>
          <w:tcPr>
            <w:tcW w:w="1980" w:type="dxa"/>
          </w:tcPr>
          <w:p w14:paraId="3FDC7A34">
            <w:pPr>
              <w:rPr>
                <w:rFonts w:asciiTheme="minorEastAsia" w:hAnsiTheme="minorEastAsia" w:eastAsiaTheme="minorEastAsia"/>
                <w:color w:val="auto"/>
                <w:sz w:val="24"/>
                <w:szCs w:val="24"/>
              </w:rPr>
            </w:pPr>
          </w:p>
        </w:tc>
        <w:tc>
          <w:tcPr>
            <w:tcW w:w="1980" w:type="dxa"/>
          </w:tcPr>
          <w:p w14:paraId="18C29C02">
            <w:pPr>
              <w:rPr>
                <w:rFonts w:asciiTheme="minorEastAsia" w:hAnsiTheme="minorEastAsia" w:eastAsiaTheme="minorEastAsia"/>
                <w:color w:val="auto"/>
                <w:sz w:val="24"/>
                <w:szCs w:val="24"/>
              </w:rPr>
            </w:pPr>
          </w:p>
        </w:tc>
        <w:tc>
          <w:tcPr>
            <w:tcW w:w="1440" w:type="dxa"/>
          </w:tcPr>
          <w:p w14:paraId="26B4FE31">
            <w:pPr>
              <w:rPr>
                <w:rFonts w:asciiTheme="minorEastAsia" w:hAnsiTheme="minorEastAsia" w:eastAsiaTheme="minorEastAsia"/>
                <w:color w:val="auto"/>
                <w:sz w:val="24"/>
                <w:szCs w:val="24"/>
              </w:rPr>
            </w:pPr>
          </w:p>
        </w:tc>
        <w:tc>
          <w:tcPr>
            <w:tcW w:w="1620" w:type="dxa"/>
          </w:tcPr>
          <w:p w14:paraId="50C32BC9">
            <w:pPr>
              <w:rPr>
                <w:rFonts w:asciiTheme="minorEastAsia" w:hAnsiTheme="minorEastAsia" w:eastAsiaTheme="minorEastAsia"/>
                <w:color w:val="auto"/>
                <w:sz w:val="24"/>
                <w:szCs w:val="24"/>
              </w:rPr>
            </w:pPr>
          </w:p>
        </w:tc>
      </w:tr>
      <w:tr w14:paraId="1DF2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437887F4">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p>
        </w:tc>
        <w:tc>
          <w:tcPr>
            <w:tcW w:w="1080" w:type="dxa"/>
          </w:tcPr>
          <w:p w14:paraId="52CA9B4F">
            <w:pPr>
              <w:rPr>
                <w:rFonts w:asciiTheme="minorEastAsia" w:hAnsiTheme="minorEastAsia" w:eastAsiaTheme="minorEastAsia"/>
                <w:color w:val="auto"/>
                <w:sz w:val="24"/>
                <w:szCs w:val="24"/>
              </w:rPr>
            </w:pPr>
          </w:p>
        </w:tc>
        <w:tc>
          <w:tcPr>
            <w:tcW w:w="1980" w:type="dxa"/>
          </w:tcPr>
          <w:p w14:paraId="3CC19DE1">
            <w:pPr>
              <w:rPr>
                <w:rFonts w:asciiTheme="minorEastAsia" w:hAnsiTheme="minorEastAsia" w:eastAsiaTheme="minorEastAsia"/>
                <w:color w:val="auto"/>
                <w:sz w:val="24"/>
                <w:szCs w:val="24"/>
              </w:rPr>
            </w:pPr>
          </w:p>
        </w:tc>
        <w:tc>
          <w:tcPr>
            <w:tcW w:w="1980" w:type="dxa"/>
          </w:tcPr>
          <w:p w14:paraId="11CA0F8F">
            <w:pPr>
              <w:rPr>
                <w:rFonts w:asciiTheme="minorEastAsia" w:hAnsiTheme="minorEastAsia" w:eastAsiaTheme="minorEastAsia"/>
                <w:color w:val="auto"/>
                <w:sz w:val="24"/>
                <w:szCs w:val="24"/>
              </w:rPr>
            </w:pPr>
          </w:p>
        </w:tc>
        <w:tc>
          <w:tcPr>
            <w:tcW w:w="1440" w:type="dxa"/>
          </w:tcPr>
          <w:p w14:paraId="411C0D70">
            <w:pPr>
              <w:rPr>
                <w:rFonts w:asciiTheme="minorEastAsia" w:hAnsiTheme="minorEastAsia" w:eastAsiaTheme="minorEastAsia"/>
                <w:color w:val="auto"/>
                <w:sz w:val="24"/>
                <w:szCs w:val="24"/>
              </w:rPr>
            </w:pPr>
          </w:p>
        </w:tc>
        <w:tc>
          <w:tcPr>
            <w:tcW w:w="1620" w:type="dxa"/>
          </w:tcPr>
          <w:p w14:paraId="07CFF1E3">
            <w:pPr>
              <w:rPr>
                <w:rFonts w:asciiTheme="minorEastAsia" w:hAnsiTheme="minorEastAsia" w:eastAsiaTheme="minorEastAsia"/>
                <w:color w:val="auto"/>
                <w:sz w:val="24"/>
                <w:szCs w:val="24"/>
              </w:rPr>
            </w:pPr>
          </w:p>
        </w:tc>
      </w:tr>
    </w:tbl>
    <w:p w14:paraId="25AFFF58">
      <w:pPr>
        <w:pStyle w:val="21"/>
        <w:jc w:val="left"/>
        <w:rPr>
          <w:rFonts w:asciiTheme="minorEastAsia" w:hAnsiTheme="minorEastAsia" w:eastAsiaTheme="minorEastAsia"/>
          <w:color w:val="auto"/>
          <w:sz w:val="24"/>
          <w:szCs w:val="24"/>
        </w:rPr>
      </w:pPr>
    </w:p>
    <w:p w14:paraId="296FC4A4">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提示：</w:t>
      </w:r>
    </w:p>
    <w:p w14:paraId="4B9441EB">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1、“招标商务条款”一栏必须填写招标文件“商务需求”的内容（如有），并分别对应“（一）免费保修期内售后服务要求、（二）免费保修期外售后服务要求、（三）其他商务要求”的内容进行填写。</w:t>
      </w:r>
    </w:p>
    <w:p w14:paraId="29742373">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2、“投标商务条款”一栏必须详细填写投标商务条款的内容。</w:t>
      </w:r>
    </w:p>
    <w:p w14:paraId="4E73170B">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3、“偏离情况”栏中应如实填写“正偏离”、“负偏离”或“无偏离”。</w:t>
      </w:r>
    </w:p>
    <w:p w14:paraId="0C7EE782">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4、交货期条款为不可负偏离条款，投标文件响应为“负偏离”的，投标文件将按废标处理。</w:t>
      </w:r>
    </w:p>
    <w:p w14:paraId="7107B44A">
      <w:pPr>
        <w:spacing w:line="360" w:lineRule="auto"/>
        <w:rPr>
          <w:rFonts w:asciiTheme="minorEastAsia" w:hAnsiTheme="minorEastAsia" w:eastAsiaTheme="minorEastAsia"/>
          <w:color w:val="auto"/>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color w:val="auto"/>
          <w:sz w:val="24"/>
          <w:szCs w:val="24"/>
        </w:rPr>
        <w:t>5、开标一览表中填写的“交货期”必须与本表填写的“交货期”一致。如填写不一致，以开标一览表填写的“交货期”为准。</w:t>
      </w:r>
    </w:p>
    <w:p w14:paraId="05E0BCB9">
      <w:pPr>
        <w:spacing w:line="30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投标分项报价表格式</w:t>
      </w:r>
    </w:p>
    <w:p w14:paraId="11BCA9DD">
      <w:pPr>
        <w:spacing w:line="360" w:lineRule="auto"/>
        <w:jc w:val="center"/>
        <w:rPr>
          <w:rFonts w:asciiTheme="minorEastAsia" w:hAnsiTheme="minorEastAsia" w:eastAsiaTheme="minorEastAsia"/>
          <w:b/>
          <w:bCs/>
          <w:color w:val="auto"/>
          <w:sz w:val="24"/>
          <w:szCs w:val="24"/>
        </w:rPr>
      </w:pPr>
      <w:bookmarkStart w:id="11" w:name="_Toc313109531"/>
    </w:p>
    <w:bookmarkEnd w:id="11"/>
    <w:p w14:paraId="64116659">
      <w:pPr>
        <w:jc w:val="center"/>
        <w:rPr>
          <w:rFonts w:hint="eastAsia" w:asciiTheme="minorEastAsia" w:hAnsiTheme="minorEastAsia" w:eastAsiaTheme="minorEastAsia"/>
          <w:b/>
          <w:bCs/>
          <w:color w:val="auto"/>
          <w:sz w:val="24"/>
          <w:szCs w:val="24"/>
          <w:lang w:eastAsia="zh-CN"/>
        </w:rPr>
      </w:pPr>
      <w:r>
        <w:rPr>
          <w:rFonts w:hint="eastAsia" w:asciiTheme="minorEastAsia" w:hAnsiTheme="minorEastAsia" w:eastAsiaTheme="minorEastAsia"/>
          <w:b/>
          <w:bCs/>
          <w:color w:val="auto"/>
          <w:sz w:val="24"/>
          <w:szCs w:val="24"/>
        </w:rPr>
        <w:t>供应商认为需要涉及的其他内容报价清单</w:t>
      </w:r>
      <w:r>
        <w:rPr>
          <w:rFonts w:hint="eastAsia" w:asciiTheme="minorEastAsia" w:hAnsiTheme="minorEastAsia" w:eastAsiaTheme="minorEastAsia"/>
          <w:b/>
          <w:bCs/>
          <w:color w:val="auto"/>
          <w:sz w:val="24"/>
          <w:szCs w:val="24"/>
          <w:lang w:eastAsia="zh-CN"/>
        </w:rPr>
        <w:t>（</w:t>
      </w:r>
      <w:r>
        <w:rPr>
          <w:rFonts w:hint="eastAsia" w:asciiTheme="minorEastAsia" w:hAnsiTheme="minorEastAsia" w:eastAsiaTheme="minorEastAsia"/>
          <w:b/>
          <w:bCs/>
          <w:color w:val="auto"/>
          <w:sz w:val="24"/>
          <w:szCs w:val="24"/>
          <w:lang w:val="en-US" w:eastAsia="zh-CN"/>
        </w:rPr>
        <w:t>如有</w:t>
      </w:r>
      <w:r>
        <w:rPr>
          <w:rFonts w:hint="eastAsia" w:asciiTheme="minorEastAsia" w:hAnsiTheme="minorEastAsia" w:eastAsiaTheme="minorEastAsia"/>
          <w:b/>
          <w:bCs/>
          <w:color w:val="auto"/>
          <w:sz w:val="24"/>
          <w:szCs w:val="24"/>
          <w:lang w:eastAsia="zh-CN"/>
        </w:rPr>
        <w:t>）</w:t>
      </w:r>
    </w:p>
    <w:p w14:paraId="75C8D14B">
      <w:pPr>
        <w:spacing w:line="480" w:lineRule="auto"/>
        <w:jc w:val="left"/>
        <w:rPr>
          <w:rFonts w:cs="宋体" w:asciiTheme="minorEastAsia" w:hAnsiTheme="minorEastAsia" w:eastAsiaTheme="minorEastAsia"/>
          <w:color w:val="auto"/>
          <w:sz w:val="24"/>
          <w:szCs w:val="24"/>
        </w:rPr>
      </w:pPr>
    </w:p>
    <w:p w14:paraId="7A0A2DEC">
      <w:pPr>
        <w:spacing w:line="480" w:lineRule="auto"/>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投标人名称（公章）：</w:t>
      </w:r>
      <w:r>
        <w:rPr>
          <w:rFonts w:hint="eastAsia" w:cs="宋体" w:asciiTheme="minorEastAsia" w:hAnsiTheme="minorEastAsia" w:eastAsiaTheme="minorEastAsia"/>
          <w:color w:val="auto"/>
          <w:sz w:val="24"/>
          <w:szCs w:val="24"/>
          <w:u w:val="single"/>
        </w:rPr>
        <w:t xml:space="preserve">                            </w:t>
      </w:r>
      <w:r>
        <w:rPr>
          <w:rFonts w:hint="eastAsia" w:cs="宋体" w:asciiTheme="minorEastAsia" w:hAnsiTheme="minorEastAsia" w:eastAsiaTheme="minorEastAsia"/>
          <w:color w:val="auto"/>
          <w:sz w:val="24"/>
          <w:szCs w:val="24"/>
        </w:rPr>
        <w:t xml:space="preserve">  </w:t>
      </w:r>
    </w:p>
    <w:p w14:paraId="22DCE522">
      <w:pPr>
        <w:pStyle w:val="22"/>
        <w:spacing w:line="48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投标人代表（签字）：</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 xml:space="preserve">  </w:t>
      </w:r>
    </w:p>
    <w:p w14:paraId="6B674EAF">
      <w:pPr>
        <w:spacing w:line="300" w:lineRule="auto"/>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sz w:val="24"/>
          <w:szCs w:val="24"/>
        </w:rPr>
        <w:t>日        期：</w:t>
      </w:r>
      <w:r>
        <w:rPr>
          <w:rFonts w:hint="eastAsia" w:cs="宋体" w:asciiTheme="minorEastAsia" w:hAnsiTheme="minorEastAsia" w:eastAsiaTheme="minorEastAsia"/>
          <w:color w:val="auto"/>
          <w:kern w:val="0"/>
          <w:sz w:val="24"/>
          <w:szCs w:val="24"/>
          <w:u w:val="single"/>
        </w:rPr>
        <w:t xml:space="preserve">                                 </w:t>
      </w:r>
    </w:p>
    <w:p w14:paraId="5436647A">
      <w:pPr>
        <w:spacing w:line="300" w:lineRule="auto"/>
        <w:jc w:val="left"/>
        <w:rPr>
          <w:rFonts w:asciiTheme="minorEastAsia" w:hAnsiTheme="minorEastAsia" w:eastAsiaTheme="minorEastAsia"/>
          <w:color w:val="auto"/>
          <w:sz w:val="24"/>
          <w:szCs w:val="24"/>
        </w:rPr>
      </w:pPr>
    </w:p>
    <w:p w14:paraId="643D7C80">
      <w:pPr>
        <w:spacing w:line="300" w:lineRule="auto"/>
        <w:jc w:val="left"/>
        <w:rPr>
          <w:rFonts w:asciiTheme="minorEastAsia" w:hAnsiTheme="minorEastAsia" w:eastAsiaTheme="minorEastAsia"/>
          <w:color w:val="auto"/>
          <w:sz w:val="24"/>
          <w:szCs w:val="24"/>
        </w:rPr>
      </w:pPr>
    </w:p>
    <w:p w14:paraId="0104CCF3">
      <w:pPr>
        <w:spacing w:line="300" w:lineRule="auto"/>
        <w:rPr>
          <w:rFonts w:asciiTheme="minorEastAsia" w:hAnsiTheme="minorEastAsia" w:eastAsiaTheme="minorEastAsia"/>
          <w:b/>
          <w:bCs/>
          <w:color w:val="auto"/>
          <w:sz w:val="24"/>
          <w:szCs w:val="24"/>
        </w:rPr>
      </w:pPr>
      <w:r>
        <w:rPr>
          <w:rFonts w:asciiTheme="minorEastAsia" w:hAnsiTheme="minorEastAsia" w:eastAsiaTheme="minorEastAsia"/>
          <w:color w:val="auto"/>
          <w:sz w:val="24"/>
          <w:szCs w:val="24"/>
        </w:rPr>
        <w:br w:type="page"/>
      </w:r>
      <w:bookmarkStart w:id="12" w:name="_Toc309632085"/>
      <w:r>
        <w:rPr>
          <w:rFonts w:hint="eastAsia" w:asciiTheme="minorEastAsia" w:hAnsiTheme="minorEastAsia" w:eastAsiaTheme="minorEastAsia"/>
          <w:color w:val="auto"/>
          <w:sz w:val="24"/>
          <w:szCs w:val="24"/>
        </w:rPr>
        <w:t>货物说明一览表格式</w:t>
      </w:r>
    </w:p>
    <w:p w14:paraId="1A783EDB">
      <w:pPr>
        <w:spacing w:line="360" w:lineRule="auto"/>
        <w:jc w:val="center"/>
        <w:rPr>
          <w:rFonts w:hint="eastAsia" w:asciiTheme="minorEastAsia" w:hAnsiTheme="minorEastAsia" w:eastAsiaTheme="minorEastAsia"/>
          <w:b/>
          <w:bCs/>
          <w:color w:val="auto"/>
          <w:sz w:val="24"/>
          <w:szCs w:val="24"/>
          <w:lang w:eastAsia="zh-CN"/>
        </w:rPr>
      </w:pPr>
      <w:bookmarkStart w:id="13" w:name="_Toc313109532"/>
      <w:r>
        <w:rPr>
          <w:rFonts w:hint="eastAsia" w:asciiTheme="minorEastAsia" w:hAnsiTheme="minorEastAsia" w:eastAsiaTheme="minorEastAsia"/>
          <w:b/>
          <w:bCs/>
          <w:color w:val="auto"/>
          <w:sz w:val="24"/>
          <w:szCs w:val="24"/>
        </w:rPr>
        <w:t>六、货物说明一览表</w:t>
      </w:r>
      <w:bookmarkEnd w:id="12"/>
      <w:bookmarkEnd w:id="13"/>
      <w:r>
        <w:rPr>
          <w:rFonts w:hint="eastAsia" w:asciiTheme="minorEastAsia" w:hAnsiTheme="minorEastAsia" w:eastAsiaTheme="minorEastAsia"/>
          <w:b/>
          <w:bCs/>
          <w:color w:val="auto"/>
          <w:sz w:val="24"/>
          <w:szCs w:val="24"/>
          <w:lang w:eastAsia="zh-CN"/>
        </w:rPr>
        <w:t>（</w:t>
      </w:r>
      <w:r>
        <w:rPr>
          <w:rFonts w:hint="eastAsia" w:asciiTheme="minorEastAsia" w:hAnsiTheme="minorEastAsia" w:eastAsiaTheme="minorEastAsia"/>
          <w:b/>
          <w:bCs/>
          <w:color w:val="auto"/>
          <w:sz w:val="24"/>
          <w:szCs w:val="24"/>
          <w:lang w:val="en-US" w:eastAsia="zh-CN"/>
        </w:rPr>
        <w:t>如有</w:t>
      </w:r>
      <w:r>
        <w:rPr>
          <w:rFonts w:hint="eastAsia" w:asciiTheme="minorEastAsia" w:hAnsiTheme="minorEastAsia" w:eastAsiaTheme="minorEastAsia"/>
          <w:b/>
          <w:bCs/>
          <w:color w:val="auto"/>
          <w:sz w:val="24"/>
          <w:szCs w:val="24"/>
          <w:lang w:eastAsia="zh-CN"/>
        </w:rPr>
        <w:t>）</w:t>
      </w:r>
    </w:p>
    <w:p w14:paraId="294E543B">
      <w:pPr>
        <w:pStyle w:val="8"/>
        <w:jc w:val="left"/>
        <w:rPr>
          <w:rFonts w:asciiTheme="minorEastAsia" w:hAnsiTheme="minorEastAsia" w:eastAsiaTheme="minorEastAsia"/>
          <w:color w:val="auto"/>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14:paraId="214A7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14:paraId="6232F602">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序号</w:t>
            </w:r>
          </w:p>
        </w:tc>
        <w:tc>
          <w:tcPr>
            <w:tcW w:w="3290" w:type="dxa"/>
            <w:vAlign w:val="center"/>
          </w:tcPr>
          <w:p w14:paraId="0979DE46">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货物名称</w:t>
            </w:r>
          </w:p>
        </w:tc>
        <w:tc>
          <w:tcPr>
            <w:tcW w:w="1376" w:type="dxa"/>
            <w:vAlign w:val="center"/>
          </w:tcPr>
          <w:p w14:paraId="717E9D24">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型号/规格</w:t>
            </w:r>
          </w:p>
        </w:tc>
        <w:tc>
          <w:tcPr>
            <w:tcW w:w="698" w:type="dxa"/>
            <w:vAlign w:val="center"/>
          </w:tcPr>
          <w:p w14:paraId="77271C4C">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数量</w:t>
            </w:r>
          </w:p>
        </w:tc>
        <w:tc>
          <w:tcPr>
            <w:tcW w:w="1994" w:type="dxa"/>
            <w:vAlign w:val="center"/>
          </w:tcPr>
          <w:p w14:paraId="63CE2C33">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其他</w:t>
            </w:r>
          </w:p>
        </w:tc>
      </w:tr>
      <w:tr w14:paraId="61FB6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14:paraId="27E5DDBC">
            <w:pPr>
              <w:pStyle w:val="8"/>
              <w:rPr>
                <w:rFonts w:asciiTheme="minorEastAsia" w:hAnsiTheme="minorEastAsia" w:eastAsiaTheme="minorEastAsia"/>
                <w:color w:val="auto"/>
                <w:sz w:val="24"/>
                <w:szCs w:val="24"/>
              </w:rPr>
            </w:pPr>
          </w:p>
        </w:tc>
        <w:tc>
          <w:tcPr>
            <w:tcW w:w="3290" w:type="dxa"/>
            <w:vAlign w:val="center"/>
          </w:tcPr>
          <w:p w14:paraId="71B59A57">
            <w:pPr>
              <w:pStyle w:val="8"/>
              <w:rPr>
                <w:rFonts w:asciiTheme="minorEastAsia" w:hAnsiTheme="minorEastAsia" w:eastAsiaTheme="minorEastAsia"/>
                <w:color w:val="auto"/>
                <w:sz w:val="24"/>
                <w:szCs w:val="24"/>
              </w:rPr>
            </w:pPr>
          </w:p>
        </w:tc>
        <w:tc>
          <w:tcPr>
            <w:tcW w:w="1376" w:type="dxa"/>
            <w:vAlign w:val="center"/>
          </w:tcPr>
          <w:p w14:paraId="2ECDB1F0">
            <w:pPr>
              <w:pStyle w:val="8"/>
              <w:rPr>
                <w:rFonts w:asciiTheme="minorEastAsia" w:hAnsiTheme="minorEastAsia" w:eastAsiaTheme="minorEastAsia"/>
                <w:color w:val="auto"/>
                <w:sz w:val="24"/>
                <w:szCs w:val="24"/>
              </w:rPr>
            </w:pPr>
          </w:p>
        </w:tc>
        <w:tc>
          <w:tcPr>
            <w:tcW w:w="698" w:type="dxa"/>
            <w:vAlign w:val="center"/>
          </w:tcPr>
          <w:p w14:paraId="6DED3B24">
            <w:pPr>
              <w:pStyle w:val="8"/>
              <w:jc w:val="left"/>
              <w:rPr>
                <w:rFonts w:asciiTheme="minorEastAsia" w:hAnsiTheme="minorEastAsia" w:eastAsiaTheme="minorEastAsia"/>
                <w:color w:val="auto"/>
                <w:sz w:val="24"/>
                <w:szCs w:val="24"/>
              </w:rPr>
            </w:pPr>
          </w:p>
        </w:tc>
        <w:tc>
          <w:tcPr>
            <w:tcW w:w="1994" w:type="dxa"/>
            <w:vAlign w:val="center"/>
          </w:tcPr>
          <w:p w14:paraId="6616C984">
            <w:pPr>
              <w:pStyle w:val="8"/>
              <w:jc w:val="left"/>
              <w:rPr>
                <w:rFonts w:asciiTheme="minorEastAsia" w:hAnsiTheme="minorEastAsia" w:eastAsiaTheme="minorEastAsia"/>
                <w:color w:val="auto"/>
                <w:sz w:val="24"/>
                <w:szCs w:val="24"/>
              </w:rPr>
            </w:pPr>
          </w:p>
        </w:tc>
      </w:tr>
      <w:tr w14:paraId="64DBB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14:paraId="6AD32632">
            <w:pPr>
              <w:pStyle w:val="8"/>
              <w:rPr>
                <w:rFonts w:asciiTheme="minorEastAsia" w:hAnsiTheme="minorEastAsia" w:eastAsiaTheme="minorEastAsia"/>
                <w:color w:val="auto"/>
                <w:sz w:val="24"/>
                <w:szCs w:val="24"/>
              </w:rPr>
            </w:pPr>
          </w:p>
        </w:tc>
        <w:tc>
          <w:tcPr>
            <w:tcW w:w="3290" w:type="dxa"/>
            <w:vAlign w:val="center"/>
          </w:tcPr>
          <w:p w14:paraId="3B21AFA4">
            <w:pPr>
              <w:pStyle w:val="8"/>
              <w:rPr>
                <w:rFonts w:asciiTheme="minorEastAsia" w:hAnsiTheme="minorEastAsia" w:eastAsiaTheme="minorEastAsia"/>
                <w:color w:val="auto"/>
                <w:sz w:val="24"/>
                <w:szCs w:val="24"/>
              </w:rPr>
            </w:pPr>
          </w:p>
        </w:tc>
        <w:tc>
          <w:tcPr>
            <w:tcW w:w="1376" w:type="dxa"/>
            <w:vAlign w:val="center"/>
          </w:tcPr>
          <w:p w14:paraId="1C4CBD16">
            <w:pPr>
              <w:pStyle w:val="8"/>
              <w:rPr>
                <w:rFonts w:asciiTheme="minorEastAsia" w:hAnsiTheme="minorEastAsia" w:eastAsiaTheme="minorEastAsia"/>
                <w:color w:val="auto"/>
                <w:sz w:val="24"/>
                <w:szCs w:val="24"/>
              </w:rPr>
            </w:pPr>
          </w:p>
        </w:tc>
        <w:tc>
          <w:tcPr>
            <w:tcW w:w="698" w:type="dxa"/>
            <w:vAlign w:val="center"/>
          </w:tcPr>
          <w:p w14:paraId="273BEF98">
            <w:pPr>
              <w:pStyle w:val="8"/>
              <w:jc w:val="left"/>
              <w:rPr>
                <w:rFonts w:asciiTheme="minorEastAsia" w:hAnsiTheme="minorEastAsia" w:eastAsiaTheme="minorEastAsia"/>
                <w:color w:val="auto"/>
                <w:sz w:val="24"/>
                <w:szCs w:val="24"/>
              </w:rPr>
            </w:pPr>
          </w:p>
        </w:tc>
        <w:tc>
          <w:tcPr>
            <w:tcW w:w="1994" w:type="dxa"/>
            <w:vAlign w:val="center"/>
          </w:tcPr>
          <w:p w14:paraId="2C792C82">
            <w:pPr>
              <w:pStyle w:val="8"/>
              <w:jc w:val="left"/>
              <w:rPr>
                <w:rFonts w:asciiTheme="minorEastAsia" w:hAnsiTheme="minorEastAsia" w:eastAsiaTheme="minorEastAsia"/>
                <w:color w:val="auto"/>
                <w:sz w:val="24"/>
                <w:szCs w:val="24"/>
              </w:rPr>
            </w:pPr>
          </w:p>
        </w:tc>
      </w:tr>
      <w:tr w14:paraId="6BEDF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14:paraId="6282178B">
            <w:pPr>
              <w:pStyle w:val="8"/>
              <w:rPr>
                <w:rFonts w:asciiTheme="minorEastAsia" w:hAnsiTheme="minorEastAsia" w:eastAsiaTheme="minorEastAsia"/>
                <w:color w:val="auto"/>
                <w:sz w:val="24"/>
                <w:szCs w:val="24"/>
              </w:rPr>
            </w:pPr>
          </w:p>
        </w:tc>
        <w:tc>
          <w:tcPr>
            <w:tcW w:w="3290" w:type="dxa"/>
            <w:vAlign w:val="center"/>
          </w:tcPr>
          <w:p w14:paraId="502D0EAD">
            <w:pPr>
              <w:pStyle w:val="8"/>
              <w:rPr>
                <w:rFonts w:asciiTheme="minorEastAsia" w:hAnsiTheme="minorEastAsia" w:eastAsiaTheme="minorEastAsia"/>
                <w:color w:val="auto"/>
                <w:sz w:val="24"/>
                <w:szCs w:val="24"/>
              </w:rPr>
            </w:pPr>
          </w:p>
        </w:tc>
        <w:tc>
          <w:tcPr>
            <w:tcW w:w="1376" w:type="dxa"/>
            <w:vAlign w:val="center"/>
          </w:tcPr>
          <w:p w14:paraId="05586CD1">
            <w:pPr>
              <w:pStyle w:val="8"/>
              <w:rPr>
                <w:rFonts w:asciiTheme="minorEastAsia" w:hAnsiTheme="minorEastAsia" w:eastAsiaTheme="minorEastAsia"/>
                <w:color w:val="auto"/>
                <w:sz w:val="24"/>
                <w:szCs w:val="24"/>
              </w:rPr>
            </w:pPr>
          </w:p>
        </w:tc>
        <w:tc>
          <w:tcPr>
            <w:tcW w:w="698" w:type="dxa"/>
            <w:vAlign w:val="center"/>
          </w:tcPr>
          <w:p w14:paraId="3ED58C1A">
            <w:pPr>
              <w:pStyle w:val="8"/>
              <w:jc w:val="left"/>
              <w:rPr>
                <w:rFonts w:asciiTheme="minorEastAsia" w:hAnsiTheme="minorEastAsia" w:eastAsiaTheme="minorEastAsia"/>
                <w:color w:val="auto"/>
                <w:sz w:val="24"/>
                <w:szCs w:val="24"/>
              </w:rPr>
            </w:pPr>
          </w:p>
        </w:tc>
        <w:tc>
          <w:tcPr>
            <w:tcW w:w="1994" w:type="dxa"/>
            <w:vAlign w:val="center"/>
          </w:tcPr>
          <w:p w14:paraId="519128E8">
            <w:pPr>
              <w:pStyle w:val="8"/>
              <w:jc w:val="left"/>
              <w:rPr>
                <w:rFonts w:asciiTheme="minorEastAsia" w:hAnsiTheme="minorEastAsia" w:eastAsiaTheme="minorEastAsia"/>
                <w:color w:val="auto"/>
                <w:sz w:val="24"/>
                <w:szCs w:val="24"/>
              </w:rPr>
            </w:pPr>
          </w:p>
        </w:tc>
      </w:tr>
    </w:tbl>
    <w:p w14:paraId="0D900D11">
      <w:pPr>
        <w:pStyle w:val="8"/>
        <w:jc w:val="left"/>
        <w:rPr>
          <w:rFonts w:asciiTheme="minorEastAsia" w:hAnsiTheme="minorEastAsia" w:eastAsiaTheme="minorEastAsia"/>
          <w:color w:val="auto"/>
          <w:sz w:val="24"/>
          <w:szCs w:val="24"/>
        </w:rPr>
      </w:pPr>
    </w:p>
    <w:p w14:paraId="7D98821A">
      <w:pPr>
        <w:pStyle w:val="8"/>
        <w:ind w:firstLine="960" w:firstLineChars="400"/>
        <w:jc w:val="lef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提示：提供制造商出具的产品中文说明书、彩页、照片等相关资料。</w:t>
      </w:r>
    </w:p>
    <w:p w14:paraId="1F9BC312">
      <w:pPr>
        <w:pStyle w:val="8"/>
        <w:ind w:firstLine="960" w:firstLineChars="400"/>
        <w:jc w:val="left"/>
        <w:rPr>
          <w:rFonts w:hint="eastAsia" w:asciiTheme="minorEastAsia" w:hAnsiTheme="minorEastAsia" w:eastAsiaTheme="minorEastAsia"/>
          <w:color w:val="auto"/>
          <w:sz w:val="24"/>
          <w:szCs w:val="24"/>
        </w:rPr>
      </w:pPr>
    </w:p>
    <w:p w14:paraId="50592A21">
      <w:pPr>
        <w:pStyle w:val="8"/>
        <w:ind w:firstLine="960" w:firstLineChars="400"/>
        <w:jc w:val="left"/>
        <w:rPr>
          <w:rFonts w:hint="eastAsia" w:asciiTheme="minorEastAsia" w:hAnsiTheme="minorEastAsia" w:eastAsiaTheme="minorEastAsia"/>
          <w:color w:val="auto"/>
          <w:sz w:val="24"/>
          <w:szCs w:val="24"/>
        </w:rPr>
      </w:pPr>
    </w:p>
    <w:p w14:paraId="76918D56">
      <w:pPr>
        <w:pStyle w:val="8"/>
        <w:ind w:firstLine="960" w:firstLineChars="400"/>
        <w:jc w:val="left"/>
        <w:rPr>
          <w:rFonts w:hint="default" w:asciiTheme="minorEastAsia" w:hAnsiTheme="minorEastAsia" w:eastAsiaTheme="minorEastAsia"/>
          <w:color w:val="auto"/>
          <w:sz w:val="24"/>
          <w:szCs w:val="24"/>
          <w:lang w:val="en-US" w:eastAsia="zh-CN"/>
        </w:rPr>
      </w:pPr>
    </w:p>
    <w:p w14:paraId="0E79D4D5">
      <w:pPr>
        <w:jc w:val="center"/>
        <w:rPr>
          <w:rFonts w:asciiTheme="minorEastAsia" w:hAnsiTheme="minorEastAsia" w:eastAsiaTheme="minorEastAsia"/>
          <w:b/>
          <w:color w:val="auto"/>
          <w:sz w:val="24"/>
          <w:szCs w:val="24"/>
        </w:rPr>
      </w:pPr>
      <w:r>
        <w:rPr>
          <w:rFonts w:cs="宋体" w:asciiTheme="minorEastAsia" w:hAnsiTheme="minorEastAsia" w:eastAsiaTheme="minorEastAsia"/>
          <w:color w:val="auto"/>
          <w:spacing w:val="8"/>
          <w:kern w:val="0"/>
          <w:sz w:val="24"/>
          <w:szCs w:val="24"/>
        </w:rPr>
        <w:br w:type="page"/>
      </w:r>
      <w:r>
        <w:rPr>
          <w:rFonts w:hint="eastAsia" w:asciiTheme="minorEastAsia" w:hAnsiTheme="minorEastAsia" w:eastAsiaTheme="minorEastAsia"/>
          <w:b/>
          <w:bCs/>
          <w:color w:val="auto"/>
          <w:sz w:val="24"/>
          <w:szCs w:val="24"/>
        </w:rPr>
        <w:t>七、诚信情况承诺函</w:t>
      </w:r>
    </w:p>
    <w:p w14:paraId="3DC43543">
      <w:pPr>
        <w:spacing w:line="312" w:lineRule="auto"/>
        <w:rPr>
          <w:rFonts w:asciiTheme="minorEastAsia" w:hAnsiTheme="minorEastAsia" w:eastAsiaTheme="minorEastAsia"/>
          <w:color w:val="auto"/>
          <w:sz w:val="24"/>
          <w:szCs w:val="24"/>
        </w:rPr>
      </w:pPr>
    </w:p>
    <w:p w14:paraId="0BEE699A">
      <w:pPr>
        <w:spacing w:line="360" w:lineRule="auto"/>
        <w:rPr>
          <w:rFonts w:asciiTheme="minorEastAsia" w:hAnsiTheme="minorEastAsia" w:eastAsiaTheme="minorEastAsia"/>
          <w:i/>
          <w:iCs/>
          <w:color w:val="auto"/>
          <w:sz w:val="24"/>
          <w:szCs w:val="24"/>
        </w:rPr>
      </w:pPr>
      <w:r>
        <w:rPr>
          <w:rFonts w:hint="eastAsia" w:asciiTheme="minorEastAsia" w:hAnsiTheme="minorEastAsia" w:eastAsiaTheme="minorEastAsia"/>
          <w:color w:val="auto"/>
          <w:sz w:val="24"/>
          <w:szCs w:val="24"/>
        </w:rPr>
        <w:t>致：深圳市儿童医院</w:t>
      </w:r>
    </w:p>
    <w:p w14:paraId="02E72CF8">
      <w:pPr>
        <w:spacing w:line="360" w:lineRule="auto"/>
        <w:ind w:firstLine="525"/>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我司参加贵</w:t>
      </w:r>
      <w:r>
        <w:rPr>
          <w:rFonts w:hint="eastAsia" w:asciiTheme="minorEastAsia" w:hAnsiTheme="minorEastAsia" w:eastAsiaTheme="minorEastAsia"/>
          <w:color w:val="auto"/>
          <w:sz w:val="24"/>
          <w:szCs w:val="24"/>
          <w:u w:val="single"/>
        </w:rPr>
        <w:t xml:space="preserve">院                     </w:t>
      </w:r>
      <w:r>
        <w:rPr>
          <w:rFonts w:hint="eastAsia" w:asciiTheme="minorEastAsia" w:hAnsiTheme="minorEastAsia" w:eastAsiaTheme="minorEastAsia"/>
          <w:color w:val="auto"/>
          <w:sz w:val="24"/>
          <w:szCs w:val="24"/>
        </w:rPr>
        <w:t>招标项目投标，在此郑重承诺：</w:t>
      </w:r>
    </w:p>
    <w:p w14:paraId="76C47AD3">
      <w:pPr>
        <w:spacing w:line="360" w:lineRule="auto"/>
        <w:ind w:firstLine="525"/>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1、我司未</w:t>
      </w:r>
      <w:r>
        <w:rPr>
          <w:rFonts w:asciiTheme="minorEastAsia" w:hAnsiTheme="minorEastAsia" w:eastAsiaTheme="minorEastAsia"/>
          <w:color w:val="auto"/>
          <w:sz w:val="24"/>
          <w:szCs w:val="24"/>
        </w:rPr>
        <w:t>在政府采购活动中出现以下情形之一</w:t>
      </w:r>
      <w:r>
        <w:rPr>
          <w:rFonts w:hint="eastAsia" w:asciiTheme="minorEastAsia" w:hAnsiTheme="minorEastAsia" w:eastAsiaTheme="minorEastAsia"/>
          <w:color w:val="auto"/>
          <w:sz w:val="24"/>
          <w:szCs w:val="24"/>
        </w:rPr>
        <w:t>：</w:t>
      </w:r>
    </w:p>
    <w:p w14:paraId="7D817567">
      <w:pPr>
        <w:numPr>
          <w:ilvl w:val="1"/>
          <w:numId w:val="7"/>
        </w:num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被纪检监察部门立案调查，违法违规事实成立的；</w:t>
      </w:r>
    </w:p>
    <w:p w14:paraId="425070B3">
      <w:pPr>
        <w:numPr>
          <w:ilvl w:val="1"/>
          <w:numId w:val="7"/>
        </w:num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未按规定签订、履行采购合同，造成严重后果的；</w:t>
      </w:r>
    </w:p>
    <w:p w14:paraId="669C4CB5">
      <w:pPr>
        <w:numPr>
          <w:ilvl w:val="1"/>
          <w:numId w:val="7"/>
        </w:num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隐瞒真实情况，提供虚假资料的；</w:t>
      </w:r>
    </w:p>
    <w:p w14:paraId="6B171A90">
      <w:pPr>
        <w:numPr>
          <w:ilvl w:val="1"/>
          <w:numId w:val="7"/>
        </w:num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以非法手段排斥其他供应商参与竞争的；</w:t>
      </w:r>
    </w:p>
    <w:p w14:paraId="17820DB1">
      <w:pPr>
        <w:numPr>
          <w:ilvl w:val="1"/>
          <w:numId w:val="7"/>
        </w:num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与其他采购参加人串通投标的；</w:t>
      </w:r>
    </w:p>
    <w:p w14:paraId="2BA6E060">
      <w:pPr>
        <w:numPr>
          <w:ilvl w:val="1"/>
          <w:numId w:val="7"/>
        </w:num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在采购活动中应当回避而未回避的；</w:t>
      </w:r>
    </w:p>
    <w:p w14:paraId="5D0D88EE">
      <w:pPr>
        <w:numPr>
          <w:ilvl w:val="1"/>
          <w:numId w:val="7"/>
        </w:num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恶意投诉的；</w:t>
      </w:r>
    </w:p>
    <w:p w14:paraId="06BFFDEB">
      <w:pPr>
        <w:numPr>
          <w:ilvl w:val="1"/>
          <w:numId w:val="7"/>
        </w:num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向采购项目相关人行贿或者提供其他不当利益的；</w:t>
      </w:r>
    </w:p>
    <w:p w14:paraId="38E00E27">
      <w:pPr>
        <w:numPr>
          <w:ilvl w:val="1"/>
          <w:numId w:val="7"/>
        </w:num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阻碍、抗拒主管部门监督检查的；</w:t>
      </w:r>
    </w:p>
    <w:p w14:paraId="67919163">
      <w:pPr>
        <w:numPr>
          <w:ilvl w:val="1"/>
          <w:numId w:val="7"/>
        </w:num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在政府采购主管部门履约检查中不及格或评价为差的；</w:t>
      </w:r>
    </w:p>
    <w:p w14:paraId="233C96A2">
      <w:pPr>
        <w:spacing w:line="360" w:lineRule="auto"/>
        <w:ind w:left="42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（十一）主管部门认定的其他情形。</w:t>
      </w:r>
    </w:p>
    <w:p w14:paraId="3652361F">
      <w:pPr>
        <w:spacing w:line="360" w:lineRule="auto"/>
        <w:ind w:firstLine="54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2、我司已清楚不得作虚假承诺。如违反上述要求作出虚假承诺，其投标将作废，被列入不良记录名单并在网上曝光，一年内不得参加我院投标。</w:t>
      </w:r>
    </w:p>
    <w:p w14:paraId="3DCA205D">
      <w:pPr>
        <w:spacing w:line="312" w:lineRule="auto"/>
        <w:ind w:firstLine="525"/>
        <w:rPr>
          <w:rFonts w:asciiTheme="minorEastAsia" w:hAnsiTheme="minorEastAsia" w:eastAsiaTheme="minorEastAsia"/>
          <w:color w:val="auto"/>
          <w:sz w:val="24"/>
          <w:szCs w:val="24"/>
        </w:rPr>
      </w:pPr>
    </w:p>
    <w:p w14:paraId="624E92EF">
      <w:pPr>
        <w:spacing w:line="312" w:lineRule="auto"/>
        <w:ind w:firstLine="525"/>
        <w:rPr>
          <w:rFonts w:asciiTheme="minorEastAsia" w:hAnsiTheme="minorEastAsia" w:eastAsiaTheme="minorEastAsia"/>
          <w:color w:val="auto"/>
          <w:sz w:val="24"/>
          <w:szCs w:val="24"/>
        </w:rPr>
      </w:pPr>
    </w:p>
    <w:p w14:paraId="44077B70">
      <w:pPr>
        <w:spacing w:line="312" w:lineRule="auto"/>
        <w:ind w:firstLine="525"/>
        <w:rPr>
          <w:rFonts w:asciiTheme="minorEastAsia" w:hAnsiTheme="minorEastAsia" w:eastAsiaTheme="minorEastAsia"/>
          <w:color w:val="auto"/>
          <w:sz w:val="24"/>
          <w:szCs w:val="24"/>
        </w:rPr>
      </w:pPr>
    </w:p>
    <w:p w14:paraId="0322EE40">
      <w:pPr>
        <w:spacing w:line="312" w:lineRule="auto"/>
        <w:ind w:firstLine="525"/>
        <w:rPr>
          <w:rFonts w:asciiTheme="minorEastAsia" w:hAnsiTheme="minorEastAsia" w:eastAsiaTheme="minorEastAsia"/>
          <w:color w:val="auto"/>
          <w:sz w:val="24"/>
          <w:szCs w:val="24"/>
        </w:rPr>
      </w:pPr>
    </w:p>
    <w:p w14:paraId="655AA558">
      <w:pPr>
        <w:spacing w:line="312" w:lineRule="auto"/>
        <w:ind w:firstLine="525"/>
        <w:rPr>
          <w:rFonts w:asciiTheme="minorEastAsia" w:hAnsiTheme="minorEastAsia" w:eastAsiaTheme="minorEastAsia"/>
          <w:color w:val="auto"/>
          <w:sz w:val="24"/>
          <w:szCs w:val="24"/>
        </w:rPr>
      </w:pPr>
    </w:p>
    <w:p w14:paraId="3AD0FE67">
      <w:pPr>
        <w:spacing w:line="480" w:lineRule="auto"/>
        <w:ind w:firstLine="360" w:firstLineChars="150"/>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投标人名称（公章）：</w:t>
      </w:r>
      <w:r>
        <w:rPr>
          <w:rFonts w:hint="eastAsia" w:cs="宋体" w:asciiTheme="minorEastAsia" w:hAnsiTheme="minorEastAsia" w:eastAsiaTheme="minorEastAsia"/>
          <w:color w:val="auto"/>
          <w:sz w:val="24"/>
          <w:szCs w:val="24"/>
          <w:u w:val="single"/>
        </w:rPr>
        <w:t xml:space="preserve">                            </w:t>
      </w:r>
      <w:r>
        <w:rPr>
          <w:rFonts w:hint="eastAsia" w:cs="宋体" w:asciiTheme="minorEastAsia" w:hAnsiTheme="minorEastAsia" w:eastAsiaTheme="minorEastAsia"/>
          <w:color w:val="auto"/>
          <w:sz w:val="24"/>
          <w:szCs w:val="24"/>
        </w:rPr>
        <w:t xml:space="preserve">  </w:t>
      </w:r>
    </w:p>
    <w:p w14:paraId="5D44C7BA">
      <w:pPr>
        <w:pStyle w:val="22"/>
        <w:spacing w:line="480" w:lineRule="auto"/>
        <w:ind w:firstLine="360" w:firstLineChars="15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投标人代表（签字）：</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 xml:space="preserve">  </w:t>
      </w:r>
    </w:p>
    <w:p w14:paraId="430BAFD5">
      <w:pPr>
        <w:spacing w:line="360" w:lineRule="auto"/>
        <w:ind w:firstLine="360" w:firstLineChars="150"/>
        <w:rPr>
          <w:rFonts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日        期：</w:t>
      </w:r>
      <w:r>
        <w:rPr>
          <w:rFonts w:hint="eastAsia" w:cs="宋体" w:asciiTheme="minorEastAsia" w:hAnsiTheme="minorEastAsia" w:eastAsiaTheme="minorEastAsia"/>
          <w:color w:val="auto"/>
          <w:kern w:val="0"/>
          <w:sz w:val="24"/>
          <w:szCs w:val="24"/>
          <w:u w:val="single"/>
        </w:rPr>
        <w:t xml:space="preserve">                                 </w:t>
      </w:r>
    </w:p>
    <w:p w14:paraId="26A32376">
      <w:pPr>
        <w:spacing w:line="300" w:lineRule="auto"/>
        <w:rPr>
          <w:rFonts w:asciiTheme="minorEastAsia" w:hAnsiTheme="minorEastAsia" w:eastAsiaTheme="minorEastAsia"/>
          <w:color w:val="auto"/>
          <w:sz w:val="24"/>
          <w:szCs w:val="24"/>
        </w:rPr>
      </w:pPr>
      <w:bookmarkStart w:id="14" w:name="_Toc313109535"/>
    </w:p>
    <w:p w14:paraId="2A7AC53D">
      <w:pPr>
        <w:spacing w:line="300" w:lineRule="auto"/>
        <w:rPr>
          <w:rFonts w:asciiTheme="minorEastAsia" w:hAnsiTheme="minorEastAsia" w:eastAsiaTheme="minorEastAsia"/>
          <w:color w:val="auto"/>
          <w:sz w:val="24"/>
          <w:szCs w:val="24"/>
        </w:rPr>
      </w:pPr>
    </w:p>
    <w:p w14:paraId="792E0861">
      <w:pPr>
        <w:spacing w:line="300" w:lineRule="auto"/>
        <w:rPr>
          <w:rFonts w:asciiTheme="minorEastAsia" w:hAnsiTheme="minorEastAsia" w:eastAsiaTheme="minorEastAsia"/>
          <w:color w:val="auto"/>
          <w:sz w:val="24"/>
          <w:szCs w:val="24"/>
        </w:rPr>
      </w:pPr>
    </w:p>
    <w:p w14:paraId="51BF3CC0">
      <w:pPr>
        <w:spacing w:line="300" w:lineRule="auto"/>
        <w:rPr>
          <w:rFonts w:asciiTheme="minorEastAsia" w:hAnsiTheme="minorEastAsia" w:eastAsiaTheme="minorEastAsia"/>
          <w:color w:val="auto"/>
          <w:sz w:val="24"/>
          <w:szCs w:val="24"/>
        </w:rPr>
      </w:pPr>
    </w:p>
    <w:p w14:paraId="290B9753">
      <w:pPr>
        <w:spacing w:line="300" w:lineRule="auto"/>
        <w:rPr>
          <w:rFonts w:asciiTheme="minorEastAsia" w:hAnsiTheme="minorEastAsia" w:eastAsiaTheme="minorEastAsia"/>
          <w:color w:val="auto"/>
          <w:sz w:val="24"/>
          <w:szCs w:val="24"/>
        </w:rPr>
      </w:pPr>
    </w:p>
    <w:p w14:paraId="61797216">
      <w:pPr>
        <w:spacing w:line="300" w:lineRule="auto"/>
        <w:rPr>
          <w:rFonts w:asciiTheme="minorEastAsia" w:hAnsiTheme="minorEastAsia" w:eastAsiaTheme="minorEastAsia"/>
          <w:color w:val="auto"/>
          <w:sz w:val="24"/>
          <w:szCs w:val="24"/>
        </w:rPr>
      </w:pPr>
    </w:p>
    <w:p w14:paraId="1A9849CE">
      <w:pPr>
        <w:ind w:firstLine="2891" w:firstLineChars="1200"/>
        <w:rPr>
          <w:rFonts w:asciiTheme="minorEastAsia" w:hAnsiTheme="minorEastAsia" w:eastAsiaTheme="minorEastAsia"/>
          <w:b/>
          <w:color w:val="auto"/>
          <w:sz w:val="24"/>
          <w:szCs w:val="24"/>
        </w:rPr>
      </w:pPr>
      <w:r>
        <w:rPr>
          <w:rFonts w:hint="eastAsia" w:asciiTheme="minorEastAsia" w:hAnsiTheme="minorEastAsia" w:eastAsiaTheme="minorEastAsia"/>
          <w:b/>
          <w:bCs/>
          <w:snapToGrid w:val="0"/>
          <w:color w:val="auto"/>
          <w:kern w:val="0"/>
          <w:sz w:val="24"/>
          <w:szCs w:val="24"/>
        </w:rPr>
        <w:t>八、</w:t>
      </w:r>
      <w:r>
        <w:rPr>
          <w:rFonts w:hint="eastAsia" w:asciiTheme="minorEastAsia" w:hAnsiTheme="minorEastAsia" w:eastAsiaTheme="minorEastAsia"/>
          <w:b/>
          <w:color w:val="auto"/>
          <w:sz w:val="24"/>
          <w:szCs w:val="24"/>
        </w:rPr>
        <w:t>产品质量保证书</w:t>
      </w:r>
    </w:p>
    <w:p w14:paraId="69E12A07">
      <w:pPr>
        <w:rPr>
          <w:rFonts w:asciiTheme="minorEastAsia" w:hAnsiTheme="minorEastAsia" w:eastAsiaTheme="minorEastAsia"/>
          <w:color w:val="auto"/>
          <w:sz w:val="24"/>
          <w:szCs w:val="24"/>
        </w:rPr>
      </w:pPr>
    </w:p>
    <w:p w14:paraId="5FBE8625">
      <w:pPr>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本公司销售的产品是经由国家相关部门严格审核获准进入市场。</w:t>
      </w:r>
    </w:p>
    <w:p w14:paraId="2C76C0CA">
      <w:pPr>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为保证您安全、放心地使用本产品，我公司对产品的质量和服务郑重承诺：</w:t>
      </w:r>
    </w:p>
    <w:p w14:paraId="544B2E5C">
      <w:pPr>
        <w:numPr>
          <w:ilvl w:val="0"/>
          <w:numId w:val="8"/>
        </w:num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使用本产品的患者均能得到公司高质量的售前、售中、售后服务。</w:t>
      </w:r>
    </w:p>
    <w:p w14:paraId="10192D51">
      <w:pPr>
        <w:numPr>
          <w:ilvl w:val="0"/>
          <w:numId w:val="8"/>
        </w:num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因产品质量缺陷造成的伤害和损失（经国家法定权威部门鉴定，情况属实），则与医院无关，由本公司与产品生产厂家负责赔偿责任。</w:t>
      </w:r>
    </w:p>
    <w:p w14:paraId="41F40426">
      <w:pPr>
        <w:numPr>
          <w:ilvl w:val="0"/>
          <w:numId w:val="8"/>
        </w:num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因使用本产品而导致的医患纠纷，在未明确责任前，本公司愿意协助医院积极处理。</w:t>
      </w:r>
    </w:p>
    <w:p w14:paraId="590BB0C0">
      <w:pPr>
        <w:rPr>
          <w:rFonts w:asciiTheme="minorEastAsia" w:hAnsiTheme="minorEastAsia" w:eastAsiaTheme="minorEastAsia"/>
          <w:color w:val="auto"/>
          <w:sz w:val="24"/>
          <w:szCs w:val="24"/>
        </w:rPr>
      </w:pPr>
    </w:p>
    <w:p w14:paraId="2E926488">
      <w:pPr>
        <w:rPr>
          <w:rFonts w:asciiTheme="minorEastAsia" w:hAnsiTheme="minorEastAsia" w:eastAsiaTheme="minorEastAsia"/>
          <w:color w:val="auto"/>
          <w:sz w:val="24"/>
          <w:szCs w:val="24"/>
        </w:rPr>
      </w:pPr>
    </w:p>
    <w:p w14:paraId="4DA5F91F">
      <w:pPr>
        <w:spacing w:line="480" w:lineRule="auto"/>
        <w:rPr>
          <w:rFonts w:asciiTheme="minorEastAsia" w:hAnsiTheme="minorEastAsia" w:eastAsiaTheme="minorEastAsia"/>
          <w:color w:val="auto"/>
          <w:sz w:val="24"/>
          <w:szCs w:val="24"/>
        </w:rPr>
      </w:pPr>
    </w:p>
    <w:p w14:paraId="79C865B3">
      <w:pPr>
        <w:spacing w:line="480" w:lineRule="auto"/>
        <w:rPr>
          <w:rFonts w:asciiTheme="minorEastAsia" w:hAnsiTheme="minorEastAsia" w:eastAsiaTheme="minorEastAsia"/>
          <w:color w:val="auto"/>
          <w:sz w:val="24"/>
          <w:szCs w:val="24"/>
        </w:rPr>
      </w:pPr>
    </w:p>
    <w:p w14:paraId="3412B289">
      <w:pPr>
        <w:spacing w:line="480" w:lineRule="auto"/>
        <w:ind w:firstLine="3840" w:firstLineChars="16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销售公司（盖章）：</w:t>
      </w:r>
    </w:p>
    <w:p w14:paraId="5ED42471">
      <w:pPr>
        <w:spacing w:line="480" w:lineRule="auto"/>
        <w:ind w:firstLine="3840" w:firstLineChars="16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代表签名：</w:t>
      </w:r>
    </w:p>
    <w:p w14:paraId="71D92AA3">
      <w:pPr>
        <w:spacing w:line="480" w:lineRule="auto"/>
        <w:ind w:firstLine="3840" w:firstLineChars="16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身份证号：</w:t>
      </w:r>
    </w:p>
    <w:p w14:paraId="3000285B">
      <w:pPr>
        <w:spacing w:line="480" w:lineRule="auto"/>
        <w:ind w:firstLine="3840" w:firstLineChars="16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日    期：</w:t>
      </w:r>
    </w:p>
    <w:p w14:paraId="45AAEE74">
      <w:pPr>
        <w:rPr>
          <w:rFonts w:asciiTheme="minorEastAsia" w:hAnsiTheme="minorEastAsia" w:eastAsiaTheme="minorEastAsia"/>
          <w:color w:val="auto"/>
          <w:sz w:val="24"/>
          <w:szCs w:val="24"/>
        </w:rPr>
      </w:pPr>
    </w:p>
    <w:p w14:paraId="4F1B86CC">
      <w:pPr>
        <w:rPr>
          <w:rFonts w:asciiTheme="minorEastAsia" w:hAnsiTheme="minorEastAsia" w:eastAsiaTheme="minorEastAsia"/>
          <w:color w:val="auto"/>
          <w:sz w:val="24"/>
          <w:szCs w:val="24"/>
        </w:rPr>
      </w:pPr>
    </w:p>
    <w:p w14:paraId="4A9B1E35">
      <w:pPr>
        <w:rPr>
          <w:rFonts w:asciiTheme="minorEastAsia" w:hAnsiTheme="minorEastAsia" w:eastAsiaTheme="minorEastAsia"/>
          <w:color w:val="auto"/>
          <w:sz w:val="24"/>
          <w:szCs w:val="24"/>
        </w:rPr>
      </w:pPr>
    </w:p>
    <w:p w14:paraId="15AFDC9E">
      <w:pPr>
        <w:rPr>
          <w:rFonts w:asciiTheme="minorEastAsia" w:hAnsiTheme="minorEastAsia" w:eastAsiaTheme="minorEastAsia"/>
          <w:color w:val="auto"/>
          <w:sz w:val="24"/>
          <w:szCs w:val="24"/>
        </w:rPr>
      </w:pPr>
    </w:p>
    <w:p w14:paraId="3A342C2C">
      <w:pPr>
        <w:spacing w:line="300" w:lineRule="auto"/>
        <w:rPr>
          <w:rFonts w:asciiTheme="minorEastAsia" w:hAnsiTheme="minorEastAsia" w:eastAsiaTheme="minorEastAsia"/>
          <w:color w:val="auto"/>
          <w:sz w:val="24"/>
          <w:szCs w:val="24"/>
        </w:rPr>
      </w:pPr>
    </w:p>
    <w:p w14:paraId="2EF6A40A">
      <w:pPr>
        <w:spacing w:line="300" w:lineRule="auto"/>
        <w:rPr>
          <w:rFonts w:asciiTheme="minorEastAsia" w:hAnsiTheme="minorEastAsia" w:eastAsiaTheme="minorEastAsia"/>
          <w:color w:val="auto"/>
          <w:sz w:val="24"/>
          <w:szCs w:val="24"/>
        </w:rPr>
      </w:pPr>
    </w:p>
    <w:p w14:paraId="5E69BC01">
      <w:pPr>
        <w:spacing w:line="300" w:lineRule="auto"/>
        <w:ind w:firstLine="1446" w:firstLineChars="600"/>
        <w:rPr>
          <w:rFonts w:asciiTheme="minorEastAsia" w:hAnsiTheme="minorEastAsia" w:eastAsiaTheme="minorEastAsia"/>
          <w:b/>
          <w:bCs/>
          <w:color w:val="auto"/>
          <w:sz w:val="24"/>
          <w:szCs w:val="24"/>
        </w:rPr>
      </w:pPr>
    </w:p>
    <w:p w14:paraId="7B1D259F">
      <w:pPr>
        <w:spacing w:line="300" w:lineRule="auto"/>
        <w:ind w:firstLine="1446" w:firstLineChars="600"/>
        <w:rPr>
          <w:rFonts w:asciiTheme="minorEastAsia" w:hAnsiTheme="minorEastAsia" w:eastAsiaTheme="minorEastAsia"/>
          <w:b/>
          <w:bCs/>
          <w:color w:val="auto"/>
          <w:sz w:val="24"/>
          <w:szCs w:val="24"/>
        </w:rPr>
      </w:pPr>
    </w:p>
    <w:p w14:paraId="0AE21B78">
      <w:pPr>
        <w:spacing w:line="300" w:lineRule="auto"/>
        <w:rPr>
          <w:rFonts w:asciiTheme="minorEastAsia" w:hAnsiTheme="minorEastAsia" w:eastAsiaTheme="minorEastAsia"/>
          <w:b/>
          <w:bCs/>
          <w:color w:val="auto"/>
          <w:sz w:val="24"/>
          <w:szCs w:val="24"/>
        </w:rPr>
      </w:pPr>
    </w:p>
    <w:p w14:paraId="50DFEDCB">
      <w:pPr>
        <w:spacing w:line="300" w:lineRule="auto"/>
        <w:ind w:firstLine="1446" w:firstLineChars="600"/>
        <w:rPr>
          <w:rFonts w:asciiTheme="minorEastAsia" w:hAnsiTheme="minorEastAsia" w:eastAsiaTheme="minorEastAsia"/>
          <w:color w:val="auto"/>
          <w:sz w:val="24"/>
          <w:szCs w:val="24"/>
        </w:rPr>
      </w:pPr>
      <w:r>
        <w:rPr>
          <w:rFonts w:hint="eastAsia" w:asciiTheme="minorEastAsia" w:hAnsiTheme="minorEastAsia" w:eastAsiaTheme="minorEastAsia"/>
          <w:b/>
          <w:bCs/>
          <w:color w:val="auto"/>
          <w:sz w:val="24"/>
          <w:szCs w:val="24"/>
        </w:rPr>
        <w:t>九、投标人认为需要补充的其他资料（如有）</w:t>
      </w:r>
      <w:bookmarkEnd w:id="14"/>
    </w:p>
    <w:p w14:paraId="2F751D36">
      <w:pPr>
        <w:spacing w:line="360" w:lineRule="auto"/>
        <w:jc w:val="left"/>
        <w:rPr>
          <w:rFonts w:asciiTheme="minorEastAsia" w:hAnsiTheme="minorEastAsia" w:eastAsiaTheme="minorEastAsia"/>
          <w:color w:val="auto"/>
          <w:sz w:val="24"/>
          <w:szCs w:val="24"/>
        </w:rPr>
      </w:pPr>
    </w:p>
    <w:p w14:paraId="76E14A73">
      <w:pPr>
        <w:spacing w:line="360" w:lineRule="auto"/>
        <w:jc w:val="left"/>
        <w:rPr>
          <w:rFonts w:asciiTheme="minorEastAsia" w:hAnsiTheme="minorEastAsia" w:eastAsiaTheme="minorEastAsia"/>
          <w:color w:val="auto"/>
          <w:sz w:val="24"/>
          <w:szCs w:val="24"/>
        </w:rPr>
      </w:pPr>
    </w:p>
    <w:p w14:paraId="0B1DD9E3">
      <w:pPr>
        <w:spacing w:line="360" w:lineRule="auto"/>
        <w:jc w:val="left"/>
        <w:rPr>
          <w:rFonts w:asciiTheme="minorEastAsia" w:hAnsiTheme="minorEastAsia" w:eastAsiaTheme="minorEastAsia"/>
          <w:color w:val="auto"/>
          <w:sz w:val="24"/>
          <w:szCs w:val="24"/>
        </w:rPr>
      </w:pPr>
    </w:p>
    <w:p w14:paraId="26220016">
      <w:pPr>
        <w:tabs>
          <w:tab w:val="left" w:pos="1114"/>
        </w:tabs>
        <w:rPr>
          <w:rFonts w:asciiTheme="minorEastAsia" w:hAnsiTheme="minorEastAsia" w:eastAsiaTheme="minorEastAsia"/>
          <w:color w:val="auto"/>
          <w:sz w:val="24"/>
          <w:szCs w:val="24"/>
        </w:rPr>
      </w:pPr>
    </w:p>
    <w:p w14:paraId="567086EF">
      <w:pPr>
        <w:tabs>
          <w:tab w:val="left" w:pos="1114"/>
        </w:tabs>
        <w:rPr>
          <w:rFonts w:asciiTheme="minorEastAsia" w:hAnsiTheme="minorEastAsia" w:eastAsiaTheme="minorEastAsia"/>
          <w:color w:val="auto"/>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2FD0F799">
        <w:pPr>
          <w:pStyle w:val="11"/>
          <w:jc w:val="center"/>
        </w:pPr>
        <w:r>
          <w:fldChar w:fldCharType="begin"/>
        </w:r>
        <w:r>
          <w:instrText xml:space="preserve"> PAGE   \* MERGEFORMAT </w:instrText>
        </w:r>
        <w:r>
          <w:fldChar w:fldCharType="separate"/>
        </w:r>
        <w:r>
          <w:rPr>
            <w:lang w:val="zh-CN"/>
          </w:rPr>
          <w:t>4</w:t>
        </w:r>
        <w:r>
          <w:rPr>
            <w:lang w:val="zh-CN"/>
          </w:rPr>
          <w:fldChar w:fldCharType="end"/>
        </w:r>
      </w:p>
    </w:sdtContent>
  </w:sdt>
  <w:p w14:paraId="5062B885">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1EBE6">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E1F34"/>
    <w:multiLevelType w:val="singleLevel"/>
    <w:tmpl w:val="94CE1F34"/>
    <w:lvl w:ilvl="0" w:tentative="0">
      <w:start w:val="1"/>
      <w:numFmt w:val="decimal"/>
      <w:lvlText w:val="(%1)"/>
      <w:lvlJc w:val="left"/>
      <w:pPr>
        <w:ind w:left="425" w:hanging="425"/>
      </w:pPr>
      <w:rPr>
        <w:rFonts w:hint="default"/>
      </w:rPr>
    </w:lvl>
  </w:abstractNum>
  <w:abstractNum w:abstractNumId="1">
    <w:nsid w:val="9B3468FC"/>
    <w:multiLevelType w:val="singleLevel"/>
    <w:tmpl w:val="9B3468FC"/>
    <w:lvl w:ilvl="0" w:tentative="0">
      <w:start w:val="1"/>
      <w:numFmt w:val="decimal"/>
      <w:suff w:val="nothing"/>
      <w:lvlText w:val="%1、"/>
      <w:lvlJc w:val="left"/>
    </w:lvl>
  </w:abstractNum>
  <w:abstractNum w:abstractNumId="2">
    <w:nsid w:val="F8C6DCA8"/>
    <w:multiLevelType w:val="singleLevel"/>
    <w:tmpl w:val="F8C6DCA8"/>
    <w:lvl w:ilvl="0" w:tentative="0">
      <w:start w:val="1"/>
      <w:numFmt w:val="decimal"/>
      <w:lvlText w:val="(%1)"/>
      <w:lvlJc w:val="left"/>
      <w:pPr>
        <w:ind w:left="425" w:hanging="425"/>
      </w:pPr>
      <w:rPr>
        <w:rFonts w:hint="default"/>
      </w:rPr>
    </w:lvl>
  </w:abstractNum>
  <w:abstractNum w:abstractNumId="3">
    <w:nsid w:val="0E43DFFF"/>
    <w:multiLevelType w:val="singleLevel"/>
    <w:tmpl w:val="0E43DFFF"/>
    <w:lvl w:ilvl="0" w:tentative="0">
      <w:start w:val="1"/>
      <w:numFmt w:val="chineseCounting"/>
      <w:suff w:val="nothing"/>
      <w:lvlText w:val="%1、"/>
      <w:lvlJc w:val="left"/>
      <w:pPr>
        <w:ind w:left="0" w:firstLine="420"/>
      </w:pPr>
      <w:rPr>
        <w:rFonts w:hint="eastAsia"/>
      </w:rPr>
    </w:lvl>
  </w:abstractNum>
  <w:abstractNum w:abstractNumId="4">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7ECDAF0"/>
    <w:multiLevelType w:val="singleLevel"/>
    <w:tmpl w:val="27ECDAF0"/>
    <w:lvl w:ilvl="0" w:tentative="0">
      <w:start w:val="1"/>
      <w:numFmt w:val="decimal"/>
      <w:suff w:val="nothing"/>
      <w:lvlText w:val="%1."/>
      <w:lvlJc w:val="left"/>
      <w:pPr>
        <w:ind w:left="454" w:leftChars="0" w:hanging="454" w:firstLineChars="0"/>
      </w:pPr>
      <w:rPr>
        <w:rFonts w:hint="default"/>
      </w:rPr>
    </w:lvl>
  </w:abstractNum>
  <w:abstractNum w:abstractNumId="6">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A73312E"/>
    <w:multiLevelType w:val="singleLevel"/>
    <w:tmpl w:val="3A73312E"/>
    <w:lvl w:ilvl="0" w:tentative="0">
      <w:start w:val="2"/>
      <w:numFmt w:val="decimal"/>
      <w:suff w:val="nothing"/>
      <w:lvlText w:val="%1、"/>
      <w:lvlJc w:val="left"/>
    </w:lvl>
  </w:abstractNum>
  <w:num w:numId="1">
    <w:abstractNumId w:val="7"/>
  </w:num>
  <w:num w:numId="2">
    <w:abstractNumId w:val="1"/>
  </w:num>
  <w:num w:numId="3">
    <w:abstractNumId w:val="3"/>
  </w:num>
  <w:num w:numId="4">
    <w:abstractNumId w:val="5"/>
  </w:num>
  <w:num w:numId="5">
    <w:abstractNumId w:val="0"/>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3OWMxZWE5ZDFmMTZiZjlmNzk2YjZhZmJjN2MzNmI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637F4"/>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0EFE"/>
    <w:rsid w:val="000F32CF"/>
    <w:rsid w:val="000F53CA"/>
    <w:rsid w:val="001005F4"/>
    <w:rsid w:val="00102A73"/>
    <w:rsid w:val="00105E39"/>
    <w:rsid w:val="00107EFF"/>
    <w:rsid w:val="001126B0"/>
    <w:rsid w:val="00114BE0"/>
    <w:rsid w:val="00115603"/>
    <w:rsid w:val="00116BF0"/>
    <w:rsid w:val="0011722B"/>
    <w:rsid w:val="00120D99"/>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1A81"/>
    <w:rsid w:val="001725FE"/>
    <w:rsid w:val="00175934"/>
    <w:rsid w:val="00182C85"/>
    <w:rsid w:val="00182CCD"/>
    <w:rsid w:val="001853C9"/>
    <w:rsid w:val="001932B1"/>
    <w:rsid w:val="0019659C"/>
    <w:rsid w:val="001A4B76"/>
    <w:rsid w:val="001A63D1"/>
    <w:rsid w:val="001B25EE"/>
    <w:rsid w:val="001B66EC"/>
    <w:rsid w:val="001B6D87"/>
    <w:rsid w:val="001C1FA2"/>
    <w:rsid w:val="001C29F5"/>
    <w:rsid w:val="001C3849"/>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A69"/>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2ACD"/>
    <w:rsid w:val="002544B2"/>
    <w:rsid w:val="00255F4F"/>
    <w:rsid w:val="00257804"/>
    <w:rsid w:val="00260329"/>
    <w:rsid w:val="0026104C"/>
    <w:rsid w:val="00261750"/>
    <w:rsid w:val="002617F0"/>
    <w:rsid w:val="0026330B"/>
    <w:rsid w:val="00265EEE"/>
    <w:rsid w:val="00270814"/>
    <w:rsid w:val="00271EF6"/>
    <w:rsid w:val="002755E1"/>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D45"/>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2DD5"/>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D2E7A"/>
    <w:rsid w:val="004E107C"/>
    <w:rsid w:val="004E36C4"/>
    <w:rsid w:val="004F0D8F"/>
    <w:rsid w:val="004F22BE"/>
    <w:rsid w:val="004F684D"/>
    <w:rsid w:val="004F6925"/>
    <w:rsid w:val="004F7894"/>
    <w:rsid w:val="004F789E"/>
    <w:rsid w:val="00500C1E"/>
    <w:rsid w:val="00501EE3"/>
    <w:rsid w:val="00502511"/>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3B5B"/>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4419F"/>
    <w:rsid w:val="006530A7"/>
    <w:rsid w:val="00653CEF"/>
    <w:rsid w:val="00655B2A"/>
    <w:rsid w:val="00655D1C"/>
    <w:rsid w:val="006562B7"/>
    <w:rsid w:val="00662189"/>
    <w:rsid w:val="00671FBA"/>
    <w:rsid w:val="00672AF2"/>
    <w:rsid w:val="00675F48"/>
    <w:rsid w:val="00677A8B"/>
    <w:rsid w:val="00683765"/>
    <w:rsid w:val="00686086"/>
    <w:rsid w:val="00687FF9"/>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2C7E"/>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E4204"/>
    <w:rsid w:val="008F107D"/>
    <w:rsid w:val="008F2097"/>
    <w:rsid w:val="008F2267"/>
    <w:rsid w:val="008F42FA"/>
    <w:rsid w:val="008F59E2"/>
    <w:rsid w:val="008F78D4"/>
    <w:rsid w:val="00900F05"/>
    <w:rsid w:val="00901A10"/>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E71"/>
    <w:rsid w:val="00A33F71"/>
    <w:rsid w:val="00A36B18"/>
    <w:rsid w:val="00A4064D"/>
    <w:rsid w:val="00A42A69"/>
    <w:rsid w:val="00A524D2"/>
    <w:rsid w:val="00A5312E"/>
    <w:rsid w:val="00A55A3D"/>
    <w:rsid w:val="00A56E66"/>
    <w:rsid w:val="00A60B90"/>
    <w:rsid w:val="00A60F0D"/>
    <w:rsid w:val="00A6462B"/>
    <w:rsid w:val="00A669E2"/>
    <w:rsid w:val="00A6719E"/>
    <w:rsid w:val="00A70087"/>
    <w:rsid w:val="00A72217"/>
    <w:rsid w:val="00A72E27"/>
    <w:rsid w:val="00A72ECE"/>
    <w:rsid w:val="00A770F1"/>
    <w:rsid w:val="00A85E21"/>
    <w:rsid w:val="00A85FFF"/>
    <w:rsid w:val="00A86EF8"/>
    <w:rsid w:val="00A92096"/>
    <w:rsid w:val="00AA1DF5"/>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74D1E"/>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E3591"/>
    <w:rsid w:val="00CF213E"/>
    <w:rsid w:val="00CF39A8"/>
    <w:rsid w:val="00CF5A32"/>
    <w:rsid w:val="00D006D0"/>
    <w:rsid w:val="00D01C85"/>
    <w:rsid w:val="00D028A1"/>
    <w:rsid w:val="00D037C0"/>
    <w:rsid w:val="00D04631"/>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1EF8"/>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1D04"/>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277C"/>
    <w:rsid w:val="00F5660A"/>
    <w:rsid w:val="00F612F0"/>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2816CCE"/>
    <w:rsid w:val="03367AB9"/>
    <w:rsid w:val="04A80842"/>
    <w:rsid w:val="04D7648A"/>
    <w:rsid w:val="04FA14E6"/>
    <w:rsid w:val="0531362C"/>
    <w:rsid w:val="054D6974"/>
    <w:rsid w:val="057207F6"/>
    <w:rsid w:val="05FC6B91"/>
    <w:rsid w:val="07732DB2"/>
    <w:rsid w:val="07B8320C"/>
    <w:rsid w:val="07CF0ACE"/>
    <w:rsid w:val="09285CF7"/>
    <w:rsid w:val="09687692"/>
    <w:rsid w:val="09732BED"/>
    <w:rsid w:val="0A031FF0"/>
    <w:rsid w:val="0AA13162"/>
    <w:rsid w:val="0AB6258A"/>
    <w:rsid w:val="0B452B9B"/>
    <w:rsid w:val="0B5770DF"/>
    <w:rsid w:val="0C372CCD"/>
    <w:rsid w:val="0C5603A3"/>
    <w:rsid w:val="0C5C2346"/>
    <w:rsid w:val="0C5E5BB8"/>
    <w:rsid w:val="0C94782E"/>
    <w:rsid w:val="0E215C17"/>
    <w:rsid w:val="0E9603EA"/>
    <w:rsid w:val="0F9A1827"/>
    <w:rsid w:val="0FDB5BF8"/>
    <w:rsid w:val="0FF0756D"/>
    <w:rsid w:val="10BB60F9"/>
    <w:rsid w:val="10CB03AE"/>
    <w:rsid w:val="110A33B6"/>
    <w:rsid w:val="11EC5E17"/>
    <w:rsid w:val="121432F4"/>
    <w:rsid w:val="12DD2EED"/>
    <w:rsid w:val="13545A8B"/>
    <w:rsid w:val="13840F17"/>
    <w:rsid w:val="13992498"/>
    <w:rsid w:val="140F5863"/>
    <w:rsid w:val="15C21802"/>
    <w:rsid w:val="15D233F0"/>
    <w:rsid w:val="15F1786F"/>
    <w:rsid w:val="16320B1F"/>
    <w:rsid w:val="16A8700F"/>
    <w:rsid w:val="16C016B3"/>
    <w:rsid w:val="16D00C09"/>
    <w:rsid w:val="172939D1"/>
    <w:rsid w:val="17596B0C"/>
    <w:rsid w:val="17AC41D5"/>
    <w:rsid w:val="18A962E7"/>
    <w:rsid w:val="18B20DA1"/>
    <w:rsid w:val="197C450A"/>
    <w:rsid w:val="19931B20"/>
    <w:rsid w:val="19BF54C6"/>
    <w:rsid w:val="1A154751"/>
    <w:rsid w:val="1A217D97"/>
    <w:rsid w:val="1A580152"/>
    <w:rsid w:val="1B733CDF"/>
    <w:rsid w:val="1BC70618"/>
    <w:rsid w:val="1BDC6183"/>
    <w:rsid w:val="1C0C72BC"/>
    <w:rsid w:val="1C213878"/>
    <w:rsid w:val="1C6311B2"/>
    <w:rsid w:val="1CBE541D"/>
    <w:rsid w:val="1CDB04F6"/>
    <w:rsid w:val="1D1D0E35"/>
    <w:rsid w:val="1D250BA1"/>
    <w:rsid w:val="1DD93DB9"/>
    <w:rsid w:val="1E7F1AFF"/>
    <w:rsid w:val="1EFF09E6"/>
    <w:rsid w:val="1F8C23DA"/>
    <w:rsid w:val="1FA13095"/>
    <w:rsid w:val="1FE040BC"/>
    <w:rsid w:val="20152CE5"/>
    <w:rsid w:val="204801C9"/>
    <w:rsid w:val="21916F90"/>
    <w:rsid w:val="22314524"/>
    <w:rsid w:val="228C71CA"/>
    <w:rsid w:val="22DE11E6"/>
    <w:rsid w:val="249C6AFD"/>
    <w:rsid w:val="24C64B9D"/>
    <w:rsid w:val="25D450BA"/>
    <w:rsid w:val="26E116DC"/>
    <w:rsid w:val="2764537F"/>
    <w:rsid w:val="277B4CFD"/>
    <w:rsid w:val="27D74B17"/>
    <w:rsid w:val="28752B19"/>
    <w:rsid w:val="2876124D"/>
    <w:rsid w:val="28AA01F1"/>
    <w:rsid w:val="28DB3B1F"/>
    <w:rsid w:val="2A377783"/>
    <w:rsid w:val="2A6266E9"/>
    <w:rsid w:val="2A6C54A9"/>
    <w:rsid w:val="2BB45953"/>
    <w:rsid w:val="2C493B09"/>
    <w:rsid w:val="2C53613E"/>
    <w:rsid w:val="2D1347F5"/>
    <w:rsid w:val="2D21664A"/>
    <w:rsid w:val="2F165F88"/>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4A72A3"/>
    <w:rsid w:val="36974B68"/>
    <w:rsid w:val="36D97CFC"/>
    <w:rsid w:val="375C2773"/>
    <w:rsid w:val="384C47A3"/>
    <w:rsid w:val="39031BEB"/>
    <w:rsid w:val="39072F88"/>
    <w:rsid w:val="394D7D0F"/>
    <w:rsid w:val="399E4DCC"/>
    <w:rsid w:val="3B5330E7"/>
    <w:rsid w:val="3BD85452"/>
    <w:rsid w:val="3BF6596E"/>
    <w:rsid w:val="3C125C3B"/>
    <w:rsid w:val="3CC86BE5"/>
    <w:rsid w:val="3CED6006"/>
    <w:rsid w:val="3D132062"/>
    <w:rsid w:val="3D3E56E0"/>
    <w:rsid w:val="3D83213E"/>
    <w:rsid w:val="3DDB4F84"/>
    <w:rsid w:val="3DFD4104"/>
    <w:rsid w:val="3F033133"/>
    <w:rsid w:val="3F6D6B69"/>
    <w:rsid w:val="3FD3744D"/>
    <w:rsid w:val="3FD573DA"/>
    <w:rsid w:val="3FEF7ADA"/>
    <w:rsid w:val="40A83A07"/>
    <w:rsid w:val="412F7F7D"/>
    <w:rsid w:val="416F41D1"/>
    <w:rsid w:val="41BA0644"/>
    <w:rsid w:val="41F05DAA"/>
    <w:rsid w:val="428A76BF"/>
    <w:rsid w:val="4357018A"/>
    <w:rsid w:val="4388454E"/>
    <w:rsid w:val="438A277C"/>
    <w:rsid w:val="45C85E8B"/>
    <w:rsid w:val="46C54B29"/>
    <w:rsid w:val="46FD5BE1"/>
    <w:rsid w:val="478E1DDE"/>
    <w:rsid w:val="47B26EFC"/>
    <w:rsid w:val="47E56E6A"/>
    <w:rsid w:val="481923FF"/>
    <w:rsid w:val="481E3C44"/>
    <w:rsid w:val="48E21409"/>
    <w:rsid w:val="490579E7"/>
    <w:rsid w:val="493A417A"/>
    <w:rsid w:val="497146B0"/>
    <w:rsid w:val="4A490D8F"/>
    <w:rsid w:val="4AB26D7B"/>
    <w:rsid w:val="4AB9636A"/>
    <w:rsid w:val="4B315FE3"/>
    <w:rsid w:val="4B693D86"/>
    <w:rsid w:val="4B8F40E0"/>
    <w:rsid w:val="4BC36005"/>
    <w:rsid w:val="4CA37BED"/>
    <w:rsid w:val="4D6B4742"/>
    <w:rsid w:val="4DE74B53"/>
    <w:rsid w:val="4E873EC5"/>
    <w:rsid w:val="4ED92673"/>
    <w:rsid w:val="4EEB4DAE"/>
    <w:rsid w:val="4F0F2B66"/>
    <w:rsid w:val="4F1779E9"/>
    <w:rsid w:val="4F296C73"/>
    <w:rsid w:val="4F747F89"/>
    <w:rsid w:val="4FC85BCB"/>
    <w:rsid w:val="50331FAE"/>
    <w:rsid w:val="505A3052"/>
    <w:rsid w:val="506247ED"/>
    <w:rsid w:val="5128622E"/>
    <w:rsid w:val="514725A2"/>
    <w:rsid w:val="51541FB9"/>
    <w:rsid w:val="51653541"/>
    <w:rsid w:val="51BA3918"/>
    <w:rsid w:val="52FB6FDA"/>
    <w:rsid w:val="533150FC"/>
    <w:rsid w:val="535459AE"/>
    <w:rsid w:val="53706F54"/>
    <w:rsid w:val="53B23A34"/>
    <w:rsid w:val="54D4267D"/>
    <w:rsid w:val="55794964"/>
    <w:rsid w:val="55A22FA6"/>
    <w:rsid w:val="55AE397F"/>
    <w:rsid w:val="56214ACF"/>
    <w:rsid w:val="56403B5B"/>
    <w:rsid w:val="567505FD"/>
    <w:rsid w:val="56820A81"/>
    <w:rsid w:val="56AA68E1"/>
    <w:rsid w:val="56D26193"/>
    <w:rsid w:val="57B233A0"/>
    <w:rsid w:val="57C92E9B"/>
    <w:rsid w:val="586B2478"/>
    <w:rsid w:val="58865E64"/>
    <w:rsid w:val="58C255AE"/>
    <w:rsid w:val="58DE6711"/>
    <w:rsid w:val="5A4D3BF6"/>
    <w:rsid w:val="5B512E4A"/>
    <w:rsid w:val="5B6B290C"/>
    <w:rsid w:val="5BE55FB8"/>
    <w:rsid w:val="5BFD4EC8"/>
    <w:rsid w:val="5C55335F"/>
    <w:rsid w:val="5C914C90"/>
    <w:rsid w:val="5CA72002"/>
    <w:rsid w:val="5CDD77D2"/>
    <w:rsid w:val="5D125649"/>
    <w:rsid w:val="5D514298"/>
    <w:rsid w:val="5E114E4D"/>
    <w:rsid w:val="5E954ECC"/>
    <w:rsid w:val="5F2430A4"/>
    <w:rsid w:val="5F323616"/>
    <w:rsid w:val="5F762EF1"/>
    <w:rsid w:val="5FA72226"/>
    <w:rsid w:val="5FC6029B"/>
    <w:rsid w:val="5FF81F45"/>
    <w:rsid w:val="60003EDC"/>
    <w:rsid w:val="60405D44"/>
    <w:rsid w:val="604959AE"/>
    <w:rsid w:val="60E216EA"/>
    <w:rsid w:val="61095808"/>
    <w:rsid w:val="613269C6"/>
    <w:rsid w:val="61371FA3"/>
    <w:rsid w:val="61C15C3A"/>
    <w:rsid w:val="62001EE2"/>
    <w:rsid w:val="620C6CE6"/>
    <w:rsid w:val="62867A17"/>
    <w:rsid w:val="632640B2"/>
    <w:rsid w:val="64477A04"/>
    <w:rsid w:val="64714C1E"/>
    <w:rsid w:val="64893CF5"/>
    <w:rsid w:val="65BB756F"/>
    <w:rsid w:val="66027D44"/>
    <w:rsid w:val="66420C8D"/>
    <w:rsid w:val="665E7BD6"/>
    <w:rsid w:val="66C20165"/>
    <w:rsid w:val="67434ACE"/>
    <w:rsid w:val="675160F0"/>
    <w:rsid w:val="67873AE3"/>
    <w:rsid w:val="679E29E3"/>
    <w:rsid w:val="67C46DBD"/>
    <w:rsid w:val="68043A23"/>
    <w:rsid w:val="68087A20"/>
    <w:rsid w:val="68124293"/>
    <w:rsid w:val="68A37534"/>
    <w:rsid w:val="69006315"/>
    <w:rsid w:val="6A7800D0"/>
    <w:rsid w:val="6A9476A7"/>
    <w:rsid w:val="6B740773"/>
    <w:rsid w:val="6BA96793"/>
    <w:rsid w:val="6BE47E9D"/>
    <w:rsid w:val="6C2D715B"/>
    <w:rsid w:val="6CCC2F03"/>
    <w:rsid w:val="6D7C1A08"/>
    <w:rsid w:val="6D7E3DB9"/>
    <w:rsid w:val="6EBC525F"/>
    <w:rsid w:val="6EED19D9"/>
    <w:rsid w:val="6EEE2197"/>
    <w:rsid w:val="6EEF7E4F"/>
    <w:rsid w:val="6F2D12A0"/>
    <w:rsid w:val="6F6B5112"/>
    <w:rsid w:val="70F03E4F"/>
    <w:rsid w:val="72BB566D"/>
    <w:rsid w:val="72FE0135"/>
    <w:rsid w:val="73021E25"/>
    <w:rsid w:val="733B0CC7"/>
    <w:rsid w:val="75017925"/>
    <w:rsid w:val="758479A8"/>
    <w:rsid w:val="75BF5C57"/>
    <w:rsid w:val="760C1FF0"/>
    <w:rsid w:val="76287E23"/>
    <w:rsid w:val="76437394"/>
    <w:rsid w:val="79A732D1"/>
    <w:rsid w:val="79BA4A36"/>
    <w:rsid w:val="7AD6416D"/>
    <w:rsid w:val="7BCD7517"/>
    <w:rsid w:val="7C0039D3"/>
    <w:rsid w:val="7C6C6D2C"/>
    <w:rsid w:val="7C7163B3"/>
    <w:rsid w:val="7D45640A"/>
    <w:rsid w:val="7DE6504F"/>
    <w:rsid w:val="7DEC76CD"/>
    <w:rsid w:val="7E745D91"/>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7"/>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5"/>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autoRedefine/>
    <w:qFormat/>
    <w:uiPriority w:val="0"/>
    <w:pPr>
      <w:spacing w:before="240" w:after="240"/>
      <w:outlineLvl w:val="2"/>
    </w:pPr>
    <w:rPr>
      <w:b/>
      <w:sz w:val="24"/>
    </w:rPr>
  </w:style>
  <w:style w:type="character" w:default="1" w:styleId="16">
    <w:name w:val="Default Paragraph Font"/>
    <w:autoRedefine/>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autoRedefine/>
    <w:qFormat/>
    <w:uiPriority w:val="0"/>
    <w:pPr>
      <w:spacing w:after="120" w:afterLines="0" w:afterAutospacing="0"/>
    </w:pPr>
  </w:style>
  <w:style w:type="paragraph" w:styleId="7">
    <w:name w:val="Body Text Indent"/>
    <w:basedOn w:val="1"/>
    <w:autoRedefine/>
    <w:qFormat/>
    <w:uiPriority w:val="0"/>
    <w:pPr>
      <w:spacing w:line="360" w:lineRule="auto"/>
      <w:ind w:left="720" w:hanging="720" w:hangingChars="300"/>
    </w:pPr>
    <w:rPr>
      <w:sz w:val="24"/>
    </w:rPr>
  </w:style>
  <w:style w:type="paragraph" w:styleId="8">
    <w:name w:val="Plain Text"/>
    <w:basedOn w:val="1"/>
    <w:link w:val="20"/>
    <w:autoRedefine/>
    <w:qFormat/>
    <w:uiPriority w:val="0"/>
    <w:rPr>
      <w:rFonts w:ascii="宋体" w:hAnsi="Courier New" w:cs="Courier New"/>
      <w:szCs w:val="21"/>
    </w:rPr>
  </w:style>
  <w:style w:type="paragraph" w:styleId="9">
    <w:name w:val="Date"/>
    <w:basedOn w:val="1"/>
    <w:next w:val="1"/>
    <w:autoRedefine/>
    <w:qFormat/>
    <w:uiPriority w:val="0"/>
  </w:style>
  <w:style w:type="paragraph" w:styleId="10">
    <w:name w:val="Balloon Text"/>
    <w:basedOn w:val="1"/>
    <w:link w:val="40"/>
    <w:autoRedefine/>
    <w:qFormat/>
    <w:uiPriority w:val="0"/>
    <w:rPr>
      <w:sz w:val="18"/>
      <w:szCs w:val="18"/>
    </w:rPr>
  </w:style>
  <w:style w:type="paragraph" w:styleId="11">
    <w:name w:val="footer"/>
    <w:basedOn w:val="1"/>
    <w:link w:val="24"/>
    <w:autoRedefine/>
    <w:qFormat/>
    <w:uiPriority w:val="99"/>
    <w:pPr>
      <w:tabs>
        <w:tab w:val="center" w:pos="4153"/>
        <w:tab w:val="right" w:pos="8306"/>
      </w:tabs>
      <w:snapToGrid w:val="0"/>
      <w:jc w:val="left"/>
    </w:pPr>
    <w:rPr>
      <w:sz w:val="18"/>
      <w:szCs w:val="18"/>
    </w:rPr>
  </w:style>
  <w:style w:type="paragraph" w:styleId="12">
    <w:name w:val="header"/>
    <w:basedOn w:val="1"/>
    <w:link w:val="23"/>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100" w:beforeAutospacing="1" w:after="100" w:afterAutospacing="1"/>
      <w:jc w:val="left"/>
    </w:pPr>
    <w:rPr>
      <w:kern w:val="0"/>
      <w:sz w:val="24"/>
    </w:rPr>
  </w:style>
  <w:style w:type="table" w:styleId="15">
    <w:name w:val="Table Grid"/>
    <w:basedOn w:val="14"/>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7">
    <w:name w:val="Strong"/>
    <w:basedOn w:val="16"/>
    <w:autoRedefine/>
    <w:qFormat/>
    <w:uiPriority w:val="22"/>
    <w:rPr>
      <w:b/>
      <w:bCs/>
    </w:rPr>
  </w:style>
  <w:style w:type="character" w:styleId="18">
    <w:name w:val="Hyperlink"/>
    <w:basedOn w:val="16"/>
    <w:autoRedefine/>
    <w:qFormat/>
    <w:uiPriority w:val="0"/>
    <w:rPr>
      <w:color w:val="0000FF"/>
      <w:u w:val="single"/>
    </w:rPr>
  </w:style>
  <w:style w:type="character" w:customStyle="1" w:styleId="19">
    <w:name w:val="标题 3 Char"/>
    <w:basedOn w:val="16"/>
    <w:link w:val="4"/>
    <w:autoRedefine/>
    <w:qFormat/>
    <w:uiPriority w:val="0"/>
    <w:rPr>
      <w:b/>
      <w:kern w:val="2"/>
      <w:sz w:val="24"/>
    </w:rPr>
  </w:style>
  <w:style w:type="character" w:customStyle="1" w:styleId="20">
    <w:name w:val="纯文本 Char"/>
    <w:basedOn w:val="16"/>
    <w:link w:val="8"/>
    <w:autoRedefine/>
    <w:qFormat/>
    <w:uiPriority w:val="0"/>
    <w:rPr>
      <w:rFonts w:ascii="宋体" w:hAnsi="Courier New" w:cs="Courier New"/>
      <w:kern w:val="2"/>
      <w:sz w:val="21"/>
      <w:szCs w:val="21"/>
    </w:rPr>
  </w:style>
  <w:style w:type="paragraph" w:customStyle="1" w:styleId="21">
    <w:name w:val="Char"/>
    <w:basedOn w:val="1"/>
    <w:autoRedefine/>
    <w:qFormat/>
    <w:uiPriority w:val="0"/>
    <w:rPr>
      <w:rFonts w:ascii="仿宋_GB2312" w:eastAsia="仿宋_GB2312"/>
      <w:b/>
      <w:sz w:val="32"/>
      <w:szCs w:val="32"/>
    </w:rPr>
  </w:style>
  <w:style w:type="paragraph" w:customStyle="1" w:styleId="22">
    <w:name w:val="样式 (西文) 宋体 行距: 1.5 倍行距"/>
    <w:basedOn w:val="1"/>
    <w:autoRedefine/>
    <w:qFormat/>
    <w:uiPriority w:val="0"/>
    <w:pPr>
      <w:spacing w:line="360" w:lineRule="auto"/>
    </w:pPr>
    <w:rPr>
      <w:rFonts w:ascii="宋体" w:hAnsi="宋体" w:cs="宋体"/>
    </w:rPr>
  </w:style>
  <w:style w:type="character" w:customStyle="1" w:styleId="23">
    <w:name w:val="页眉 Char"/>
    <w:basedOn w:val="16"/>
    <w:link w:val="12"/>
    <w:autoRedefine/>
    <w:qFormat/>
    <w:uiPriority w:val="0"/>
    <w:rPr>
      <w:kern w:val="2"/>
      <w:sz w:val="18"/>
      <w:szCs w:val="18"/>
    </w:rPr>
  </w:style>
  <w:style w:type="character" w:customStyle="1" w:styleId="24">
    <w:name w:val="页脚 Char"/>
    <w:basedOn w:val="16"/>
    <w:link w:val="11"/>
    <w:autoRedefine/>
    <w:qFormat/>
    <w:uiPriority w:val="99"/>
    <w:rPr>
      <w:kern w:val="2"/>
      <w:sz w:val="18"/>
      <w:szCs w:val="18"/>
    </w:rPr>
  </w:style>
  <w:style w:type="character" w:customStyle="1" w:styleId="25">
    <w:name w:val="标题 2 Char"/>
    <w:basedOn w:val="16"/>
    <w:link w:val="3"/>
    <w:autoRedefine/>
    <w:semiHidden/>
    <w:qFormat/>
    <w:uiPriority w:val="0"/>
    <w:rPr>
      <w:rFonts w:asciiTheme="majorHAnsi" w:hAnsiTheme="majorHAnsi" w:eastAsiaTheme="majorEastAsia" w:cstheme="majorBidi"/>
      <w:b/>
      <w:bCs/>
      <w:kern w:val="2"/>
      <w:sz w:val="32"/>
      <w:szCs w:val="32"/>
    </w:rPr>
  </w:style>
  <w:style w:type="paragraph" w:customStyle="1" w:styleId="26">
    <w:name w:val="列出段落1"/>
    <w:basedOn w:val="1"/>
    <w:autoRedefine/>
    <w:qFormat/>
    <w:uiPriority w:val="34"/>
    <w:pPr>
      <w:ind w:firstLine="420" w:firstLineChars="200"/>
    </w:pPr>
    <w:rPr>
      <w:rFonts w:ascii="Calibri" w:hAnsi="Calibri"/>
      <w:szCs w:val="22"/>
    </w:rPr>
  </w:style>
  <w:style w:type="character" w:customStyle="1" w:styleId="27">
    <w:name w:val="标题 1 Char"/>
    <w:basedOn w:val="16"/>
    <w:link w:val="2"/>
    <w:autoRedefine/>
    <w:qFormat/>
    <w:uiPriority w:val="0"/>
    <w:rPr>
      <w:b/>
      <w:bCs/>
      <w:kern w:val="44"/>
      <w:sz w:val="44"/>
      <w:szCs w:val="44"/>
    </w:rPr>
  </w:style>
  <w:style w:type="paragraph" w:customStyle="1" w:styleId="28">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29">
    <w:name w:val="_Style 1"/>
    <w:basedOn w:val="1"/>
    <w:autoRedefine/>
    <w:qFormat/>
    <w:uiPriority w:val="34"/>
    <w:pPr>
      <w:ind w:firstLine="420" w:firstLineChars="200"/>
    </w:pPr>
  </w:style>
  <w:style w:type="paragraph" w:customStyle="1" w:styleId="30">
    <w:name w:val="样式3"/>
    <w:basedOn w:val="1"/>
    <w:autoRedefine/>
    <w:qFormat/>
    <w:uiPriority w:val="0"/>
    <w:pPr>
      <w:spacing w:line="0" w:lineRule="atLeast"/>
      <w:outlineLvl w:val="0"/>
    </w:pPr>
    <w:rPr>
      <w:rFonts w:ascii="宋体" w:hAnsi="Courier New"/>
      <w:sz w:val="28"/>
      <w:szCs w:val="24"/>
    </w:rPr>
  </w:style>
  <w:style w:type="paragraph" w:customStyle="1" w:styleId="31">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2">
    <w:name w:val="招标文件样式2"/>
    <w:basedOn w:val="1"/>
    <w:autoRedefine/>
    <w:qFormat/>
    <w:uiPriority w:val="99"/>
    <w:pPr>
      <w:jc w:val="center"/>
      <w:outlineLvl w:val="0"/>
    </w:pPr>
    <w:rPr>
      <w:rFonts w:ascii="宋体" w:hAnsi="宋体"/>
      <w:b/>
      <w:sz w:val="28"/>
      <w:szCs w:val="28"/>
    </w:rPr>
  </w:style>
  <w:style w:type="paragraph" w:customStyle="1" w:styleId="33">
    <w:name w:val="列出段落11"/>
    <w:basedOn w:val="1"/>
    <w:autoRedefine/>
    <w:qFormat/>
    <w:uiPriority w:val="99"/>
    <w:pPr>
      <w:ind w:firstLine="420" w:firstLineChars="200"/>
    </w:pPr>
  </w:style>
  <w:style w:type="paragraph" w:customStyle="1" w:styleId="34">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5">
    <w:name w:val="List Paragraph1"/>
    <w:basedOn w:val="1"/>
    <w:autoRedefine/>
    <w:qFormat/>
    <w:uiPriority w:val="99"/>
    <w:pPr>
      <w:ind w:firstLine="420" w:firstLineChars="200"/>
    </w:pPr>
  </w:style>
  <w:style w:type="paragraph" w:customStyle="1" w:styleId="36">
    <w:name w:val="msolistparagraph"/>
    <w:basedOn w:val="1"/>
    <w:autoRedefine/>
    <w:qFormat/>
    <w:uiPriority w:val="0"/>
    <w:pPr>
      <w:adjustRightInd w:val="0"/>
      <w:snapToGrid w:val="0"/>
      <w:ind w:firstLine="420" w:firstLineChars="200"/>
    </w:pPr>
    <w:rPr>
      <w:sz w:val="28"/>
      <w:szCs w:val="24"/>
    </w:rPr>
  </w:style>
  <w:style w:type="character" w:customStyle="1" w:styleId="37">
    <w:name w:val="font31"/>
    <w:basedOn w:val="16"/>
    <w:autoRedefine/>
    <w:qFormat/>
    <w:uiPriority w:val="0"/>
    <w:rPr>
      <w:rFonts w:hint="eastAsia" w:ascii="宋体" w:hAnsi="宋体" w:eastAsia="宋体" w:cs="Times New Roman"/>
      <w:color w:val="000000"/>
      <w:sz w:val="20"/>
      <w:szCs w:val="20"/>
      <w:u w:val="none"/>
    </w:rPr>
  </w:style>
  <w:style w:type="character" w:customStyle="1" w:styleId="38">
    <w:name w:val="font21"/>
    <w:basedOn w:val="16"/>
    <w:autoRedefine/>
    <w:qFormat/>
    <w:uiPriority w:val="0"/>
    <w:rPr>
      <w:rFonts w:hint="eastAsia" w:ascii="宋体" w:hAnsi="宋体" w:eastAsia="宋体" w:cs="宋体"/>
      <w:color w:val="000000"/>
      <w:sz w:val="18"/>
      <w:szCs w:val="18"/>
      <w:u w:val="none"/>
    </w:rPr>
  </w:style>
  <w:style w:type="paragraph" w:customStyle="1" w:styleId="39">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40">
    <w:name w:val="批注框文本 Char"/>
    <w:basedOn w:val="16"/>
    <w:link w:val="10"/>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B9141E-8BC3-4E17-B3A2-F027AD0CCF4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22</Pages>
  <Words>3856</Words>
  <Characters>3904</Characters>
  <Lines>47</Lines>
  <Paragraphs>13</Paragraphs>
  <TotalTime>17</TotalTime>
  <ScaleCrop>false</ScaleCrop>
  <LinksUpToDate>false</LinksUpToDate>
  <CharactersWithSpaces>4643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2019-11-07T10:42:00Z</dcterms:created>
  <dc:creator>User</dc:creator>
  <cp:lastModifiedBy>库里</cp:lastModifiedBy>
  <cp:lastPrinted>2017-09-05T08:05:00Z</cp:lastPrinted>
  <dcterms:modified xsi:type="dcterms:W3CDTF">2025-06-03T08:08:42Z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30F4B149731345ED840AABD33B051DAC</vt:lpwstr>
  </property>
  <property fmtid="{D5CDD505-2E9C-101B-9397-08002B2CF9AE}" pid="4" name="KSOTemplateDocerSaveRecord">
    <vt:lpwstr>eyJoZGlkIjoiMzEwNTM5NzYwMDRjMzkwZTVkZjY2ODkwMGIxNGU0OTUiLCJ1c2VySWQiOiIyMDA1NjM0OTMifQ==</vt:lpwstr>
  </property>
</Properties>
</file>