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95401">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深圳市儿童医院设备采购需求参数表</w:t>
      </w:r>
    </w:p>
    <w:tbl>
      <w:tblPr>
        <w:tblStyle w:val="8"/>
        <w:tblW w:w="9654" w:type="dxa"/>
        <w:jc w:val="center"/>
        <w:tblLayout w:type="autofit"/>
        <w:tblCellMar>
          <w:top w:w="0" w:type="dxa"/>
          <w:left w:w="108" w:type="dxa"/>
          <w:bottom w:w="0" w:type="dxa"/>
          <w:right w:w="108" w:type="dxa"/>
        </w:tblCellMar>
      </w:tblPr>
      <w:tblGrid>
        <w:gridCol w:w="660"/>
        <w:gridCol w:w="1136"/>
        <w:gridCol w:w="7858"/>
      </w:tblGrid>
      <w:tr w14:paraId="249BE209">
        <w:tblPrEx>
          <w:tblCellMar>
            <w:top w:w="0" w:type="dxa"/>
            <w:left w:w="108" w:type="dxa"/>
            <w:bottom w:w="0" w:type="dxa"/>
            <w:right w:w="108" w:type="dxa"/>
          </w:tblCellMar>
        </w:tblPrEx>
        <w:trPr>
          <w:trHeight w:val="501" w:hRule="atLeast"/>
          <w:jc w:val="center"/>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14:paraId="15E4AB62">
            <w:pPr>
              <w:widowControl/>
              <w:jc w:val="center"/>
              <w:rPr>
                <w:rFonts w:ascii="宋体" w:hAnsi="宋体" w:cs="宋体"/>
                <w:b/>
                <w:bCs/>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序号</w:t>
            </w:r>
          </w:p>
        </w:tc>
        <w:tc>
          <w:tcPr>
            <w:tcW w:w="1136" w:type="dxa"/>
            <w:tcBorders>
              <w:top w:val="single" w:color="3F3F3F" w:sz="4" w:space="0"/>
              <w:left w:val="single" w:color="auto" w:sz="4" w:space="0"/>
              <w:bottom w:val="single" w:color="3F3F3F" w:sz="4" w:space="0"/>
              <w:right w:val="single" w:color="3F3F3F" w:sz="4" w:space="0"/>
            </w:tcBorders>
            <w:shd w:val="clear" w:color="000000" w:fill="FFFFFF"/>
            <w:vAlign w:val="center"/>
          </w:tcPr>
          <w:p w14:paraId="2EA6E098">
            <w:pPr>
              <w:widowControl/>
              <w:jc w:val="center"/>
              <w:rPr>
                <w:rFonts w:ascii="宋体" w:hAnsi="宋体" w:cs="宋体"/>
                <w:b/>
                <w:bCs/>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项目名称</w:t>
            </w: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012429AB">
            <w:pPr>
              <w:widowControl/>
              <w:jc w:val="center"/>
              <w:rPr>
                <w:rFonts w:ascii="宋体" w:hAnsi="宋体" w:cs="宋体"/>
                <w:b/>
                <w:bCs/>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招标事项及要求</w:t>
            </w:r>
          </w:p>
        </w:tc>
      </w:tr>
      <w:tr w14:paraId="2AA0200C">
        <w:tblPrEx>
          <w:tblCellMar>
            <w:top w:w="0" w:type="dxa"/>
            <w:left w:w="108" w:type="dxa"/>
            <w:bottom w:w="0" w:type="dxa"/>
            <w:right w:w="108" w:type="dxa"/>
          </w:tblCellMar>
        </w:tblPrEx>
        <w:trPr>
          <w:trHeight w:val="454" w:hRule="atLeast"/>
          <w:jc w:val="center"/>
        </w:trPr>
        <w:tc>
          <w:tcPr>
            <w:tcW w:w="660" w:type="dxa"/>
            <w:vMerge w:val="restart"/>
            <w:tcBorders>
              <w:top w:val="single" w:color="auto" w:sz="4" w:space="0"/>
              <w:left w:val="single" w:color="3F3F3F" w:sz="4" w:space="0"/>
              <w:bottom w:val="single" w:color="3F3F3F" w:sz="4" w:space="0"/>
              <w:right w:val="single" w:color="3F3F3F" w:sz="4" w:space="0"/>
            </w:tcBorders>
            <w:shd w:val="clear" w:color="000000" w:fill="FFFFFF"/>
            <w:vAlign w:val="center"/>
          </w:tcPr>
          <w:p w14:paraId="16297052">
            <w:pPr>
              <w:widowControl/>
              <w:jc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1</w:t>
            </w:r>
          </w:p>
        </w:tc>
        <w:tc>
          <w:tcPr>
            <w:tcW w:w="1136" w:type="dxa"/>
            <w:vMerge w:val="restart"/>
            <w:tcBorders>
              <w:top w:val="single" w:color="3F3F3F" w:sz="4" w:space="0"/>
              <w:left w:val="single" w:color="3F3F3F" w:sz="4" w:space="0"/>
              <w:bottom w:val="single" w:color="3F3F3F" w:sz="4" w:space="0"/>
              <w:right w:val="single" w:color="3F3F3F" w:sz="4" w:space="0"/>
            </w:tcBorders>
            <w:shd w:val="clear" w:color="000000" w:fill="FFFFFF"/>
            <w:vAlign w:val="center"/>
          </w:tcPr>
          <w:p w14:paraId="3AB38AB3">
            <w:pPr>
              <w:widowControl/>
              <w:jc w:val="center"/>
              <w:rPr>
                <w:rFonts w:hint="default" w:ascii="宋体" w:hAnsi="宋体" w:eastAsia="宋体" w:cs="宋体"/>
                <w:b/>
                <w:bCs/>
                <w:color w:val="000000" w:themeColor="text1"/>
                <w:kern w:val="0"/>
                <w:sz w:val="22"/>
                <w:szCs w:val="22"/>
                <w:lang w:val="en-US" w:eastAsia="zh-CN"/>
                <w14:textFill>
                  <w14:solidFill>
                    <w14:schemeClr w14:val="tx1"/>
                  </w14:solidFill>
                </w14:textFill>
              </w:rPr>
            </w:pPr>
            <w:r>
              <w:rPr>
                <w:rFonts w:hint="eastAsia" w:ascii="宋体" w:hAnsi="宋体" w:cs="宋体"/>
                <w:b/>
                <w:bCs/>
                <w:color w:val="000000" w:themeColor="text1"/>
                <w:kern w:val="0"/>
                <w:sz w:val="22"/>
                <w:szCs w:val="22"/>
                <w:lang w:bidi="ar"/>
                <w14:textFill>
                  <w14:solidFill>
                    <w14:schemeClr w14:val="tx1"/>
                  </w14:solidFill>
                </w14:textFill>
              </w:rPr>
              <w:t>32</w:t>
            </w:r>
            <w:r>
              <w:rPr>
                <w:rFonts w:hint="eastAsia" w:ascii="宋体" w:hAnsi="宋体" w:cs="宋体"/>
                <w:b/>
                <w:bCs/>
                <w:color w:val="000000" w:themeColor="text1"/>
                <w:kern w:val="0"/>
                <w:sz w:val="22"/>
                <w:szCs w:val="22"/>
                <w:lang w:val="en-US" w:eastAsia="zh-CN" w:bidi="ar"/>
                <w14:textFill>
                  <w14:solidFill>
                    <w14:schemeClr w14:val="tx1"/>
                  </w14:solidFill>
                </w14:textFill>
              </w:rPr>
              <w:t>通道脑</w:t>
            </w:r>
            <w:bookmarkStart w:id="0" w:name="_GoBack"/>
            <w:bookmarkEnd w:id="0"/>
            <w:r>
              <w:rPr>
                <w:rFonts w:hint="eastAsia" w:ascii="宋体" w:hAnsi="宋体" w:cs="宋体"/>
                <w:b/>
                <w:bCs/>
                <w:color w:val="000000" w:themeColor="text1"/>
                <w:kern w:val="0"/>
                <w:sz w:val="22"/>
                <w:szCs w:val="22"/>
                <w:lang w:val="en-US" w:eastAsia="zh-CN" w:bidi="ar"/>
                <w14:textFill>
                  <w14:solidFill>
                    <w14:schemeClr w14:val="tx1"/>
                  </w14:solidFill>
                </w14:textFill>
              </w:rPr>
              <w:t>电图仪</w:t>
            </w: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549CBA81">
            <w:pPr>
              <w:keepNext w:val="0"/>
              <w:keepLines w:val="0"/>
              <w:pageBreakBefore w:val="0"/>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sz w:val="22"/>
                <w:szCs w:val="22"/>
              </w:rPr>
              <w:t>采集工作站</w:t>
            </w:r>
            <w:r>
              <w:rPr>
                <w:rFonts w:hint="eastAsia" w:ascii="宋体" w:hAnsi="宋体" w:eastAsia="宋体" w:cs="宋体"/>
                <w:sz w:val="24"/>
              </w:rPr>
              <w:t xml:space="preserve">（AMD Ryzen 5 5600G、16G内存， 1T硬盘，23.8英寸液晶显示器，Windows 10 64位及以上操作系统） </w:t>
            </w:r>
          </w:p>
        </w:tc>
      </w:tr>
      <w:tr w14:paraId="0ED8A0C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9E02773">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4AC4B675">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51634940">
            <w:pPr>
              <w:keepNext w:val="0"/>
              <w:keepLines w:val="0"/>
              <w:pageBreakBefore w:val="0"/>
              <w:widowControl/>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设备主机：</w:t>
            </w:r>
          </w:p>
        </w:tc>
      </w:tr>
      <w:tr w14:paraId="64F01353">
        <w:tblPrEx>
          <w:tblCellMar>
            <w:top w:w="0" w:type="dxa"/>
            <w:left w:w="108" w:type="dxa"/>
            <w:bottom w:w="0" w:type="dxa"/>
            <w:right w:w="108" w:type="dxa"/>
          </w:tblCellMar>
        </w:tblPrEx>
        <w:trPr>
          <w:trHeight w:val="469"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7E16139">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1A1C13E6">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620916AC">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控制和数据处理中心，含放大器接口*1，网络接口*1，事件按键接口*1</w:t>
            </w:r>
          </w:p>
        </w:tc>
      </w:tr>
      <w:tr w14:paraId="65A5BFC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6BAA90E">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60A615C1">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14E02642">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eastAsia="宋体" w:cs="宋体"/>
                <w:b/>
                <w:bCs/>
                <w:sz w:val="24"/>
              </w:rPr>
              <w:t>▲多参数同步采集：可通过Digital IO接口和其他生理信号采集设备同步工作，同步采集生理参数。主机具备实体Digital IO接口≥2个</w:t>
            </w:r>
            <w:r>
              <w:rPr>
                <w:rFonts w:hint="eastAsia" w:ascii="宋体" w:hAnsi="宋体" w:eastAsia="宋体" w:cs="宋体"/>
                <w:b/>
                <w:bCs/>
                <w:sz w:val="24"/>
                <w:lang w:eastAsia="zh-CN"/>
              </w:rPr>
              <w:t>（</w:t>
            </w:r>
            <w:r>
              <w:rPr>
                <w:rFonts w:hint="eastAsia" w:ascii="宋体" w:hAnsi="宋体" w:eastAsia="宋体" w:cs="宋体"/>
                <w:b/>
                <w:bCs/>
                <w:sz w:val="24"/>
              </w:rPr>
              <w:t>提供产品放大器实物照片证明</w:t>
            </w:r>
            <w:r>
              <w:rPr>
                <w:rFonts w:hint="eastAsia" w:ascii="宋体" w:hAnsi="宋体" w:eastAsia="宋体" w:cs="宋体"/>
                <w:b/>
                <w:bCs/>
                <w:sz w:val="24"/>
                <w:lang w:eastAsia="zh-CN"/>
              </w:rPr>
              <w:t>）</w:t>
            </w:r>
          </w:p>
        </w:tc>
      </w:tr>
      <w:tr w14:paraId="2BC62B6E">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489B5E0">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D5D80DB">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0EBFDFF">
            <w:pPr>
              <w:keepNext w:val="0"/>
              <w:keepLines w:val="0"/>
              <w:pageBreakBefore w:val="0"/>
              <w:widowControl/>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头盒</w:t>
            </w:r>
          </w:p>
        </w:tc>
      </w:tr>
      <w:tr w14:paraId="7322AE61">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C5891DB">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1A4BF5ED">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52850B33">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b/>
                <w:bCs/>
                <w:sz w:val="24"/>
              </w:rPr>
              <w:t>▲32通道放大器：脑电（EEG）输入端≥24个、双极输入端≥8对，参考电极（REF）端口≥2个，接地(GND)端口≥2个</w:t>
            </w:r>
            <w:r>
              <w:rPr>
                <w:rFonts w:hint="eastAsia" w:ascii="宋体" w:hAnsi="宋体" w:eastAsia="宋体" w:cs="宋体"/>
                <w:b/>
                <w:bCs/>
                <w:sz w:val="24"/>
                <w:lang w:eastAsia="zh-CN"/>
              </w:rPr>
              <w:t>。</w:t>
            </w:r>
            <w:r>
              <w:rPr>
                <w:rFonts w:hint="eastAsia" w:ascii="宋体" w:hAnsi="宋体" w:eastAsia="宋体" w:cs="宋体"/>
                <w:b/>
                <w:bCs/>
                <w:sz w:val="24"/>
              </w:rPr>
              <w:t>放大器具备主动屏蔽电极（SHD）端口，可在电极屏蔽层上产生屏蔽电场，阻隔外界电磁干扰</w:t>
            </w:r>
            <w:r>
              <w:rPr>
                <w:rFonts w:hint="eastAsia" w:ascii="宋体" w:hAnsi="宋体" w:eastAsia="宋体" w:cs="宋体"/>
                <w:b/>
                <w:bCs/>
                <w:sz w:val="24"/>
                <w:lang w:eastAsia="zh-CN"/>
              </w:rPr>
              <w:t>（</w:t>
            </w:r>
            <w:r>
              <w:rPr>
                <w:rFonts w:hint="eastAsia" w:ascii="宋体" w:hAnsi="宋体" w:eastAsia="宋体" w:cs="宋体"/>
                <w:b/>
                <w:bCs/>
                <w:sz w:val="24"/>
              </w:rPr>
              <w:t>提供产品放大器实物照片证明</w:t>
            </w:r>
            <w:r>
              <w:rPr>
                <w:rFonts w:hint="eastAsia" w:ascii="宋体" w:hAnsi="宋体" w:eastAsia="宋体" w:cs="宋体"/>
                <w:b/>
                <w:bCs/>
                <w:sz w:val="24"/>
                <w:lang w:eastAsia="zh-CN"/>
              </w:rPr>
              <w:t>）</w:t>
            </w:r>
          </w:p>
        </w:tc>
      </w:tr>
      <w:tr w14:paraId="62A5B61A">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9F25B71">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3C4CFC1E">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3EAB986">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定标电压：标称值为100μVp-p，最大允许误差±4%</w:t>
            </w:r>
          </w:p>
        </w:tc>
      </w:tr>
      <w:tr w14:paraId="0EEBC261">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F4F2260">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5935D70B">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7A50EBBA">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b/>
                <w:bCs/>
                <w:sz w:val="24"/>
              </w:rPr>
              <w:t>▲电压测量：最大允许误差±5%</w:t>
            </w:r>
            <w:r>
              <w:rPr>
                <w:rFonts w:hint="eastAsia" w:ascii="宋体" w:hAnsi="宋体" w:eastAsia="宋体" w:cs="宋体"/>
                <w:b/>
                <w:bCs/>
                <w:sz w:val="24"/>
                <w:lang w:eastAsia="zh-CN"/>
              </w:rPr>
              <w:t>（</w:t>
            </w:r>
            <w:r>
              <w:rPr>
                <w:rFonts w:hint="eastAsia" w:ascii="宋体" w:hAnsi="宋体" w:eastAsia="宋体" w:cs="宋体"/>
                <w:b/>
                <w:bCs/>
                <w:color w:val="000000" w:themeColor="text1"/>
                <w:sz w:val="24"/>
                <w:highlight w:val="none"/>
                <w14:textFill>
                  <w14:solidFill>
                    <w14:schemeClr w14:val="tx1"/>
                  </w14:solidFill>
                </w14:textFill>
              </w:rPr>
              <w:t>提供</w:t>
            </w:r>
            <w:r>
              <w:rPr>
                <w:rFonts w:hint="eastAsia" w:ascii="宋体" w:hAnsi="宋体" w:eastAsia="宋体" w:cs="宋体"/>
                <w:b/>
                <w:bCs/>
                <w:color w:val="000000" w:themeColor="text1"/>
                <w:sz w:val="24"/>
                <w:highlight w:val="none"/>
                <w:lang w:val="en-US" w:eastAsia="zh-CN"/>
                <w14:textFill>
                  <w14:solidFill>
                    <w14:schemeClr w14:val="tx1"/>
                  </w14:solidFill>
                </w14:textFill>
              </w:rPr>
              <w:t>检验报告</w:t>
            </w:r>
            <w:r>
              <w:rPr>
                <w:rFonts w:hint="eastAsia" w:ascii="宋体" w:hAnsi="宋体" w:eastAsia="宋体" w:cs="宋体"/>
                <w:b/>
                <w:bCs/>
                <w:color w:val="000000" w:themeColor="text1"/>
                <w:sz w:val="24"/>
                <w:highlight w:val="none"/>
                <w14:textFill>
                  <w14:solidFill>
                    <w14:schemeClr w14:val="tx1"/>
                  </w14:solidFill>
                </w14:textFill>
              </w:rPr>
              <w:t>佐证</w:t>
            </w:r>
            <w:r>
              <w:rPr>
                <w:rFonts w:hint="eastAsia" w:ascii="宋体" w:hAnsi="宋体" w:eastAsia="宋体" w:cs="宋体"/>
                <w:b/>
                <w:bCs/>
                <w:sz w:val="24"/>
                <w:lang w:eastAsia="zh-CN"/>
              </w:rPr>
              <w:t>）</w:t>
            </w:r>
          </w:p>
        </w:tc>
      </w:tr>
      <w:tr w14:paraId="1F74C43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74155CD">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66DA3283">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54927C3A">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时间间隔：最大允许误差±5%</w:t>
            </w:r>
          </w:p>
        </w:tc>
      </w:tr>
      <w:tr w14:paraId="1A05CE1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57B2704">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6CC1321E">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0C02D546">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时间常数：0.0106 s和0.0159 s时，最大允许误差±40%；0.1592 s和1.5915 s时，最大允许误差±20%。</w:t>
            </w:r>
          </w:p>
        </w:tc>
      </w:tr>
      <w:tr w14:paraId="2F24667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07C73B7">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5904743F">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326BF734">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幅频特性：(1～120)Hz（不包括50Hz），最大允许误差+5%～-30%</w:t>
            </w:r>
          </w:p>
        </w:tc>
      </w:tr>
      <w:tr w14:paraId="592618E6">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F0040F8">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5A44EDE">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3D485DA8">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噪声电平：不大于1μV（峰峰值）</w:t>
            </w:r>
          </w:p>
        </w:tc>
      </w:tr>
      <w:tr w14:paraId="7C781634">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286E487">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880CCB9">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32B79D7">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b/>
                <w:bCs/>
                <w:sz w:val="24"/>
              </w:rPr>
              <w:t>▲共模抑制比：输入频率10Hz时，各道不小于120dB；输入频率60Hz时，各道不小于115dB</w:t>
            </w:r>
            <w:r>
              <w:rPr>
                <w:rFonts w:hint="eastAsia" w:ascii="宋体" w:hAnsi="宋体" w:eastAsia="宋体" w:cs="宋体"/>
                <w:b/>
                <w:bCs/>
                <w:sz w:val="24"/>
                <w:lang w:eastAsia="zh-CN"/>
              </w:rPr>
              <w:t>（</w:t>
            </w:r>
            <w:r>
              <w:rPr>
                <w:rFonts w:hint="eastAsia" w:ascii="宋体" w:hAnsi="宋体" w:eastAsia="宋体" w:cs="宋体"/>
                <w:b/>
                <w:bCs/>
                <w:color w:val="000000" w:themeColor="text1"/>
                <w:sz w:val="24"/>
                <w:highlight w:val="none"/>
                <w14:textFill>
                  <w14:solidFill>
                    <w14:schemeClr w14:val="tx1"/>
                  </w14:solidFill>
                </w14:textFill>
              </w:rPr>
              <w:t>提供</w:t>
            </w:r>
            <w:r>
              <w:rPr>
                <w:rFonts w:hint="eastAsia" w:ascii="宋体" w:hAnsi="宋体" w:eastAsia="宋体" w:cs="宋体"/>
                <w:b/>
                <w:bCs/>
                <w:color w:val="000000" w:themeColor="text1"/>
                <w:sz w:val="24"/>
                <w:highlight w:val="none"/>
                <w:lang w:val="en-US" w:eastAsia="zh-CN"/>
                <w14:textFill>
                  <w14:solidFill>
                    <w14:schemeClr w14:val="tx1"/>
                  </w14:solidFill>
                </w14:textFill>
              </w:rPr>
              <w:t>检验报告</w:t>
            </w:r>
            <w:r>
              <w:rPr>
                <w:rFonts w:hint="eastAsia" w:ascii="宋体" w:hAnsi="宋体" w:eastAsia="宋体" w:cs="宋体"/>
                <w:b/>
                <w:bCs/>
                <w:color w:val="000000" w:themeColor="text1"/>
                <w:sz w:val="24"/>
                <w:highlight w:val="none"/>
                <w14:textFill>
                  <w14:solidFill>
                    <w14:schemeClr w14:val="tx1"/>
                  </w14:solidFill>
                </w14:textFill>
              </w:rPr>
              <w:t>佐证</w:t>
            </w:r>
            <w:r>
              <w:rPr>
                <w:rFonts w:hint="eastAsia" w:ascii="宋体" w:hAnsi="宋体" w:eastAsia="宋体" w:cs="宋体"/>
                <w:b/>
                <w:bCs/>
                <w:sz w:val="24"/>
                <w:lang w:eastAsia="zh-CN"/>
              </w:rPr>
              <w:t>）</w:t>
            </w:r>
          </w:p>
        </w:tc>
      </w:tr>
      <w:tr w14:paraId="06876D1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D4AC46F">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63FDBEB4">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7C1CF641">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耐极化电压：加±300mV的直流极化电压，偏差不超过±5%</w:t>
            </w:r>
          </w:p>
        </w:tc>
      </w:tr>
      <w:tr w14:paraId="0D26C68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AF865DD">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D0FE9A6">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68AA8D54">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灵敏度：可在下列灵敏度内切换：1µV/mm、10µV/mm、和50µV,</w:t>
            </w:r>
            <w:r>
              <w:rPr>
                <w:rFonts w:hint="eastAsia" w:ascii="宋体" w:hAnsi="宋体" w:eastAsia="宋体" w:cs="宋体"/>
              </w:rPr>
              <w:t xml:space="preserve"> </w:t>
            </w:r>
            <w:r>
              <w:rPr>
                <w:rFonts w:hint="eastAsia" w:ascii="宋体" w:hAnsi="宋体" w:eastAsia="宋体" w:cs="宋体"/>
                <w:sz w:val="24"/>
              </w:rPr>
              <w:t xml:space="preserve">最大允许误差±5%； </w:t>
            </w:r>
          </w:p>
        </w:tc>
      </w:tr>
      <w:tr w14:paraId="1D459F61">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A03138E">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2E29DD74">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056505B0">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低通滤波：截止频率在10Hz、15Hz、20Hz、25Hz、30Hz、35Hz、40Hz、50Hz、60Hz、70Hz、100Hz、120Hz内可调，应符合A0.9Fc≥0.7A10≥A1.1Fc的要求</w:t>
            </w:r>
          </w:p>
        </w:tc>
      </w:tr>
      <w:tr w14:paraId="1832FEF7">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396D528">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13EBBECF">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C5EAD95">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高通滤波：0.01Hz、0.016Hz、0.02Hz、0.031Hz、0.08Hz、0.16Hz、0.27Hz、0.3Hz、0.5Hz、0.53Hz、1Hz、1.6Hz、2Hz、2.5Hz、3Hz、5Hz、5.3Hz、53Hz可选</w:t>
            </w:r>
          </w:p>
        </w:tc>
      </w:tr>
      <w:tr w14:paraId="78386C96">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F379923">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14F7774A">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0E022E54">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b/>
                <w:bCs/>
                <w:sz w:val="24"/>
              </w:rPr>
              <w:t>输入阻抗：对于10Hz正弦波信号，各道不小于120MΩ</w:t>
            </w:r>
            <w:r>
              <w:rPr>
                <w:rFonts w:hint="eastAsia" w:ascii="宋体" w:hAnsi="宋体" w:eastAsia="宋体" w:cs="宋体"/>
                <w:b/>
                <w:bCs/>
                <w:sz w:val="24"/>
                <w:lang w:eastAsia="zh-CN"/>
              </w:rPr>
              <w:t>（</w:t>
            </w:r>
            <w:r>
              <w:rPr>
                <w:rFonts w:hint="eastAsia" w:ascii="宋体" w:hAnsi="宋体" w:eastAsia="宋体" w:cs="宋体"/>
                <w:b/>
                <w:bCs/>
                <w:color w:val="000000" w:themeColor="text1"/>
                <w:sz w:val="24"/>
                <w:highlight w:val="none"/>
                <w14:textFill>
                  <w14:solidFill>
                    <w14:schemeClr w14:val="tx1"/>
                  </w14:solidFill>
                </w14:textFill>
              </w:rPr>
              <w:t>提供</w:t>
            </w:r>
            <w:r>
              <w:rPr>
                <w:rFonts w:hint="eastAsia" w:ascii="宋体" w:hAnsi="宋体" w:eastAsia="宋体" w:cs="宋体"/>
                <w:b/>
                <w:bCs/>
                <w:color w:val="000000" w:themeColor="text1"/>
                <w:sz w:val="24"/>
                <w:highlight w:val="none"/>
                <w:lang w:val="en-US" w:eastAsia="zh-CN"/>
                <w14:textFill>
                  <w14:solidFill>
                    <w14:schemeClr w14:val="tx1"/>
                  </w14:solidFill>
                </w14:textFill>
              </w:rPr>
              <w:t>检验报告</w:t>
            </w:r>
            <w:r>
              <w:rPr>
                <w:rFonts w:hint="eastAsia" w:ascii="宋体" w:hAnsi="宋体" w:eastAsia="宋体" w:cs="宋体"/>
                <w:b/>
                <w:bCs/>
                <w:color w:val="000000" w:themeColor="text1"/>
                <w:sz w:val="24"/>
                <w:highlight w:val="none"/>
                <w14:textFill>
                  <w14:solidFill>
                    <w14:schemeClr w14:val="tx1"/>
                  </w14:solidFill>
                </w14:textFill>
              </w:rPr>
              <w:t>佐证</w:t>
            </w:r>
            <w:r>
              <w:rPr>
                <w:rFonts w:hint="eastAsia" w:ascii="宋体" w:hAnsi="宋体" w:eastAsia="宋体" w:cs="宋体"/>
                <w:b/>
                <w:bCs/>
                <w:sz w:val="24"/>
                <w:lang w:eastAsia="zh-CN"/>
              </w:rPr>
              <w:t>）</w:t>
            </w:r>
          </w:p>
        </w:tc>
      </w:tr>
      <w:tr w14:paraId="2343728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D00AE5E">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37E92315">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173E470C">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按键响应时间：小于1s</w:t>
            </w:r>
          </w:p>
        </w:tc>
      </w:tr>
      <w:tr w14:paraId="28421D52">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1C00FD3">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E1FEF2A">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30B8837A">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数模转换：24bit</w:t>
            </w:r>
          </w:p>
        </w:tc>
      </w:tr>
      <w:tr w14:paraId="51B6880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285CB21">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572F1C69">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2BA9969E">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采样频率：全通道可达2000Hz</w:t>
            </w:r>
          </w:p>
        </w:tc>
      </w:tr>
      <w:tr w14:paraId="040E84CE">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76763E7">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BA497B3">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B8C3B12">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szCs w:val="24"/>
              </w:rPr>
              <w:t>功率谱幅度：误差不超过±10%</w:t>
            </w:r>
          </w:p>
        </w:tc>
      </w:tr>
      <w:tr w14:paraId="6F420181">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81EED9A">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56B668D6">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6B463528">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b/>
                <w:bCs/>
                <w:sz w:val="24"/>
              </w:rPr>
              <w:t>▲</w:t>
            </w:r>
            <w:r>
              <w:rPr>
                <w:rFonts w:hint="eastAsia" w:ascii="宋体" w:hAnsi="宋体" w:eastAsia="宋体" w:cs="宋体"/>
                <w:b/>
                <w:bCs/>
                <w:sz w:val="24"/>
                <w:szCs w:val="24"/>
              </w:rPr>
              <w:t>功率谱频率：误差不超过±5%</w:t>
            </w:r>
            <w:r>
              <w:rPr>
                <w:rFonts w:hint="eastAsia" w:ascii="宋体" w:hAnsi="宋体" w:eastAsia="宋体" w:cs="宋体"/>
                <w:b/>
                <w:bCs/>
                <w:sz w:val="24"/>
                <w:szCs w:val="24"/>
                <w:lang w:eastAsia="zh-CN"/>
              </w:rPr>
              <w:t>（</w:t>
            </w:r>
            <w:r>
              <w:rPr>
                <w:rFonts w:hint="eastAsia" w:ascii="宋体" w:hAnsi="宋体" w:eastAsia="宋体" w:cs="宋体"/>
                <w:b/>
                <w:bCs/>
                <w:color w:val="000000" w:themeColor="text1"/>
                <w:sz w:val="24"/>
                <w:highlight w:val="none"/>
                <w14:textFill>
                  <w14:solidFill>
                    <w14:schemeClr w14:val="tx1"/>
                  </w14:solidFill>
                </w14:textFill>
              </w:rPr>
              <w:t>提供</w:t>
            </w:r>
            <w:r>
              <w:rPr>
                <w:rFonts w:hint="eastAsia" w:ascii="宋体" w:hAnsi="宋体" w:eastAsia="宋体" w:cs="宋体"/>
                <w:b/>
                <w:bCs/>
                <w:color w:val="000000" w:themeColor="text1"/>
                <w:sz w:val="24"/>
                <w:highlight w:val="none"/>
                <w:lang w:val="en-US" w:eastAsia="zh-CN"/>
                <w14:textFill>
                  <w14:solidFill>
                    <w14:schemeClr w14:val="tx1"/>
                  </w14:solidFill>
                </w14:textFill>
              </w:rPr>
              <w:t>检验报告</w:t>
            </w:r>
            <w:r>
              <w:rPr>
                <w:rFonts w:hint="eastAsia" w:ascii="宋体" w:hAnsi="宋体" w:eastAsia="宋体" w:cs="宋体"/>
                <w:b/>
                <w:bCs/>
                <w:color w:val="000000" w:themeColor="text1"/>
                <w:sz w:val="24"/>
                <w:highlight w:val="none"/>
                <w14:textFill>
                  <w14:solidFill>
                    <w14:schemeClr w14:val="tx1"/>
                  </w14:solidFill>
                </w14:textFill>
              </w:rPr>
              <w:t>佐证</w:t>
            </w:r>
            <w:r>
              <w:rPr>
                <w:rFonts w:hint="eastAsia" w:ascii="宋体" w:hAnsi="宋体" w:eastAsia="宋体" w:cs="宋体"/>
                <w:b/>
                <w:bCs/>
                <w:sz w:val="24"/>
                <w:szCs w:val="24"/>
                <w:lang w:eastAsia="zh-CN"/>
              </w:rPr>
              <w:t>）</w:t>
            </w:r>
          </w:p>
        </w:tc>
      </w:tr>
      <w:tr w14:paraId="5B9E4A3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12B5B19">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4F844D51">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0EE8D399">
            <w:pPr>
              <w:keepNext w:val="0"/>
              <w:keepLines w:val="0"/>
              <w:pageBreakBefore w:val="0"/>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医用电源适配器:</w:t>
            </w:r>
            <w:r>
              <w:rPr>
                <w:rFonts w:hint="eastAsia" w:ascii="宋体" w:hAnsi="宋体" w:eastAsia="宋体" w:cs="宋体"/>
                <w:color w:val="000000"/>
                <w:sz w:val="24"/>
              </w:rPr>
              <w:t>额定电压AC 220V±10%，频率50Hz±1Hz，设备输入功率25VA</w:t>
            </w:r>
          </w:p>
        </w:tc>
      </w:tr>
      <w:tr w14:paraId="5D0C1D38">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E55BCB9">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4635A28E">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37315382">
            <w:pPr>
              <w:keepNext w:val="0"/>
              <w:keepLines w:val="0"/>
              <w:pageBreakBefore w:val="0"/>
              <w:widowControl/>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头盒连接线缆：连接头盒与设备主机</w:t>
            </w:r>
          </w:p>
        </w:tc>
      </w:tr>
      <w:tr w14:paraId="37497A8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BEB95F7">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4EFF54E2">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00D87EE8">
            <w:pPr>
              <w:keepNext w:val="0"/>
              <w:keepLines w:val="0"/>
              <w:pageBreakBefore w:val="0"/>
              <w:widowControl/>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网线，主机与电脑采用网线连接</w:t>
            </w:r>
          </w:p>
        </w:tc>
      </w:tr>
      <w:tr w14:paraId="2AB41A1A">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44A1E5A">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9AA82CD">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23D11D3">
            <w:pPr>
              <w:keepNext w:val="0"/>
              <w:keepLines w:val="0"/>
              <w:pageBreakBefore w:val="0"/>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网络摄像头</w:t>
            </w:r>
          </w:p>
        </w:tc>
      </w:tr>
      <w:tr w14:paraId="0E3F9031">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0ED8FC3">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5CEDEFA5">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2517B2F3">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支持超低照度，0.05Lux @ (F2.0,AGC ON) (彩色),0.005Lux @ (F2.0,AGC ON) 0 Lux with IR (黑白)</w:t>
            </w:r>
          </w:p>
        </w:tc>
      </w:tr>
      <w:tr w14:paraId="545D7DD3">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63FEB2C">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5875C824">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50BF7190">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支持25倍光学变倍，16倍数字变倍</w:t>
            </w:r>
          </w:p>
        </w:tc>
      </w:tr>
      <w:tr w14:paraId="7B2B69A4">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D7035E5">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4F5A093">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244E7050">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水平350°可控制摄像机调节各种常用参数</w:t>
            </w:r>
          </w:p>
        </w:tc>
      </w:tr>
      <w:tr w14:paraId="7283CE7A">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9496498">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69828F3B">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38C3E130">
            <w:pPr>
              <w:keepNext w:val="0"/>
              <w:keepLines w:val="0"/>
              <w:pageBreakBefore w:val="0"/>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设备配套专用台车</w:t>
            </w:r>
          </w:p>
        </w:tc>
      </w:tr>
      <w:tr w14:paraId="7802B162">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F4089F1">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1A8D33A1">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6B57043B">
            <w:pPr>
              <w:keepNext w:val="0"/>
              <w:keepLines w:val="0"/>
              <w:pageBreakBefore w:val="0"/>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软件功能</w:t>
            </w:r>
          </w:p>
        </w:tc>
      </w:tr>
      <w:tr w14:paraId="6F9E1AC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3D68642">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A03E381">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008CDADB">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具有常规脑电/视频脑电检测模式，可自由切换</w:t>
            </w:r>
          </w:p>
        </w:tc>
      </w:tr>
      <w:tr w14:paraId="3954A897">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C7A5C53">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64DD3B2B">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7FBC2DD5">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数据采集、存储与实时显示：软件接收存储原始数据，并可实时显示信号波形；并可对显示参数进行实时调整</w:t>
            </w:r>
          </w:p>
        </w:tc>
      </w:tr>
      <w:tr w14:paraId="319B339C">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3B0602D">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ABFEA79">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ABA3D2F">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数据回放：可进行数据的离线回放</w:t>
            </w:r>
          </w:p>
        </w:tc>
      </w:tr>
      <w:tr w14:paraId="4282405C">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373361B">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2EFE3F8">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7F7ACA47">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阻抗检测：可进行在线阻抗监测和离线阻抗检测</w:t>
            </w:r>
          </w:p>
        </w:tc>
      </w:tr>
      <w:tr w14:paraId="43C522F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855AE8F">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1E5A788">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ABE1955">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信号质量监测：从原始信号的频域上多维度分析信号质量，医护人员可以直观的从各导联信号质量的颜色标记了解实时的信号质量情况</w:t>
            </w:r>
          </w:p>
        </w:tc>
      </w:tr>
      <w:tr w14:paraId="46DC77EC">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F70DA57">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4D978BC">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3AD0BC49">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断电保护：系统断电数据自动保存。重启后，断电前数据不丢失</w:t>
            </w:r>
          </w:p>
        </w:tc>
      </w:tr>
      <w:tr w14:paraId="7F4B240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6393948">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483A4501">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50E7400D">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事件标记：具有软硬件两种事件标记方式，并可对标记进行编辑调整；实时记录事件列表，可回放查看</w:t>
            </w:r>
          </w:p>
        </w:tc>
      </w:tr>
      <w:tr w14:paraId="1E83DF75">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D1E900A">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BDB7869">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04DB2B29">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脑电测量：具有标尺测量和框选测量两种方式，测量幅值、时间和频率信息</w:t>
            </w:r>
          </w:p>
        </w:tc>
      </w:tr>
      <w:tr w14:paraId="57C070F3">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0A0908E">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51454954">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7A0C4596">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视频控制、记录和回放：可对摄像头角度等参数进行调整，进行视频数据的记录和回放；视频数据与脑电数据同步，可进行联动定位</w:t>
            </w:r>
          </w:p>
        </w:tc>
      </w:tr>
      <w:tr w14:paraId="3D288104">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0022589">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410B28F4">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3F41E765">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脑地形图：具有地形图的计算与显示功能</w:t>
            </w:r>
          </w:p>
        </w:tc>
      </w:tr>
      <w:tr w14:paraId="7F7CA449">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4A9D8D4">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22E7658">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15AD7749">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b/>
                <w:bCs/>
                <w:sz w:val="24"/>
              </w:rPr>
              <w:t>▲3D地形图显示，支持拖拽显示不同侧面的结果，可显示片段地形图，可显示不同角度下的脑地形图；</w:t>
            </w:r>
          </w:p>
        </w:tc>
      </w:tr>
      <w:tr w14:paraId="7B6D67EE">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0334E4B">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2D0C815F">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6671F8C9">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具备患者信息管理系统，中文报告生成系统：具有多种简洁实用的报告模板，可任意编辑相关内容</w:t>
            </w:r>
            <w:r>
              <w:rPr>
                <w:rFonts w:hint="eastAsia" w:ascii="宋体" w:hAnsi="宋体" w:eastAsia="宋体" w:cs="宋体"/>
                <w:sz w:val="24"/>
                <w:lang w:eastAsia="zh-CN"/>
              </w:rPr>
              <w:t>。</w:t>
            </w:r>
          </w:p>
        </w:tc>
      </w:tr>
      <w:tr w14:paraId="724C44F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C798D0A">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B391E56">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FAF1657">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趋势图计算与显示功能，可显示振幅整合脑电图、频谱熵、爆发抑制比、相对波段功率谱、包络图、绝对波段功率谱、频谱、α变异率。</w:t>
            </w:r>
          </w:p>
        </w:tc>
      </w:tr>
      <w:tr w14:paraId="18A4FEC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2A2B2BE">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5727874A">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ED14000">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闪光刺激器设置：闪光刺激器可设置为程序和手动两种模式，程序模式可设置为自动循环、自动流程和自动升频三种模式。可设置频率，持续时间，间隔和次数。</w:t>
            </w:r>
          </w:p>
        </w:tc>
      </w:tr>
      <w:tr w14:paraId="380FBA66">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308CDBB">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0FE855E1">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296E9E15">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报告生成：可选中保存的数据生成报告后打印。</w:t>
            </w:r>
          </w:p>
        </w:tc>
      </w:tr>
      <w:tr w14:paraId="3831DA14">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5CC64E0">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1C34500E">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3C755D5D">
            <w:pPr>
              <w:keepNext w:val="0"/>
              <w:keepLines w:val="0"/>
              <w:pageBreakBefore w:val="0"/>
              <w:widowControl/>
              <w:numPr>
                <w:ilvl w:val="1"/>
                <w:numId w:val="1"/>
              </w:numPr>
              <w:kinsoku/>
              <w:wordWrap/>
              <w:overflowPunct/>
              <w:topLinePunct w:val="0"/>
              <w:autoSpaceDE/>
              <w:autoSpaceDN/>
              <w:bidi w:val="0"/>
              <w:adjustRightInd/>
              <w:snapToGrid/>
              <w:spacing w:after="46" w:afterLines="15" w:line="400" w:lineRule="exac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棘波密度统计：通过人工智能算法，自动识别、统计棘波发放情况，帮助医生快速定位发作片段</w:t>
            </w:r>
            <w:r>
              <w:rPr>
                <w:rFonts w:hint="eastAsia" w:ascii="宋体" w:hAnsi="宋体" w:eastAsia="宋体" w:cs="宋体"/>
                <w:sz w:val="24"/>
                <w:lang w:eastAsia="zh-CN"/>
              </w:rPr>
              <w:t>。</w:t>
            </w:r>
          </w:p>
        </w:tc>
      </w:tr>
      <w:tr w14:paraId="3EC133B9">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A6EBE11">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C2B8748">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29C810BB">
            <w:pPr>
              <w:keepNext w:val="0"/>
              <w:keepLines w:val="0"/>
              <w:pageBreakBefore w:val="0"/>
              <w:numPr>
                <w:ilvl w:val="1"/>
                <w:numId w:val="1"/>
              </w:numPr>
              <w:kinsoku/>
              <w:wordWrap/>
              <w:overflowPunct/>
              <w:topLinePunct w:val="0"/>
              <w:autoSpaceDE/>
              <w:autoSpaceDN/>
              <w:bidi w:val="0"/>
              <w:adjustRightInd/>
              <w:snapToGrid/>
              <w:spacing w:after="46" w:afterLines="15" w:line="400" w:lineRule="exac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b/>
                <w:bCs/>
                <w:sz w:val="24"/>
              </w:rPr>
              <w:t>▲HFO实时提示：可将指定的高频振荡频带能量以背景颜色的形式，叠加在原始波形后面，通过颜色有误、深浅实时提示高频能量发放的时序、空间信息。数据采集、回放过程同时具备</w:t>
            </w:r>
            <w:r>
              <w:rPr>
                <w:rFonts w:hint="eastAsia" w:ascii="宋体" w:hAnsi="宋体" w:eastAsia="宋体" w:cs="宋体"/>
                <w:b/>
                <w:bCs/>
                <w:sz w:val="24"/>
                <w:lang w:eastAsia="zh-CN"/>
              </w:rPr>
              <w:t>（</w:t>
            </w:r>
            <w:r>
              <w:rPr>
                <w:rFonts w:hint="eastAsia" w:ascii="宋体" w:hAnsi="宋体" w:eastAsia="宋体" w:cs="宋体"/>
                <w:b/>
                <w:bCs/>
                <w:color w:val="000000" w:themeColor="text1"/>
                <w:sz w:val="24"/>
                <w:highlight w:val="none"/>
                <w14:textFill>
                  <w14:solidFill>
                    <w14:schemeClr w14:val="tx1"/>
                  </w14:solidFill>
                </w14:textFill>
              </w:rPr>
              <w:t>提供软件截图佐证</w:t>
            </w:r>
            <w:r>
              <w:rPr>
                <w:rFonts w:hint="eastAsia" w:ascii="宋体" w:hAnsi="宋体" w:eastAsia="宋体" w:cs="宋体"/>
                <w:b/>
                <w:bCs/>
                <w:color w:val="000000" w:themeColor="text1"/>
                <w:sz w:val="24"/>
                <w:highlight w:val="none"/>
                <w:lang w:eastAsia="zh-CN"/>
                <w14:textFill>
                  <w14:solidFill>
                    <w14:schemeClr w14:val="tx1"/>
                  </w14:solidFill>
                </w14:textFill>
              </w:rPr>
              <w:t>）</w:t>
            </w:r>
          </w:p>
        </w:tc>
      </w:tr>
      <w:tr w14:paraId="164F1DB3">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5D8C92A">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31DEFF22">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79C70220">
            <w:pPr>
              <w:keepNext w:val="0"/>
              <w:keepLines w:val="0"/>
              <w:pageBreakBefore w:val="0"/>
              <w:numPr>
                <w:ilvl w:val="0"/>
                <w:numId w:val="1"/>
              </w:numPr>
              <w:kinsoku/>
              <w:wordWrap/>
              <w:overflowPunct/>
              <w:topLinePunct w:val="0"/>
              <w:autoSpaceDE/>
              <w:autoSpaceDN/>
              <w:bidi w:val="0"/>
              <w:adjustRightInd/>
              <w:snapToGrid/>
              <w:spacing w:line="240" w:lineRule="atLeast"/>
              <w:ind w:left="425" w:leftChars="0" w:hanging="425"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闪光刺激器</w:t>
            </w:r>
          </w:p>
        </w:tc>
      </w:tr>
      <w:tr w14:paraId="15A80DD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C1D542E">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3FD420C">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38F1D5AF">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最大亮度：应不大于18000 cd/m2</w:t>
            </w:r>
          </w:p>
        </w:tc>
      </w:tr>
      <w:tr w14:paraId="47195DF4">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A9C612C">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46F5A26B">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1FBF13B3">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刺激频率：1 Hz～60 Hz可调，最大允许误差±5%或±1 Hz（两者取最大值），调节步长：0.5 Hz</w:t>
            </w:r>
          </w:p>
        </w:tc>
      </w:tr>
      <w:tr w14:paraId="69A0951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A7BCD46">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6042DB3C">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6446B8CF">
            <w:pPr>
              <w:keepNext w:val="0"/>
              <w:keepLines w:val="0"/>
              <w:pageBreakBefore w:val="0"/>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脉宽：10 ms，最大允许误差±5%</w:t>
            </w:r>
          </w:p>
        </w:tc>
      </w:tr>
      <w:tr w14:paraId="58C51783">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75CAF0A">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72AA592F">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44349D63">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间隔：1 s～30 s可调，最大允许误差±5%，调节步长：1 s</w:t>
            </w:r>
          </w:p>
        </w:tc>
      </w:tr>
      <w:tr w14:paraId="6894582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36C0FE1">
            <w:pPr>
              <w:widowControl/>
              <w:jc w:val="left"/>
              <w:rPr>
                <w:rFonts w:ascii="宋体" w:hAnsi="宋体" w:cs="宋体"/>
                <w:color w:val="000000" w:themeColor="text1"/>
                <w:kern w:val="0"/>
                <w:sz w:val="20"/>
                <w:szCs w:val="20"/>
                <w14:textFill>
                  <w14:solidFill>
                    <w14:schemeClr w14:val="tx1"/>
                  </w14:solidFill>
                </w14:textFill>
              </w:rPr>
            </w:pPr>
          </w:p>
        </w:tc>
        <w:tc>
          <w:tcPr>
            <w:tcW w:w="1136" w:type="dxa"/>
            <w:vMerge w:val="continue"/>
            <w:tcBorders>
              <w:top w:val="single" w:color="3F3F3F" w:sz="4" w:space="0"/>
              <w:left w:val="single" w:color="3F3F3F" w:sz="4" w:space="0"/>
              <w:bottom w:val="single" w:color="3F3F3F" w:sz="4" w:space="0"/>
              <w:right w:val="single" w:color="3F3F3F" w:sz="4" w:space="0"/>
            </w:tcBorders>
            <w:vAlign w:val="center"/>
          </w:tcPr>
          <w:p w14:paraId="5928256A">
            <w:pPr>
              <w:widowControl/>
              <w:jc w:val="left"/>
              <w:rPr>
                <w:rFonts w:ascii="宋体" w:hAnsi="宋体" w:cs="宋体"/>
                <w:color w:val="000000" w:themeColor="text1"/>
                <w:kern w:val="0"/>
                <w:sz w:val="20"/>
                <w:szCs w:val="20"/>
                <w14:textFill>
                  <w14:solidFill>
                    <w14:schemeClr w14:val="tx1"/>
                  </w14:solidFill>
                </w14:textFill>
              </w:rPr>
            </w:pPr>
          </w:p>
        </w:tc>
        <w:tc>
          <w:tcPr>
            <w:tcW w:w="7858" w:type="dxa"/>
            <w:tcBorders>
              <w:top w:val="single" w:color="3F3F3F" w:sz="4" w:space="0"/>
              <w:left w:val="nil"/>
              <w:bottom w:val="single" w:color="3F3F3F" w:sz="4" w:space="0"/>
              <w:right w:val="single" w:color="3F3F3F" w:sz="4" w:space="0"/>
            </w:tcBorders>
            <w:shd w:val="clear" w:color="000000" w:fill="FFFFFF"/>
            <w:vAlign w:val="center"/>
          </w:tcPr>
          <w:p w14:paraId="1135AF7E">
            <w:pPr>
              <w:keepNext w:val="0"/>
              <w:keepLines w:val="0"/>
              <w:pageBreakBefore w:val="0"/>
              <w:widowControl/>
              <w:numPr>
                <w:ilvl w:val="1"/>
                <w:numId w:val="1"/>
              </w:numPr>
              <w:kinsoku/>
              <w:wordWrap/>
              <w:overflowPunct/>
              <w:topLinePunct w:val="0"/>
              <w:autoSpaceDE/>
              <w:autoSpaceDN/>
              <w:bidi w:val="0"/>
              <w:adjustRightInd/>
              <w:snapToGrid/>
              <w:spacing w:line="240" w:lineRule="atLeast"/>
              <w:ind w:left="420" w:leftChars="0" w:hanging="363" w:firstLineChars="0"/>
              <w:jc w:val="left"/>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sz w:val="24"/>
              </w:rPr>
              <w:t>持续时间：1 s～300 s可调，最大允许误差±5%，调节步长：1 s</w:t>
            </w:r>
          </w:p>
        </w:tc>
      </w:tr>
    </w:tbl>
    <w:p w14:paraId="3BA94FF2">
      <w:pPr>
        <w:spacing w:line="360" w:lineRule="exact"/>
        <w:jc w:val="left"/>
        <w:rPr>
          <w:rFonts w:ascii="微软雅黑" w:hAnsi="微软雅黑" w:eastAsia="微软雅黑" w:cs="宋体"/>
          <w:color w:val="3F3F3F"/>
          <w:kern w:val="0"/>
          <w:sz w:val="20"/>
          <w:szCs w:val="20"/>
        </w:rPr>
      </w:pPr>
    </w:p>
    <w:p w14:paraId="0F2BA027">
      <w:pPr>
        <w:spacing w:line="360" w:lineRule="exact"/>
        <w:jc w:val="left"/>
        <w:rPr>
          <w:rFonts w:ascii="微软雅黑" w:hAnsi="微软雅黑" w:eastAsia="微软雅黑" w:cs="宋体"/>
          <w:color w:val="3F3F3F"/>
          <w:kern w:val="0"/>
          <w:sz w:val="20"/>
          <w:szCs w:val="20"/>
        </w:rPr>
        <w:sectPr>
          <w:pgSz w:w="11906" w:h="16838"/>
          <w:pgMar w:top="1440" w:right="1080" w:bottom="1440" w:left="1080" w:header="851" w:footer="992" w:gutter="0"/>
          <w:cols w:space="425" w:num="1"/>
          <w:docGrid w:type="lines" w:linePitch="312" w:charSpace="0"/>
        </w:sectPr>
      </w:pPr>
    </w:p>
    <w:p w14:paraId="27021851">
      <w:pPr>
        <w:pStyle w:val="2"/>
        <w:jc w:val="center"/>
        <w:rPr>
          <w:kern w:val="0"/>
        </w:rPr>
      </w:pPr>
      <w:r>
        <w:rPr>
          <w:rFonts w:hint="eastAsia"/>
          <w:kern w:val="0"/>
        </w:rPr>
        <w:t>设备配套耗材试剂情况</w:t>
      </w:r>
    </w:p>
    <w:p w14:paraId="6A6DEB9A">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开放</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lang w:eastAsia="zh-CN"/>
        </w:rPr>
        <w:t>□</w:t>
      </w:r>
      <w:r>
        <w:rPr>
          <w:rFonts w:hint="eastAsia" w:ascii="宋体" w:hAnsi="宋体" w:cs="宋体"/>
          <w:b/>
          <w:bCs/>
          <w:kern w:val="0"/>
          <w:sz w:val="28"/>
          <w:szCs w:val="28"/>
        </w:rPr>
        <w:t xml:space="preserve">） </w:t>
      </w:r>
    </w:p>
    <w:p w14:paraId="17AD3134">
      <w:pPr>
        <w:jc w:val="left"/>
        <w:rPr>
          <w:rFonts w:ascii="宋体" w:hAnsi="宋体" w:cs="宋体"/>
          <w:b/>
          <w:bCs/>
          <w:kern w:val="0"/>
          <w:sz w:val="24"/>
          <w:szCs w:val="24"/>
        </w:rPr>
      </w:pPr>
    </w:p>
    <w:p w14:paraId="4D45B785">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00DA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663C7319">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264B6586">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1B6BCC04">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12032C6E">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1FAA1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15D70D99">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66A0E953">
            <w:pPr>
              <w:jc w:val="center"/>
              <w:rPr>
                <w:rFonts w:hint="eastAsia" w:ascii="仿宋_GB2312" w:hAnsi="Times New Roman" w:eastAsia="仿宋_GB2312"/>
                <w:b/>
                <w:sz w:val="28"/>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14:paraId="04F88B80">
            <w:pPr>
              <w:jc w:val="center"/>
              <w:rPr>
                <w:rFonts w:hint="eastAsia" w:ascii="仿宋_GB2312" w:hAnsi="Times New Roman" w:eastAsia="仿宋_GB2312"/>
                <w:b/>
                <w:sz w:val="28"/>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14:paraId="2D8E77F3">
            <w:pPr>
              <w:jc w:val="center"/>
              <w:rPr>
                <w:rFonts w:hint="eastAsia" w:ascii="仿宋_GB2312" w:hAnsi="Times New Roman" w:eastAsia="仿宋_GB2312"/>
                <w:b/>
                <w:sz w:val="28"/>
                <w:szCs w:val="21"/>
                <w:lang w:val="en-US" w:eastAsia="zh-CN"/>
              </w:rPr>
            </w:pPr>
            <w:r>
              <w:rPr>
                <w:rFonts w:hint="eastAsia" w:ascii="仿宋_GB2312" w:hAnsi="Times New Roman" w:eastAsia="仿宋_GB2312"/>
                <w:sz w:val="24"/>
                <w:szCs w:val="21"/>
                <w:lang w:val="en-US" w:eastAsia="zh-CN"/>
              </w:rPr>
              <w:t>/</w:t>
            </w:r>
          </w:p>
        </w:tc>
      </w:tr>
    </w:tbl>
    <w:p w14:paraId="429C7CF2">
      <w:pPr>
        <w:jc w:val="left"/>
        <w:rPr>
          <w:rFonts w:ascii="Times New Roman" w:hAnsi="Times New Roman"/>
          <w:szCs w:val="21"/>
        </w:rPr>
      </w:pPr>
    </w:p>
    <w:p w14:paraId="5B5D20EE">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8"/>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2AB7E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060A3C3F">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1EED8108">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58C80AA3">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0AD47DFF">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2D83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256E219B">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5E37E619">
            <w:pPr>
              <w:jc w:val="center"/>
              <w:rPr>
                <w:rFonts w:hint="default"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14:paraId="009BD50C">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14:paraId="767256F1">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14:paraId="326AFD55">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000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4E02D">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51DFE"/>
    <w:multiLevelType w:val="multilevel"/>
    <w:tmpl w:val="E2851DFE"/>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420" w:leftChars="0" w:hanging="363" w:firstLineChars="0"/>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272FB8"/>
    <w:rsid w:val="11F653F6"/>
    <w:rsid w:val="146E4835"/>
    <w:rsid w:val="36132D18"/>
    <w:rsid w:val="4D461577"/>
    <w:rsid w:val="684C27C8"/>
    <w:rsid w:val="6E4C3861"/>
    <w:rsid w:val="74D02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10">
    <w:name w:val="Default Paragraph Font"/>
    <w:qFormat/>
    <w:uiPriority w:val="1"/>
  </w:style>
  <w:style w:type="table" w:default="1" w:styleId="8">
    <w:name w:val="Normal Table"/>
    <w:qFormat/>
    <w:uiPriority w:val="99"/>
    <w:tblPr>
      <w:tblCellMar>
        <w:top w:w="0" w:type="dxa"/>
        <w:left w:w="108" w:type="dxa"/>
        <w:bottom w:w="0" w:type="dxa"/>
        <w:right w:w="108" w:type="dxa"/>
      </w:tblCellMar>
    </w:tblPr>
  </w:style>
  <w:style w:type="paragraph" w:styleId="3">
    <w:name w:val="annotation text"/>
    <w:basedOn w:val="1"/>
    <w:link w:val="13"/>
    <w:qFormat/>
    <w:uiPriority w:val="99"/>
    <w:pPr>
      <w:jc w:val="left"/>
    </w:pPr>
  </w:style>
  <w:style w:type="paragraph" w:styleId="4">
    <w:name w:val="Balloon Text"/>
    <w:basedOn w:val="1"/>
    <w:link w:val="14"/>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kern w:val="0"/>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footnote text"/>
    <w:basedOn w:val="1"/>
    <w:qFormat/>
    <w:uiPriority w:val="0"/>
    <w:pPr>
      <w:snapToGrid w:val="0"/>
      <w:jc w:val="left"/>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qFormat/>
    <w:uiPriority w:val="99"/>
    <w:rPr>
      <w:sz w:val="21"/>
      <w:szCs w:val="21"/>
    </w:rPr>
  </w:style>
  <w:style w:type="character" w:customStyle="1" w:styleId="12">
    <w:name w:val="标题 1 字符"/>
    <w:link w:val="2"/>
    <w:qFormat/>
    <w:uiPriority w:val="9"/>
    <w:rPr>
      <w:b/>
      <w:bCs/>
      <w:kern w:val="44"/>
      <w:sz w:val="44"/>
      <w:szCs w:val="44"/>
    </w:rPr>
  </w:style>
  <w:style w:type="character" w:customStyle="1" w:styleId="13">
    <w:name w:val="批注文字 字符"/>
    <w:link w:val="3"/>
    <w:qFormat/>
    <w:uiPriority w:val="99"/>
    <w:rPr>
      <w:kern w:val="2"/>
      <w:sz w:val="21"/>
      <w:szCs w:val="22"/>
    </w:rPr>
  </w:style>
  <w:style w:type="character" w:customStyle="1" w:styleId="14">
    <w:name w:val="批注框文本 字符"/>
    <w:link w:val="4"/>
    <w:qFormat/>
    <w:uiPriority w:val="99"/>
    <w:rPr>
      <w:kern w:val="2"/>
      <w:sz w:val="18"/>
      <w:szCs w:val="18"/>
    </w:rPr>
  </w:style>
  <w:style w:type="character" w:customStyle="1" w:styleId="15">
    <w:name w:val="页脚 字符"/>
    <w:link w:val="5"/>
    <w:qFormat/>
    <w:uiPriority w:val="99"/>
    <w:rPr>
      <w:sz w:val="18"/>
      <w:szCs w:val="18"/>
    </w:rPr>
  </w:style>
  <w:style w:type="character" w:customStyle="1" w:styleId="16">
    <w:name w:val="页眉 字符"/>
    <w:link w:val="6"/>
    <w:qFormat/>
    <w:uiPriority w:val="99"/>
    <w:rPr>
      <w:sz w:val="18"/>
      <w:szCs w:val="18"/>
    </w:rPr>
  </w:style>
  <w:style w:type="paragraph" w:styleId="17">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4</Pages>
  <Words>1758</Words>
  <Characters>2129</Characters>
  <Paragraphs>504</Paragraphs>
  <TotalTime>8</TotalTime>
  <ScaleCrop>false</ScaleCrop>
  <LinksUpToDate>false</LinksUpToDate>
  <CharactersWithSpaces>2179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2025-05-06T01:16:28Z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8A3DD5E2930245DFBEE7C81F674291B3_13</vt:lpwstr>
  </property>
  <property fmtid="{D5CDD505-2E9C-101B-9397-08002B2CF9AE}" pid="4" name="KSOTemplateDocerSaveRecord">
    <vt:lpwstr>eyJoZGlkIjoiNWJkMzgyNzdjMGVjMjg3YjM2Y2VmYzc5MTcyMzBjZTUiLCJ1c2VySWQiOiIyNzA3NjAzOTkifQ==</vt:lpwstr>
  </property>
</Properties>
</file>