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eastAsia="宋体"/>
                <w:sz w:val="24"/>
                <w:szCs w:val="24"/>
                <w:lang w:val="en-US" w:eastAsia="zh-CN"/>
              </w:rPr>
              <w:t>设备</w:t>
            </w:r>
            <w:r>
              <w:rPr>
                <w:rFonts w:hint="eastAsia" w:ascii="宋体" w:hAnsi="宋体" w:eastAsia="宋体"/>
                <w:color w:val="000000" w:themeColor="text1"/>
                <w:sz w:val="24"/>
                <w:szCs w:val="24"/>
                <w:lang w:val="en-US" w:eastAsia="zh-CN"/>
                <w14:textFill>
                  <w14:solidFill>
                    <w14:schemeClr w14:val="tx1"/>
                  </w14:solidFill>
                </w14:textFill>
              </w:rPr>
              <w:t>10分  专机专用耗材/试剂20</w:t>
            </w:r>
            <w:r>
              <w:rPr>
                <w:rFonts w:hint="eastAsia" w:ascii="宋体" w:hAnsi="宋体" w:eastAsia="宋体"/>
                <w:color w:val="FF0000"/>
                <w:sz w:val="24"/>
                <w:szCs w:val="24"/>
                <w:lang w:val="en-US" w:eastAsia="zh-CN"/>
              </w:rPr>
              <w:t xml:space="preserve"> </w:t>
            </w:r>
            <w:r>
              <w:rPr>
                <w:rFonts w:hint="eastAsia" w:ascii="宋体" w:hAnsi="宋体" w:eastAsia="宋体"/>
                <w:sz w:val="24"/>
                <w:szCs w:val="24"/>
                <w:lang w:val="en-US" w:eastAsia="zh-CN"/>
              </w:rPr>
              <w:t>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669F16D">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投标人应如实填写《技术规格偏离表》，评审委员会根据技术需求参数响应情况进行打分，各项技术参数指标及要求全部满足的得45分，带“▲”为重要参数，每负偏离一项扣</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分，其他参数每负偏离一项扣2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分，扣完为止。正偏离不加分。</w:t>
            </w:r>
          </w:p>
          <w:p w14:paraId="20FE6D2F">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注：对带三角号（“▲”）的重要技术参数投标人必须提供相关证明材料（技术白皮书、彩页、产品说明书或检测报告等），否则按负偏离进行扣分。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57DAA647">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在投标文件中详细说明保障措施（包括技术团队和技术方案、所投产品在同类产品中性能水平及应用程度等），评审委员会根据响应情况进行横向比较，按优3分，良2分，中1分，差0分打分。</w:t>
            </w:r>
          </w:p>
          <w:p w14:paraId="4449EDC1">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优：技术团队和技术方案完善、所投产品在同类产品中性能水平高及应用程度高。</w:t>
            </w:r>
          </w:p>
          <w:p w14:paraId="14B789C4">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良：技术团队和技术方案较完善、所投产品在同类产品中性能水平较高及应用程度较高。</w:t>
            </w:r>
          </w:p>
          <w:p w14:paraId="76B89930">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中：技术团队和技术方案基本完善、所投产品在同类产品中性能水平普通及应用程度普通。</w:t>
            </w:r>
          </w:p>
          <w:p w14:paraId="53C78F13">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0A099637">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(1)投标人应如实填写《免费保修期内售后服务条款偏离表》，评审委员会根据响应情况进行打分。满足免费保修期的得2分，每增加一年加0.5分，最高得3分。</w:t>
            </w:r>
          </w:p>
          <w:p w14:paraId="65EE80B3">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(2)其他要求全部满足要求的得2分，每负偏离一项扣1分。</w:t>
            </w:r>
          </w:p>
          <w:p w14:paraId="7D08D26D">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投标人应如实填写《免费保修期外售后服务条款偏离表》，评审委员会根据响应情况进行打分，每负偏离一项扣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31C7421">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对招标文件的实质性要求作出有效响应且投标文件按招标文件要求具有有效性和完整性，得优：6分；</w:t>
            </w:r>
          </w:p>
          <w:p w14:paraId="029B7C86">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投标文件不缺项，表达不清晰，需现场解答，得良：3分；</w:t>
            </w:r>
          </w:p>
          <w:p w14:paraId="257F7FAD">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投标文件缺项，经现场答辩，不影响评标，得中：1分；</w:t>
            </w:r>
          </w:p>
          <w:p w14:paraId="376556DD">
            <w:pPr>
              <w:spacing w:line="2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997946"/>
      <w:bookmarkStart w:id="3" w:name="_Toc201743116"/>
      <w:bookmarkStart w:id="4" w:name="_Toc201401658"/>
      <w:bookmarkStart w:id="5" w:name="_Toc201742861"/>
      <w:bookmarkStart w:id="6" w:name="_Toc20171911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3"/>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4"/>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015"/>
        <w:gridCol w:w="108"/>
        <w:gridCol w:w="3317"/>
        <w:gridCol w:w="1480"/>
        <w:gridCol w:w="1851"/>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6"/>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6"/>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both"/>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电子内窥镜图像处理器</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6000</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非进口</w:t>
                  </w:r>
                </w:p>
              </w:tc>
            </w:tr>
          </w:tbl>
          <w:p w14:paraId="11E886F9">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gridSpan w:val="2"/>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gridSpan w:val="3"/>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ind w:firstLine="420" w:firstLineChars="200"/>
              <w:jc w:val="both"/>
              <w:rPr>
                <w:rFonts w:hint="eastAsia" w:ascii="宋体" w:hAnsi="宋体" w:cs="宋体"/>
                <w:kern w:val="0"/>
                <w:sz w:val="24"/>
                <w:szCs w:val="24"/>
                <w:lang w:val="en-US" w:eastAsia="zh-CN"/>
              </w:rPr>
            </w:pPr>
            <w:r>
              <w:rPr>
                <w:rFonts w:hint="eastAsia"/>
                <w:color w:val="FF0000"/>
                <w:lang w:val="en-US" w:eastAsia="zh-CN"/>
              </w:rPr>
              <w:t>▲</w:t>
            </w:r>
            <w:r>
              <w:rPr>
                <w:rFonts w:hint="eastAsia"/>
                <w:lang w:val="en-US" w:eastAsia="zh-CN"/>
              </w:rPr>
              <w:t>1</w:t>
            </w:r>
          </w:p>
        </w:tc>
        <w:tc>
          <w:tcPr>
            <w:tcW w:w="6648" w:type="dxa"/>
            <w:gridSpan w:val="3"/>
            <w:tcBorders>
              <w:top w:val="single" w:color="auto" w:sz="6" w:space="0"/>
              <w:left w:val="single" w:color="auto" w:sz="6" w:space="0"/>
              <w:bottom w:val="nil"/>
              <w:right w:val="nil"/>
            </w:tcBorders>
            <w:noWrap w:val="0"/>
            <w:vAlign w:val="center"/>
          </w:tcPr>
          <w:p w14:paraId="71F8D0E9">
            <w:pPr>
              <w:widowControl/>
              <w:spacing w:before="100" w:beforeAutospacing="1" w:after="100" w:afterAutospacing="1"/>
              <w:jc w:val="left"/>
              <w:rPr>
                <w:rFonts w:hint="eastAsia" w:ascii="宋体" w:hAnsi="宋体" w:cs="宋体"/>
                <w:color w:val="auto"/>
                <w:kern w:val="0"/>
                <w:szCs w:val="21"/>
                <w:lang w:eastAsia="zh-CN"/>
              </w:rPr>
            </w:pPr>
            <w:r>
              <w:rPr>
                <w:rFonts w:hint="eastAsia" w:ascii="宋体" w:hAnsi="宋体" w:eastAsia="宋体" w:cs="宋体"/>
                <w:b w:val="0"/>
                <w:bCs w:val="0"/>
                <w:sz w:val="18"/>
                <w:szCs w:val="18"/>
                <w:lang w:eastAsia="zh-CN"/>
              </w:rPr>
              <w:t>显示屏：</w:t>
            </w:r>
            <w:r>
              <w:rPr>
                <w:rFonts w:hint="eastAsia" w:ascii="宋体" w:hAnsi="宋体" w:eastAsia="宋体" w:cs="宋体"/>
                <w:b w:val="0"/>
                <w:bCs w:val="0"/>
                <w:sz w:val="18"/>
                <w:szCs w:val="18"/>
              </w:rPr>
              <w:t>高清显示屏≥10英寸，IPS/LED面板</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lang w:val="en-US" w:eastAsia="zh-CN"/>
              </w:rPr>
              <w:t>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jc w:val="center"/>
              <w:rPr>
                <w:rFonts w:hint="eastAsia" w:ascii="宋体" w:hAnsi="宋体" w:cs="宋体"/>
                <w:kern w:val="0"/>
                <w:sz w:val="24"/>
                <w:szCs w:val="24"/>
                <w:lang w:val="en-US" w:eastAsia="zh-CN"/>
              </w:rPr>
            </w:pPr>
            <w:r>
              <w:rPr>
                <w:rFonts w:hint="eastAsia"/>
                <w:color w:val="FF0000"/>
                <w:lang w:val="en-US" w:eastAsia="zh-CN"/>
              </w:rPr>
              <w:t>▲</w:t>
            </w:r>
            <w:r>
              <w:rPr>
                <w:rFonts w:hint="default" w:ascii="Times New Roman" w:hAnsi="Times New Roman" w:cs="Times New Roman"/>
                <w:color w:val="000000"/>
                <w:kern w:val="0"/>
                <w:sz w:val="24"/>
                <w:szCs w:val="24"/>
                <w:lang w:val="en-US" w:eastAsia="zh-CN"/>
              </w:rPr>
              <w:t>2</w:t>
            </w:r>
          </w:p>
        </w:tc>
        <w:tc>
          <w:tcPr>
            <w:tcW w:w="6648" w:type="dxa"/>
            <w:gridSpan w:val="3"/>
            <w:tcBorders>
              <w:top w:val="single" w:color="auto" w:sz="6" w:space="0"/>
              <w:left w:val="single" w:color="auto" w:sz="6" w:space="0"/>
              <w:bottom w:val="nil"/>
              <w:right w:val="nil"/>
            </w:tcBorders>
            <w:noWrap w:val="0"/>
            <w:vAlign w:val="center"/>
          </w:tcPr>
          <w:p w14:paraId="5E2FCD12">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eastAsia="宋体" w:cs="宋体"/>
                <w:b w:val="0"/>
                <w:bCs w:val="0"/>
                <w:sz w:val="18"/>
                <w:szCs w:val="18"/>
                <w:lang w:eastAsia="zh-CN"/>
              </w:rPr>
              <w:t>输出接口：具有高清画质的HDMI视频输出，具备USB-C/SDI，支持实时传输至外部显示器或录播设备</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jc w:val="center"/>
              <w:rPr>
                <w:rFonts w:hint="eastAsia" w:ascii="宋体" w:hAnsi="宋体" w:cs="宋体"/>
                <w:kern w:val="0"/>
                <w:sz w:val="24"/>
                <w:szCs w:val="24"/>
                <w:lang w:val="en-US" w:eastAsia="zh-CN"/>
              </w:rPr>
            </w:pPr>
            <w:r>
              <w:rPr>
                <w:rFonts w:hint="eastAsia"/>
                <w:color w:val="FF0000"/>
                <w:lang w:val="en-US" w:eastAsia="zh-CN"/>
              </w:rPr>
              <w:t>▲</w:t>
            </w:r>
            <w:r>
              <w:rPr>
                <w:rFonts w:hint="eastAsia"/>
                <w:color w:val="auto"/>
                <w:lang w:val="en-US" w:eastAsia="zh-CN"/>
              </w:rPr>
              <w:t>3</w:t>
            </w:r>
          </w:p>
        </w:tc>
        <w:tc>
          <w:tcPr>
            <w:tcW w:w="6648" w:type="dxa"/>
            <w:gridSpan w:val="3"/>
            <w:tcBorders>
              <w:top w:val="single" w:color="auto" w:sz="6" w:space="0"/>
              <w:left w:val="single" w:color="auto" w:sz="6" w:space="0"/>
              <w:bottom w:val="nil"/>
              <w:right w:val="nil"/>
            </w:tcBorders>
            <w:noWrap w:val="0"/>
            <w:vAlign w:val="center"/>
          </w:tcPr>
          <w:p w14:paraId="748E7C82">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eastAsia="zh-CN"/>
              </w:rPr>
              <w:t>图像采集：高清</w:t>
            </w:r>
            <w:r>
              <w:rPr>
                <w:rFonts w:hint="eastAsia" w:ascii="宋体" w:hAnsi="宋体" w:eastAsia="宋体" w:cs="宋体"/>
                <w:b w:val="0"/>
                <w:bCs w:val="0"/>
                <w:sz w:val="18"/>
                <w:szCs w:val="18"/>
                <w:lang w:val="en-US" w:eastAsia="zh-CN"/>
              </w:rPr>
              <w:t>CMOS/CCD图像传感器；分辨率≥1000×1000像素，</w:t>
            </w:r>
            <w:r>
              <w:rPr>
                <w:rFonts w:hint="eastAsia" w:ascii="宋体" w:hAnsi="宋体" w:eastAsia="宋体" w:cs="宋体"/>
                <w:b w:val="0"/>
                <w:bCs w:val="0"/>
                <w:sz w:val="18"/>
                <w:szCs w:val="18"/>
                <w:lang w:eastAsia="zh-CN"/>
              </w:rPr>
              <w:t>图像格式具备JPEG/PNG/DICOM，兼容医疗影像存档标准</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cs="宋体"/>
                <w:kern w:val="0"/>
                <w:sz w:val="24"/>
                <w:szCs w:val="24"/>
                <w:lang w:val="en-US" w:eastAsia="zh-CN"/>
              </w:rPr>
            </w:pPr>
            <w:r>
              <w:rPr>
                <w:rFonts w:hint="default" w:ascii="Times New Roman" w:hAnsi="Times New Roman" w:cs="Times New Roman"/>
                <w:color w:val="auto"/>
                <w:lang w:val="en-US" w:eastAsia="zh-CN"/>
              </w:rPr>
              <w:t>4</w:t>
            </w:r>
          </w:p>
        </w:tc>
        <w:tc>
          <w:tcPr>
            <w:tcW w:w="6648" w:type="dxa"/>
            <w:gridSpan w:val="3"/>
            <w:tcBorders>
              <w:top w:val="single" w:color="auto" w:sz="6" w:space="0"/>
              <w:left w:val="single" w:color="auto" w:sz="6" w:space="0"/>
              <w:bottom w:val="nil"/>
              <w:right w:val="nil"/>
            </w:tcBorders>
            <w:noWrap w:val="0"/>
            <w:vAlign w:val="center"/>
          </w:tcPr>
          <w:p w14:paraId="78A2EC55">
            <w:pPr>
              <w:widowControl/>
              <w:spacing w:before="100" w:beforeAutospacing="1" w:after="100" w:afterAutospacing="1"/>
              <w:jc w:val="left"/>
              <w:rPr>
                <w:rFonts w:hint="eastAsia" w:ascii="宋体" w:hAnsi="宋体" w:cs="宋体"/>
                <w:color w:val="auto"/>
                <w:kern w:val="0"/>
                <w:szCs w:val="21"/>
                <w:lang w:val="en-US" w:eastAsia="zh-CN"/>
              </w:rPr>
            </w:pPr>
            <w:r>
              <w:rPr>
                <w:rFonts w:hint="eastAsia" w:ascii="宋体" w:hAnsi="宋体" w:eastAsia="宋体" w:cs="宋体"/>
                <w:b w:val="0"/>
                <w:bCs w:val="0"/>
                <w:sz w:val="18"/>
                <w:szCs w:val="18"/>
                <w:lang w:val="en-US" w:eastAsia="zh-CN"/>
              </w:rPr>
              <w:t>图像采集：帧率≥30fps，实时动态成像</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73B32453">
            <w:pPr>
              <w:widowControl/>
              <w:spacing w:before="100" w:beforeAutospacing="1" w:after="100" w:afterAutospacing="1"/>
              <w:jc w:val="center"/>
              <w:rPr>
                <w:rFonts w:hint="eastAsia" w:ascii="宋体" w:hAnsi="宋体" w:cs="宋体"/>
                <w:kern w:val="0"/>
                <w:sz w:val="24"/>
                <w:szCs w:val="24"/>
              </w:rPr>
            </w:pPr>
            <w:r>
              <w:rPr>
                <w:rFonts w:hint="default" w:ascii="Times New Roman" w:hAnsi="Times New Roman" w:cs="Times New Roman"/>
                <w:color w:val="auto"/>
                <w:lang w:val="en-US" w:eastAsia="zh-CN"/>
              </w:rPr>
              <w:t>5</w:t>
            </w:r>
          </w:p>
        </w:tc>
        <w:tc>
          <w:tcPr>
            <w:tcW w:w="6648" w:type="dxa"/>
            <w:gridSpan w:val="3"/>
            <w:tcBorders>
              <w:top w:val="single" w:color="auto" w:sz="6" w:space="0"/>
              <w:left w:val="single" w:color="auto" w:sz="6" w:space="0"/>
              <w:bottom w:val="nil"/>
              <w:right w:val="nil"/>
            </w:tcBorders>
            <w:noWrap w:val="0"/>
            <w:vAlign w:val="center"/>
          </w:tcPr>
          <w:p w14:paraId="31069815">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val="en-US" w:eastAsia="zh-CN"/>
              </w:rPr>
              <w:t xml:space="preserve">实时图像处理：支持图像冻结、缩放、旋转、对比度/亮度调节  </w:t>
            </w:r>
          </w:p>
        </w:tc>
        <w:tc>
          <w:tcPr>
            <w:tcW w:w="1109" w:type="dxa"/>
            <w:tcBorders>
              <w:top w:val="single" w:color="auto" w:sz="6" w:space="0"/>
              <w:left w:val="single" w:color="auto" w:sz="6" w:space="0"/>
              <w:bottom w:val="nil"/>
              <w:right w:val="nil"/>
            </w:tcBorders>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2.5</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0C478AB3">
            <w:pPr>
              <w:widowControl/>
              <w:spacing w:before="100" w:beforeAutospacing="1" w:after="100" w:afterAutospacing="1"/>
              <w:jc w:val="center"/>
              <w:rPr>
                <w:rFonts w:hint="eastAsia" w:ascii="宋体" w:hAnsi="宋体" w:cs="宋体"/>
                <w:kern w:val="0"/>
                <w:sz w:val="24"/>
                <w:szCs w:val="24"/>
              </w:rPr>
            </w:pPr>
            <w:r>
              <w:rPr>
                <w:rFonts w:hint="default" w:ascii="Times New Roman" w:hAnsi="Times New Roman" w:cs="Times New Roman"/>
                <w:color w:val="auto"/>
                <w:lang w:val="en-US" w:eastAsia="zh-CN"/>
              </w:rPr>
              <w:t>6</w:t>
            </w:r>
          </w:p>
        </w:tc>
        <w:tc>
          <w:tcPr>
            <w:tcW w:w="6648" w:type="dxa"/>
            <w:gridSpan w:val="3"/>
            <w:tcBorders>
              <w:top w:val="single" w:color="auto" w:sz="6" w:space="0"/>
              <w:left w:val="single" w:color="auto" w:sz="6" w:space="0"/>
              <w:bottom w:val="nil"/>
              <w:right w:val="nil"/>
            </w:tcBorders>
            <w:noWrap w:val="0"/>
            <w:vAlign w:val="center"/>
          </w:tcPr>
          <w:p w14:paraId="14D66A74">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val="en-US" w:eastAsia="zh-CN"/>
              </w:rPr>
              <w:t>数据传输：USB接口兼容连接安卓系统等其他设备，具有传输图片</w:t>
            </w:r>
            <w:r>
              <w:rPr>
                <w:rFonts w:hint="eastAsia" w:ascii="宋体" w:hAnsi="宋体" w:eastAsia="宋体" w:cs="宋体"/>
                <w:b w:val="0"/>
                <w:bCs w:val="0"/>
                <w:sz w:val="18"/>
                <w:szCs w:val="18"/>
              </w:rPr>
              <w:t>（JPG格式或BMP格式）</w:t>
            </w:r>
            <w:r>
              <w:rPr>
                <w:rFonts w:hint="eastAsia" w:ascii="宋体" w:hAnsi="宋体" w:eastAsia="宋体" w:cs="宋体"/>
                <w:b w:val="0"/>
                <w:bCs w:val="0"/>
                <w:sz w:val="18"/>
                <w:szCs w:val="18"/>
                <w:lang w:eastAsia="zh-CN"/>
              </w:rPr>
              <w:t>、视频等功能，</w:t>
            </w:r>
            <w:r>
              <w:rPr>
                <w:rFonts w:hint="eastAsia" w:ascii="宋体" w:hAnsi="宋体" w:eastAsia="宋体" w:cs="宋体"/>
                <w:b w:val="0"/>
                <w:bCs w:val="0"/>
                <w:sz w:val="18"/>
                <w:szCs w:val="18"/>
                <w:lang w:val="en-US" w:eastAsia="zh-CN"/>
              </w:rPr>
              <w:t xml:space="preserve">具有无线视频传输功能 </w:t>
            </w:r>
          </w:p>
        </w:tc>
        <w:tc>
          <w:tcPr>
            <w:tcW w:w="1109" w:type="dxa"/>
            <w:tcBorders>
              <w:top w:val="single" w:color="auto" w:sz="6" w:space="0"/>
              <w:left w:val="single" w:color="auto" w:sz="6" w:space="0"/>
              <w:bottom w:val="nil"/>
              <w:right w:val="nil"/>
            </w:tcBorders>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45C65907">
            <w:pPr>
              <w:widowControl/>
              <w:spacing w:before="100" w:beforeAutospacing="1" w:after="100" w:afterAutospacing="1"/>
              <w:jc w:val="center"/>
              <w:rPr>
                <w:rFonts w:hint="eastAsia" w:ascii="宋体" w:hAnsi="宋体" w:cs="宋体"/>
                <w:kern w:val="0"/>
                <w:sz w:val="24"/>
                <w:szCs w:val="24"/>
              </w:rPr>
            </w:pPr>
            <w:r>
              <w:rPr>
                <w:rFonts w:hint="default" w:ascii="Times New Roman" w:hAnsi="Times New Roman" w:cs="Times New Roman"/>
                <w:color w:val="auto"/>
                <w:lang w:val="en-US" w:eastAsia="zh-CN"/>
              </w:rPr>
              <w:t>7</w:t>
            </w:r>
          </w:p>
        </w:tc>
        <w:tc>
          <w:tcPr>
            <w:tcW w:w="6648" w:type="dxa"/>
            <w:gridSpan w:val="3"/>
            <w:tcBorders>
              <w:top w:val="single" w:color="auto" w:sz="6" w:space="0"/>
              <w:left w:val="single" w:color="auto" w:sz="6" w:space="0"/>
              <w:bottom w:val="nil"/>
              <w:right w:val="nil"/>
            </w:tcBorders>
            <w:noWrap w:val="0"/>
            <w:vAlign w:val="center"/>
          </w:tcPr>
          <w:p w14:paraId="254EE882">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eastAsia="zh-CN"/>
              </w:rPr>
              <w:t>存储：具备录像录制视频，拍照截取画面，内置存储≥</w:t>
            </w:r>
            <w:r>
              <w:rPr>
                <w:rFonts w:hint="eastAsia" w:ascii="宋体" w:hAnsi="宋体" w:eastAsia="宋体" w:cs="宋体"/>
                <w:b w:val="0"/>
                <w:bCs w:val="0"/>
                <w:sz w:val="18"/>
                <w:szCs w:val="18"/>
                <w:lang w:val="en-US" w:eastAsia="zh-CN"/>
              </w:rPr>
              <w:t>128</w:t>
            </w:r>
            <w:r>
              <w:rPr>
                <w:rFonts w:hint="eastAsia" w:ascii="宋体" w:hAnsi="宋体" w:eastAsia="宋体" w:cs="宋体"/>
                <w:b w:val="0"/>
                <w:bCs w:val="0"/>
                <w:sz w:val="18"/>
                <w:szCs w:val="18"/>
                <w:lang w:eastAsia="zh-CN"/>
              </w:rPr>
              <w:t>GB，支持扩展，循环录像功能</w:t>
            </w:r>
          </w:p>
        </w:tc>
        <w:tc>
          <w:tcPr>
            <w:tcW w:w="1109" w:type="dxa"/>
            <w:tcBorders>
              <w:top w:val="single" w:color="auto" w:sz="6" w:space="0"/>
              <w:left w:val="single" w:color="auto" w:sz="6" w:space="0"/>
              <w:bottom w:val="nil"/>
              <w:right w:val="nil"/>
            </w:tcBorders>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0D285BA5">
            <w:pPr>
              <w:widowControl/>
              <w:spacing w:before="100" w:beforeAutospacing="1" w:after="100" w:afterAutospacing="1"/>
              <w:ind w:firstLine="480" w:firstLineChars="200"/>
              <w:jc w:val="both"/>
              <w:rPr>
                <w:rFonts w:hint="eastAsia" w:ascii="宋体" w:hAnsi="宋体" w:cs="宋体"/>
                <w:color w:val="000000"/>
                <w:kern w:val="0"/>
                <w:sz w:val="24"/>
                <w:szCs w:val="24"/>
              </w:rPr>
            </w:pPr>
            <w:r>
              <w:rPr>
                <w:rFonts w:hint="default" w:ascii="Times New Roman" w:hAnsi="Times New Roman" w:eastAsia="宋体" w:cs="Times New Roman"/>
                <w:color w:val="auto"/>
                <w:kern w:val="0"/>
                <w:sz w:val="24"/>
                <w:szCs w:val="24"/>
                <w:lang w:val="en-US" w:eastAsia="zh-CN"/>
              </w:rPr>
              <w:t>8</w:t>
            </w:r>
          </w:p>
        </w:tc>
        <w:tc>
          <w:tcPr>
            <w:tcW w:w="6648" w:type="dxa"/>
            <w:gridSpan w:val="3"/>
            <w:tcBorders>
              <w:top w:val="single" w:color="auto" w:sz="6" w:space="0"/>
              <w:left w:val="single" w:color="auto" w:sz="6" w:space="0"/>
              <w:bottom w:val="nil"/>
              <w:right w:val="nil"/>
            </w:tcBorders>
            <w:noWrap w:val="0"/>
            <w:vAlign w:val="center"/>
          </w:tcPr>
          <w:p w14:paraId="7B923E82">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val="en-US" w:eastAsia="zh-CN"/>
              </w:rPr>
              <w:t>数据管理：具有信息管理动能，可实时影像界面创建编辑患者信息，具有保存/修改功能</w:t>
            </w:r>
          </w:p>
        </w:tc>
        <w:tc>
          <w:tcPr>
            <w:tcW w:w="1109" w:type="dxa"/>
            <w:tcBorders>
              <w:top w:val="single" w:color="auto" w:sz="6" w:space="0"/>
              <w:left w:val="single" w:color="auto" w:sz="6" w:space="0"/>
              <w:bottom w:val="nil"/>
              <w:right w:val="nil"/>
            </w:tcBorders>
            <w:noWrap w:val="0"/>
            <w:vAlign w:val="center"/>
          </w:tcPr>
          <w:p w14:paraId="5C47029F">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56A46477">
            <w:pPr>
              <w:widowControl/>
              <w:spacing w:before="100" w:beforeAutospacing="1" w:after="100" w:afterAutospacing="1"/>
              <w:jc w:val="center"/>
              <w:rPr>
                <w:rFonts w:hint="eastAsia" w:ascii="宋体" w:hAnsi="宋体" w:cs="宋体"/>
                <w:color w:val="000000"/>
                <w:kern w:val="0"/>
                <w:sz w:val="24"/>
                <w:szCs w:val="24"/>
              </w:rPr>
            </w:pPr>
            <w:r>
              <w:rPr>
                <w:rFonts w:hint="default" w:ascii="Times New Roman" w:hAnsi="Times New Roman" w:eastAsia="宋体" w:cs="Times New Roman"/>
                <w:color w:val="auto"/>
                <w:kern w:val="0"/>
                <w:sz w:val="24"/>
                <w:szCs w:val="24"/>
                <w:lang w:val="en-US" w:eastAsia="zh-CN"/>
              </w:rPr>
              <w:t>9</w:t>
            </w:r>
          </w:p>
        </w:tc>
        <w:tc>
          <w:tcPr>
            <w:tcW w:w="6648" w:type="dxa"/>
            <w:gridSpan w:val="3"/>
            <w:tcBorders>
              <w:top w:val="single" w:color="auto" w:sz="6" w:space="0"/>
              <w:left w:val="single" w:color="auto" w:sz="6" w:space="0"/>
              <w:bottom w:val="nil"/>
              <w:right w:val="nil"/>
            </w:tcBorders>
            <w:noWrap w:val="0"/>
            <w:vAlign w:val="center"/>
          </w:tcPr>
          <w:p w14:paraId="737382B7">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val="en-US" w:eastAsia="zh-CN"/>
              </w:rPr>
              <w:t>兼容性：电磁兼容性通过</w:t>
            </w:r>
            <w:r>
              <w:rPr>
                <w:rFonts w:hint="default" w:ascii="宋体" w:hAnsi="宋体" w:eastAsia="宋体" w:cs="宋体"/>
                <w:b w:val="0"/>
                <w:bCs w:val="0"/>
                <w:sz w:val="18"/>
                <w:szCs w:val="18"/>
                <w:lang w:val="en-US" w:eastAsia="zh-CN"/>
              </w:rPr>
              <w:t>YY</w:t>
            </w:r>
            <w:r>
              <w:rPr>
                <w:rFonts w:hint="eastAsia" w:ascii="宋体" w:hAnsi="宋体" w:eastAsia="宋体" w:cs="宋体"/>
                <w:b w:val="0"/>
                <w:bCs w:val="0"/>
                <w:sz w:val="18"/>
                <w:szCs w:val="18"/>
                <w:lang w:val="en-US" w:eastAsia="zh-CN"/>
              </w:rPr>
              <w:t xml:space="preserve"> </w:t>
            </w:r>
            <w:r>
              <w:rPr>
                <w:rFonts w:hint="default" w:ascii="宋体" w:hAnsi="宋体" w:eastAsia="宋体" w:cs="宋体"/>
                <w:b w:val="0"/>
                <w:bCs w:val="0"/>
                <w:sz w:val="18"/>
                <w:szCs w:val="18"/>
                <w:lang w:val="en-US" w:eastAsia="zh-CN"/>
              </w:rPr>
              <w:t>9706.102-2021</w:t>
            </w:r>
            <w:r>
              <w:rPr>
                <w:rFonts w:hint="eastAsia" w:ascii="宋体" w:hAnsi="宋体" w:eastAsia="宋体" w:cs="宋体"/>
                <w:b w:val="0"/>
                <w:bCs w:val="0"/>
                <w:sz w:val="18"/>
                <w:szCs w:val="18"/>
                <w:lang w:val="en-US" w:eastAsia="zh-CN"/>
              </w:rPr>
              <w:t>标准；光学兼容性符合</w:t>
            </w:r>
            <w:r>
              <w:rPr>
                <w:rFonts w:hint="default" w:ascii="宋体" w:hAnsi="宋体" w:eastAsia="宋体" w:cs="宋体"/>
                <w:b w:val="0"/>
                <w:bCs w:val="0"/>
                <w:sz w:val="18"/>
                <w:szCs w:val="18"/>
                <w:lang w:val="en-US" w:eastAsia="zh-CN"/>
              </w:rPr>
              <w:t>YY</w:t>
            </w:r>
            <w:r>
              <w:rPr>
                <w:rFonts w:hint="eastAsia" w:ascii="宋体" w:hAnsi="宋体" w:eastAsia="宋体" w:cs="宋体"/>
                <w:b w:val="0"/>
                <w:bCs w:val="0"/>
                <w:sz w:val="18"/>
                <w:szCs w:val="18"/>
                <w:lang w:val="en-US" w:eastAsia="zh-CN"/>
              </w:rPr>
              <w:t xml:space="preserve"> </w:t>
            </w:r>
            <w:r>
              <w:rPr>
                <w:rFonts w:hint="default" w:ascii="宋体" w:hAnsi="宋体" w:eastAsia="宋体" w:cs="宋体"/>
                <w:b w:val="0"/>
                <w:bCs w:val="0"/>
                <w:sz w:val="18"/>
                <w:szCs w:val="18"/>
                <w:lang w:val="en-US" w:eastAsia="zh-CN"/>
              </w:rPr>
              <w:t>0068.1-2008</w:t>
            </w:r>
            <w:r>
              <w:rPr>
                <w:rFonts w:hint="eastAsia" w:ascii="宋体" w:hAnsi="宋体" w:eastAsia="宋体" w:cs="宋体"/>
                <w:b w:val="0"/>
                <w:bCs w:val="0"/>
                <w:sz w:val="18"/>
                <w:szCs w:val="18"/>
                <w:lang w:val="en-US" w:eastAsia="zh-CN"/>
              </w:rPr>
              <w:t>标准</w:t>
            </w:r>
          </w:p>
        </w:tc>
        <w:tc>
          <w:tcPr>
            <w:tcW w:w="1109" w:type="dxa"/>
            <w:tcBorders>
              <w:top w:val="single" w:color="auto" w:sz="6" w:space="0"/>
              <w:left w:val="single" w:color="auto" w:sz="6" w:space="0"/>
              <w:bottom w:val="nil"/>
              <w:right w:val="nil"/>
            </w:tcBorders>
            <w:noWrap w:val="0"/>
            <w:vAlign w:val="center"/>
          </w:tcPr>
          <w:p w14:paraId="64FC5FB2">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15C9D3CA">
            <w:pPr>
              <w:widowControl/>
              <w:spacing w:before="100" w:beforeAutospacing="1" w:after="100" w:afterAutospacing="1"/>
              <w:jc w:val="center"/>
              <w:rPr>
                <w:rFonts w:hint="eastAsia" w:ascii="宋体" w:hAnsi="宋体" w:cs="宋体"/>
                <w:color w:val="000000"/>
                <w:kern w:val="0"/>
                <w:sz w:val="24"/>
                <w:szCs w:val="24"/>
              </w:rPr>
            </w:pPr>
            <w:r>
              <w:rPr>
                <w:rFonts w:hint="default" w:ascii="Times New Roman" w:hAnsi="Times New Roman" w:cs="Times New Roman"/>
                <w:color w:val="auto"/>
                <w:kern w:val="0"/>
                <w:sz w:val="24"/>
                <w:szCs w:val="24"/>
                <w:lang w:val="en-US" w:eastAsia="zh-CN"/>
              </w:rPr>
              <w:t>10</w:t>
            </w:r>
          </w:p>
        </w:tc>
        <w:tc>
          <w:tcPr>
            <w:tcW w:w="6648" w:type="dxa"/>
            <w:gridSpan w:val="3"/>
            <w:tcBorders>
              <w:top w:val="single" w:color="auto" w:sz="6" w:space="0"/>
              <w:left w:val="single" w:color="auto" w:sz="6" w:space="0"/>
              <w:bottom w:val="nil"/>
              <w:right w:val="nil"/>
            </w:tcBorders>
            <w:noWrap w:val="0"/>
            <w:vAlign w:val="center"/>
          </w:tcPr>
          <w:p w14:paraId="278E06E0">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val="en-US" w:eastAsia="zh-CN"/>
              </w:rPr>
              <w:t>兼容导管类型：具有兼容对接鼻肠成像导管端口，具备进行实时影像信号传输功能</w:t>
            </w:r>
          </w:p>
        </w:tc>
        <w:tc>
          <w:tcPr>
            <w:tcW w:w="1109" w:type="dxa"/>
            <w:tcBorders>
              <w:top w:val="single" w:color="auto" w:sz="6" w:space="0"/>
              <w:left w:val="single" w:color="auto" w:sz="6" w:space="0"/>
              <w:bottom w:val="nil"/>
              <w:right w:val="nil"/>
            </w:tcBorders>
            <w:noWrap w:val="0"/>
            <w:vAlign w:val="center"/>
          </w:tcPr>
          <w:p w14:paraId="13A645B2">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6C8111A8">
            <w:pPr>
              <w:widowControl/>
              <w:spacing w:before="100" w:beforeAutospacing="1" w:after="100" w:afterAutospacing="1"/>
              <w:jc w:val="center"/>
              <w:rPr>
                <w:rFonts w:hint="eastAsia" w:ascii="宋体" w:hAnsi="宋体" w:cs="宋体"/>
                <w:color w:val="000000"/>
                <w:kern w:val="0"/>
                <w:sz w:val="24"/>
                <w:szCs w:val="24"/>
              </w:rPr>
            </w:pPr>
            <w:r>
              <w:rPr>
                <w:rFonts w:hint="default" w:ascii="Times New Roman" w:hAnsi="Times New Roman" w:eastAsia="宋体" w:cs="Times New Roman"/>
                <w:color w:val="auto"/>
                <w:kern w:val="0"/>
                <w:sz w:val="24"/>
                <w:szCs w:val="24"/>
                <w:lang w:val="en-US" w:eastAsia="zh-CN"/>
              </w:rPr>
              <w:t>11</w:t>
            </w:r>
          </w:p>
        </w:tc>
        <w:tc>
          <w:tcPr>
            <w:tcW w:w="6648" w:type="dxa"/>
            <w:gridSpan w:val="3"/>
            <w:tcBorders>
              <w:top w:val="single" w:color="auto" w:sz="6" w:space="0"/>
              <w:left w:val="single" w:color="auto" w:sz="6" w:space="0"/>
              <w:bottom w:val="nil"/>
              <w:right w:val="nil"/>
            </w:tcBorders>
            <w:noWrap w:val="0"/>
            <w:vAlign w:val="center"/>
          </w:tcPr>
          <w:p w14:paraId="11FE3807">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val="en-US" w:eastAsia="zh-CN"/>
              </w:rPr>
              <w:t>系统升级功能：具有系统及软件可升级及拓展</w:t>
            </w:r>
          </w:p>
        </w:tc>
        <w:tc>
          <w:tcPr>
            <w:tcW w:w="1109" w:type="dxa"/>
            <w:tcBorders>
              <w:top w:val="single" w:color="auto" w:sz="6" w:space="0"/>
              <w:left w:val="single" w:color="auto" w:sz="6" w:space="0"/>
              <w:bottom w:val="nil"/>
              <w:right w:val="nil"/>
            </w:tcBorders>
            <w:noWrap w:val="0"/>
            <w:vAlign w:val="center"/>
          </w:tcPr>
          <w:p w14:paraId="6AE42D49">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45C7FC61">
            <w:pPr>
              <w:widowControl/>
              <w:spacing w:before="100" w:beforeAutospacing="1" w:after="100" w:afterAutospacing="1"/>
              <w:jc w:val="center"/>
              <w:rPr>
                <w:rFonts w:hint="eastAsia" w:ascii="宋体" w:hAnsi="宋体" w:cs="宋体"/>
                <w:color w:val="000000"/>
                <w:kern w:val="0"/>
                <w:sz w:val="24"/>
                <w:szCs w:val="24"/>
              </w:rPr>
            </w:pPr>
            <w:r>
              <w:rPr>
                <w:rFonts w:hint="default" w:ascii="Times New Roman" w:hAnsi="Times New Roman" w:eastAsia="宋体" w:cs="Times New Roman"/>
                <w:color w:val="auto"/>
                <w:kern w:val="0"/>
                <w:sz w:val="24"/>
                <w:szCs w:val="24"/>
                <w:lang w:val="en-US" w:eastAsia="zh-CN"/>
              </w:rPr>
              <w:t>12</w:t>
            </w:r>
          </w:p>
        </w:tc>
        <w:tc>
          <w:tcPr>
            <w:tcW w:w="6648" w:type="dxa"/>
            <w:gridSpan w:val="3"/>
            <w:tcBorders>
              <w:top w:val="single" w:color="auto" w:sz="6" w:space="0"/>
              <w:left w:val="single" w:color="auto" w:sz="6" w:space="0"/>
              <w:bottom w:val="nil"/>
              <w:right w:val="nil"/>
            </w:tcBorders>
            <w:noWrap w:val="0"/>
            <w:vAlign w:val="center"/>
          </w:tcPr>
          <w:p w14:paraId="4F549E1A">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val="en-US" w:eastAsia="zh-CN"/>
              </w:rPr>
              <w:t>系统设置功能：具有日期时间、恢复出厂、电池校准、图片处理等设置功能</w:t>
            </w:r>
          </w:p>
        </w:tc>
        <w:tc>
          <w:tcPr>
            <w:tcW w:w="1109" w:type="dxa"/>
            <w:tcBorders>
              <w:top w:val="single" w:color="auto" w:sz="6" w:space="0"/>
              <w:left w:val="single" w:color="auto" w:sz="6" w:space="0"/>
              <w:bottom w:val="nil"/>
              <w:right w:val="nil"/>
            </w:tcBorders>
            <w:noWrap w:val="0"/>
            <w:vAlign w:val="center"/>
          </w:tcPr>
          <w:p w14:paraId="1799EC21">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146700FC">
            <w:pPr>
              <w:widowControl/>
              <w:spacing w:before="100" w:beforeAutospacing="1" w:after="100" w:afterAutospacing="1"/>
              <w:jc w:val="center"/>
              <w:rPr>
                <w:rFonts w:hint="eastAsia" w:ascii="宋体" w:hAnsi="宋体" w:cs="宋体"/>
                <w:color w:val="000000"/>
                <w:kern w:val="0"/>
                <w:sz w:val="24"/>
                <w:szCs w:val="24"/>
              </w:rPr>
            </w:pPr>
            <w:r>
              <w:rPr>
                <w:rFonts w:hint="default" w:ascii="Times New Roman" w:hAnsi="Times New Roman" w:eastAsia="宋体" w:cs="Times New Roman"/>
                <w:color w:val="auto"/>
                <w:kern w:val="0"/>
                <w:sz w:val="24"/>
                <w:szCs w:val="24"/>
                <w:lang w:val="en-US" w:eastAsia="zh-CN"/>
              </w:rPr>
              <w:t>13</w:t>
            </w:r>
          </w:p>
        </w:tc>
        <w:tc>
          <w:tcPr>
            <w:tcW w:w="6648" w:type="dxa"/>
            <w:gridSpan w:val="3"/>
            <w:tcBorders>
              <w:top w:val="single" w:color="auto" w:sz="6" w:space="0"/>
              <w:left w:val="single" w:color="auto" w:sz="6" w:space="0"/>
              <w:bottom w:val="nil"/>
              <w:right w:val="nil"/>
            </w:tcBorders>
            <w:noWrap w:val="0"/>
            <w:vAlign w:val="center"/>
          </w:tcPr>
          <w:p w14:paraId="052BC92D">
            <w:pPr>
              <w:widowControl/>
              <w:spacing w:before="100" w:beforeAutospacing="1" w:after="100" w:afterAutospacing="1"/>
              <w:jc w:val="left"/>
              <w:rPr>
                <w:rFonts w:hint="eastAsia" w:ascii="宋体" w:hAnsi="宋体" w:cs="宋体"/>
                <w:color w:val="auto"/>
                <w:kern w:val="0"/>
                <w:szCs w:val="21"/>
              </w:rPr>
            </w:pPr>
            <w:r>
              <w:rPr>
                <w:rFonts w:hint="eastAsia" w:ascii="宋体" w:hAnsi="宋体" w:eastAsia="宋体" w:cs="宋体"/>
                <w:b w:val="0"/>
                <w:bCs w:val="0"/>
                <w:sz w:val="18"/>
                <w:szCs w:val="18"/>
                <w:lang w:val="en-US" w:eastAsia="zh-CN"/>
              </w:rPr>
              <w:t>配套耗材产品材质及外观：无毒、无刺激性，产品外壁带有刻度，精确到CM，可实现置管过程全程可视化，具有配套可调引导器，产品外壁具有亲水涂层起到润滑作用，</w:t>
            </w:r>
            <w:r>
              <w:rPr>
                <w:rFonts w:hint="eastAsia" w:ascii="宋体" w:hAnsi="宋体" w:eastAsia="宋体" w:cs="宋体"/>
                <w:b w:val="0"/>
                <w:bCs w:val="0"/>
                <w:kern w:val="2"/>
                <w:sz w:val="18"/>
                <w:szCs w:val="18"/>
                <w:lang w:val="en-US" w:eastAsia="zh-CN" w:bidi="ar-SA"/>
              </w:rPr>
              <w:t>产品持续使用时间≥14天</w:t>
            </w:r>
          </w:p>
        </w:tc>
        <w:tc>
          <w:tcPr>
            <w:tcW w:w="1109" w:type="dxa"/>
            <w:tcBorders>
              <w:top w:val="single" w:color="auto" w:sz="6" w:space="0"/>
              <w:left w:val="single" w:color="auto" w:sz="6" w:space="0"/>
              <w:bottom w:val="nil"/>
              <w:right w:val="nil"/>
            </w:tcBorders>
            <w:noWrap w:val="0"/>
            <w:vAlign w:val="center"/>
          </w:tcPr>
          <w:p w14:paraId="03E656A8">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gridSpan w:val="2"/>
            <w:tcBorders>
              <w:top w:val="single" w:color="auto" w:sz="6" w:space="0"/>
              <w:left w:val="single" w:color="auto" w:sz="6" w:space="0"/>
              <w:bottom w:val="nil"/>
              <w:right w:val="nil"/>
            </w:tcBorders>
            <w:noWrap w:val="0"/>
            <w:vAlign w:val="center"/>
          </w:tcPr>
          <w:p w14:paraId="2C9B4249">
            <w:pPr>
              <w:widowControl/>
              <w:spacing w:before="100" w:beforeAutospacing="1" w:after="100" w:afterAutospacing="1"/>
              <w:jc w:val="center"/>
              <w:rPr>
                <w:rFonts w:hint="eastAsia" w:ascii="宋体" w:hAnsi="宋体" w:cs="宋体"/>
                <w:color w:val="000000"/>
                <w:kern w:val="0"/>
                <w:sz w:val="24"/>
                <w:szCs w:val="24"/>
              </w:rPr>
            </w:pPr>
            <w:r>
              <w:rPr>
                <w:rFonts w:hint="eastAsia"/>
                <w:color w:val="FF0000"/>
                <w:lang w:val="en-US" w:eastAsia="zh-CN"/>
              </w:rPr>
              <w:t>▲</w:t>
            </w:r>
            <w:r>
              <w:rPr>
                <w:rFonts w:hint="default" w:ascii="Times New Roman" w:hAnsi="Times New Roman" w:eastAsia="宋体" w:cs="Times New Roman"/>
                <w:color w:val="auto"/>
                <w:kern w:val="0"/>
                <w:sz w:val="24"/>
                <w:szCs w:val="24"/>
                <w:lang w:val="en-US" w:eastAsia="zh-CN"/>
              </w:rPr>
              <w:t>14</w:t>
            </w:r>
          </w:p>
        </w:tc>
        <w:tc>
          <w:tcPr>
            <w:tcW w:w="6648" w:type="dxa"/>
            <w:gridSpan w:val="3"/>
            <w:tcBorders>
              <w:top w:val="single" w:color="auto" w:sz="6" w:space="0"/>
              <w:left w:val="single" w:color="auto" w:sz="6" w:space="0"/>
              <w:bottom w:val="nil"/>
              <w:right w:val="nil"/>
            </w:tcBorders>
            <w:noWrap w:val="0"/>
            <w:vAlign w:val="center"/>
          </w:tcPr>
          <w:p w14:paraId="1E65D729">
            <w:pPr>
              <w:widowControl/>
              <w:jc w:val="left"/>
              <w:rPr>
                <w:rFonts w:hint="eastAsia" w:ascii="宋体" w:hAnsi="宋体" w:cs="宋体"/>
                <w:color w:val="auto"/>
                <w:kern w:val="0"/>
                <w:szCs w:val="21"/>
              </w:rPr>
            </w:pPr>
            <w:r>
              <w:rPr>
                <w:rFonts w:hint="eastAsia" w:ascii="宋体" w:hAnsi="宋体" w:eastAsia="宋体" w:cs="宋体"/>
                <w:b w:val="0"/>
                <w:bCs w:val="0"/>
                <w:kern w:val="2"/>
                <w:sz w:val="18"/>
                <w:szCs w:val="18"/>
                <w:lang w:val="en-US" w:eastAsia="zh-CN" w:bidi="ar-SA"/>
              </w:rPr>
              <w:t>配套耗材产品型号：型号符合儿童使用，可提供</w:t>
            </w:r>
            <w:r>
              <w:rPr>
                <w:rFonts w:hint="eastAsia" w:ascii="宋体" w:hAnsi="宋体" w:eastAsia="宋体" w:cs="宋体"/>
                <w:b w:val="0"/>
                <w:bCs w:val="0"/>
                <w:sz w:val="18"/>
                <w:szCs w:val="18"/>
                <w:lang w:val="en-US" w:eastAsia="zh-CN"/>
              </w:rPr>
              <w:t>10fr-14fr型号，内径3.0-5.0mm，误差≤±0.5mm，长度100-140cm，误差≤±1cm</w:t>
            </w:r>
          </w:p>
        </w:tc>
        <w:tc>
          <w:tcPr>
            <w:tcW w:w="1109" w:type="dxa"/>
            <w:tcBorders>
              <w:top w:val="single" w:color="auto" w:sz="6" w:space="0"/>
              <w:left w:val="single" w:color="auto" w:sz="6" w:space="0"/>
              <w:bottom w:val="nil"/>
              <w:right w:val="nil"/>
            </w:tcBorders>
            <w:noWrap w:val="0"/>
            <w:vAlign w:val="center"/>
          </w:tcPr>
          <w:p w14:paraId="66D07A21">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eastAsia="宋体"/>
                <w:lang w:val="en-US" w:eastAsia="zh-CN"/>
              </w:rPr>
              <w:t>5</w:t>
            </w:r>
          </w:p>
        </w:tc>
      </w:tr>
      <w:tr w14:paraId="08888D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89" w:hRule="atLeast"/>
          <w:tblCellSpacing w:w="0" w:type="dxa"/>
        </w:trPr>
        <w:tc>
          <w:tcPr>
            <w:tcW w:w="1185" w:type="dxa"/>
            <w:vMerge w:val="restart"/>
            <w:tcBorders>
              <w:top w:val="single" w:color="auto" w:sz="6" w:space="0"/>
              <w:left w:val="single" w:color="auto" w:sz="6" w:space="0"/>
              <w:right w:val="nil"/>
            </w:tcBorders>
            <w:shd w:val="clear"/>
            <w:noWrap w:val="0"/>
            <w:vAlign w:val="center"/>
          </w:tcPr>
          <w:p w14:paraId="0132B029">
            <w:pPr>
              <w:widowControl/>
              <w:spacing w:before="100" w:beforeAutospacing="1" w:after="100" w:afterAutospacing="1"/>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rPr>
              <w:t>专机配套耗材最高限价</w:t>
            </w:r>
          </w:p>
        </w:tc>
        <w:tc>
          <w:tcPr>
            <w:tcW w:w="1015" w:type="dxa"/>
            <w:tcBorders>
              <w:top w:val="single" w:color="auto" w:sz="6" w:space="0"/>
              <w:left w:val="single" w:color="auto" w:sz="6" w:space="0"/>
              <w:bottom w:val="nil"/>
              <w:right w:val="nil"/>
            </w:tcBorders>
            <w:shd w:val="clear"/>
            <w:noWrap w:val="0"/>
            <w:vAlign w:val="center"/>
          </w:tcPr>
          <w:p w14:paraId="5456FAA5">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3425" w:type="dxa"/>
            <w:gridSpan w:val="2"/>
            <w:tcBorders>
              <w:top w:val="single" w:color="auto" w:sz="6" w:space="0"/>
              <w:left w:val="single" w:color="auto" w:sz="6" w:space="0"/>
              <w:bottom w:val="nil"/>
              <w:right w:val="nil"/>
            </w:tcBorders>
            <w:shd w:val="clear"/>
            <w:noWrap w:val="0"/>
            <w:vAlign w:val="center"/>
          </w:tcPr>
          <w:p w14:paraId="744C83AE">
            <w:pPr>
              <w:widowControl/>
              <w:spacing w:before="100" w:beforeAutospacing="1" w:after="100" w:afterAutospacing="1"/>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耗材/试剂名称</w:t>
            </w:r>
          </w:p>
        </w:tc>
        <w:tc>
          <w:tcPr>
            <w:tcW w:w="1480" w:type="dxa"/>
            <w:tcBorders>
              <w:top w:val="single" w:color="auto" w:sz="6" w:space="0"/>
              <w:left w:val="single" w:color="auto" w:sz="6" w:space="0"/>
              <w:bottom w:val="nil"/>
              <w:right w:val="nil"/>
            </w:tcBorders>
            <w:shd w:val="clear"/>
            <w:noWrap w:val="0"/>
            <w:vAlign w:val="center"/>
          </w:tcPr>
          <w:p w14:paraId="117DF949">
            <w:pPr>
              <w:widowControl/>
              <w:spacing w:before="100" w:beforeAutospacing="1" w:after="100" w:afterAutospacing="1"/>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单位</w:t>
            </w:r>
          </w:p>
        </w:tc>
        <w:tc>
          <w:tcPr>
            <w:tcW w:w="2960" w:type="dxa"/>
            <w:gridSpan w:val="2"/>
            <w:tcBorders>
              <w:top w:val="single" w:color="auto" w:sz="6" w:space="0"/>
              <w:left w:val="single" w:color="auto" w:sz="6" w:space="0"/>
              <w:bottom w:val="nil"/>
              <w:right w:val="nil"/>
            </w:tcBorders>
            <w:shd w:val="clear"/>
            <w:noWrap w:val="0"/>
            <w:vAlign w:val="center"/>
          </w:tcPr>
          <w:p w14:paraId="231F00BE">
            <w:pPr>
              <w:widowControl/>
              <w:spacing w:before="100" w:beforeAutospacing="1" w:after="100" w:afterAutospacing="1"/>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最高限价</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CN"/>
              </w:rPr>
              <w:t>元</w:t>
            </w:r>
            <w:r>
              <w:rPr>
                <w:rFonts w:hint="eastAsia" w:ascii="宋体" w:hAnsi="宋体" w:eastAsia="宋体" w:cs="宋体"/>
                <w:b/>
                <w:bCs/>
                <w:color w:val="auto"/>
                <w:kern w:val="0"/>
                <w:sz w:val="24"/>
                <w:szCs w:val="24"/>
              </w:rPr>
              <w:t>)</w:t>
            </w:r>
          </w:p>
        </w:tc>
      </w:tr>
      <w:tr w14:paraId="67674A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89" w:hRule="atLeast"/>
          <w:tblCellSpacing w:w="0" w:type="dxa"/>
        </w:trPr>
        <w:tc>
          <w:tcPr>
            <w:tcW w:w="1185" w:type="dxa"/>
            <w:vMerge w:val="continue"/>
            <w:tcBorders>
              <w:left w:val="single" w:color="auto" w:sz="6" w:space="0"/>
              <w:bottom w:val="nil"/>
              <w:right w:val="nil"/>
            </w:tcBorders>
            <w:shd w:val="clear"/>
            <w:noWrap w:val="0"/>
            <w:vAlign w:val="center"/>
          </w:tcPr>
          <w:p w14:paraId="17F6A013">
            <w:pPr>
              <w:keepNext w:val="0"/>
              <w:keepLines w:val="0"/>
              <w:widowControl/>
              <w:suppressLineNumbers w:val="0"/>
              <w:jc w:val="center"/>
            </w:pPr>
          </w:p>
        </w:tc>
        <w:tc>
          <w:tcPr>
            <w:tcW w:w="1015" w:type="dxa"/>
            <w:tcBorders>
              <w:top w:val="single" w:color="auto" w:sz="6" w:space="0"/>
              <w:left w:val="single" w:color="auto" w:sz="6" w:space="0"/>
              <w:bottom w:val="nil"/>
              <w:right w:val="nil"/>
            </w:tcBorders>
            <w:shd w:val="clear"/>
            <w:noWrap w:val="0"/>
            <w:vAlign w:val="center"/>
          </w:tcPr>
          <w:p w14:paraId="24780885">
            <w:pPr>
              <w:keepNext w:val="0"/>
              <w:keepLines w:val="0"/>
              <w:widowControl/>
              <w:suppressLineNumbers w:val="0"/>
              <w:jc w:val="center"/>
              <w:rPr>
                <w:rFonts w:hint="eastAsia" w:eastAsia="宋体"/>
                <w:lang w:val="en-US" w:eastAsia="zh-CN"/>
              </w:rPr>
            </w:pPr>
            <w:r>
              <w:rPr>
                <w:rFonts w:hint="eastAsia"/>
                <w:lang w:val="en-US" w:eastAsia="zh-CN"/>
              </w:rPr>
              <w:t>1</w:t>
            </w:r>
          </w:p>
        </w:tc>
        <w:tc>
          <w:tcPr>
            <w:tcW w:w="3425" w:type="dxa"/>
            <w:gridSpan w:val="2"/>
            <w:tcBorders>
              <w:top w:val="single" w:color="auto" w:sz="6" w:space="0"/>
              <w:left w:val="single" w:color="auto" w:sz="6" w:space="0"/>
              <w:bottom w:val="nil"/>
              <w:right w:val="nil"/>
            </w:tcBorders>
            <w:shd w:val="clear"/>
            <w:noWrap w:val="0"/>
            <w:vAlign w:val="center"/>
          </w:tcPr>
          <w:p w14:paraId="2F87C0F8">
            <w:pPr>
              <w:keepNext w:val="0"/>
              <w:keepLines w:val="0"/>
              <w:widowControl/>
              <w:suppressLineNumbers w:val="0"/>
              <w:jc w:val="center"/>
              <w:rPr>
                <w:rFonts w:hint="eastAsia" w:eastAsia="宋体"/>
                <w:lang w:val="en-US" w:eastAsia="zh-CN"/>
              </w:rPr>
            </w:pPr>
            <w:r>
              <w:rPr>
                <w:rFonts w:hint="eastAsia"/>
                <w:lang w:val="en-US" w:eastAsia="zh-CN"/>
              </w:rPr>
              <w:t>鼻胃肠成像导管及套件</w:t>
            </w:r>
          </w:p>
        </w:tc>
        <w:tc>
          <w:tcPr>
            <w:tcW w:w="1480" w:type="dxa"/>
            <w:tcBorders>
              <w:top w:val="single" w:color="auto" w:sz="6" w:space="0"/>
              <w:left w:val="single" w:color="auto" w:sz="6" w:space="0"/>
              <w:bottom w:val="nil"/>
              <w:right w:val="nil"/>
            </w:tcBorders>
            <w:shd w:val="clear"/>
            <w:noWrap w:val="0"/>
            <w:vAlign w:val="center"/>
          </w:tcPr>
          <w:p w14:paraId="2351E0AB">
            <w:pPr>
              <w:keepNext w:val="0"/>
              <w:keepLines w:val="0"/>
              <w:widowControl/>
              <w:suppressLineNumbers w:val="0"/>
              <w:jc w:val="center"/>
              <w:rPr>
                <w:rFonts w:hint="eastAsia" w:eastAsia="宋体"/>
                <w:lang w:val="en-US" w:eastAsia="zh-CN"/>
              </w:rPr>
            </w:pPr>
            <w:r>
              <w:rPr>
                <w:rFonts w:hint="eastAsia"/>
                <w:lang w:val="en-US" w:eastAsia="zh-CN"/>
              </w:rPr>
              <w:t>件</w:t>
            </w:r>
          </w:p>
        </w:tc>
        <w:tc>
          <w:tcPr>
            <w:tcW w:w="2960" w:type="dxa"/>
            <w:gridSpan w:val="2"/>
            <w:tcBorders>
              <w:top w:val="single" w:color="auto" w:sz="6" w:space="0"/>
              <w:left w:val="single" w:color="auto" w:sz="6" w:space="0"/>
              <w:bottom w:val="nil"/>
              <w:right w:val="nil"/>
            </w:tcBorders>
            <w:shd w:val="clear"/>
            <w:noWrap w:val="0"/>
            <w:vAlign w:val="center"/>
          </w:tcPr>
          <w:p w14:paraId="7827D84E">
            <w:pPr>
              <w:keepNext w:val="0"/>
              <w:keepLines w:val="0"/>
              <w:widowControl/>
              <w:suppressLineNumbers w:val="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2900</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6"/>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6"/>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711"/>
              <w:gridCol w:w="1184"/>
              <w:gridCol w:w="6730"/>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center"/>
                    <w:rPr>
                      <w:rFonts w:ascii="宋体" w:hAnsi="宋体" w:cs="宋体"/>
                      <w:kern w:val="0"/>
                      <w:sz w:val="24"/>
                    </w:rPr>
                  </w:pPr>
                  <w:r>
                    <w:rPr>
                      <w:rFonts w:ascii="宋体" w:hAnsi="宋体" w:cs="宋体"/>
                      <w:b/>
                      <w:bCs/>
                      <w:kern w:val="0"/>
                      <w:sz w:val="24"/>
                      <w:szCs w:val="24"/>
                    </w:rPr>
                    <w:t>1</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center"/>
                    <w:rPr>
                      <w:rFonts w:hint="eastAsia" w:ascii="宋体" w:hAnsi="宋体" w:cs="宋体"/>
                      <w:b w:val="0"/>
                      <w:bCs w:val="0"/>
                      <w:color w:val="auto"/>
                      <w:kern w:val="0"/>
                      <w:szCs w:val="21"/>
                      <w:lang w:eastAsia="zh-CN"/>
                    </w:rPr>
                  </w:pPr>
                  <w:r>
                    <w:rPr>
                      <w:rFonts w:ascii="宋体" w:hAnsi="宋体" w:cs="宋体"/>
                      <w:kern w:val="0"/>
                      <w:sz w:val="24"/>
                      <w:szCs w:val="24"/>
                    </w:rPr>
                    <w:t>免费保修期</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b/>
                      <w:bCs/>
                      <w:color w:val="auto"/>
                      <w:kern w:val="0"/>
                      <w:szCs w:val="21"/>
                      <w:lang w:val="en-US" w:eastAsia="zh-CN"/>
                    </w:rPr>
                    <w:t>伍</w:t>
                  </w:r>
                  <w:r>
                    <w:rPr>
                      <w:rFonts w:hint="eastAsia" w:ascii="宋体" w:hAnsi="宋体" w:cs="宋体"/>
                      <w:b/>
                      <w:bCs/>
                      <w:color w:val="auto"/>
                      <w:kern w:val="0"/>
                      <w:szCs w:val="21"/>
                    </w:rPr>
                    <w:t>年</w:t>
                  </w:r>
                  <w:r>
                    <w:rPr>
                      <w:rFonts w:hint="eastAsia" w:ascii="宋体" w:hAnsi="宋体" w:cs="宋体"/>
                      <w:color w:val="auto"/>
                      <w:kern w:val="0"/>
                      <w:szCs w:val="21"/>
                    </w:rPr>
                    <w:t>(全保)</w:t>
                  </w:r>
                  <w:r>
                    <w:rPr>
                      <w:rStyle w:val="17"/>
                      <w:rFonts w:hint="eastAsia" w:ascii="宋体" w:hAnsi="宋体" w:cs="宋体"/>
                      <w:color w:val="auto"/>
                      <w:szCs w:val="21"/>
                    </w:rPr>
                    <w:t>（特别提示：免费保修期达不到招标文件要</w:t>
                  </w:r>
                  <w:bookmarkStart w:id="15" w:name="_GoBack"/>
                  <w:bookmarkEnd w:id="15"/>
                  <w:r>
                    <w:rPr>
                      <w:rStyle w:val="17"/>
                      <w:rFonts w:hint="eastAsia" w:ascii="宋体" w:hAnsi="宋体" w:cs="宋体"/>
                      <w:color w:val="auto"/>
                      <w:szCs w:val="21"/>
                    </w:rPr>
                    <w:t>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center"/>
                    <w:rPr>
                      <w:rFonts w:ascii="宋体" w:hAnsi="宋体" w:cs="宋体"/>
                      <w:kern w:val="0"/>
                      <w:sz w:val="24"/>
                    </w:rPr>
                  </w:pPr>
                  <w:r>
                    <w:rPr>
                      <w:rFonts w:ascii="宋体" w:hAnsi="宋体" w:cs="宋体"/>
                      <w:b/>
                      <w:bCs/>
                      <w:kern w:val="0"/>
                      <w:sz w:val="24"/>
                      <w:szCs w:val="24"/>
                    </w:rPr>
                    <w:t>2</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4866395D">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r>
                    <w:rPr>
                      <w:rFonts w:ascii="宋体" w:hAnsi="宋体" w:cs="宋体"/>
                      <w:kern w:val="0"/>
                      <w:sz w:val="24"/>
                      <w:szCs w:val="24"/>
                    </w:rPr>
                    <w:t>维修响应及故障解决时间</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center"/>
                    <w:rPr>
                      <w:rFonts w:ascii="宋体" w:hAnsi="宋体" w:cs="宋体"/>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57392623">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center"/>
                    <w:rPr>
                      <w:rFonts w:ascii="宋体" w:hAnsi="宋体" w:cs="宋体"/>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54191914">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center"/>
                    <w:rPr>
                      <w:rFonts w:ascii="宋体" w:hAnsi="宋体" w:cs="宋体"/>
                      <w:kern w:val="0"/>
                      <w:sz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14:paraId="641854C4">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center"/>
                    <w:rPr>
                      <w:rFonts w:ascii="宋体" w:hAnsi="宋体" w:cs="宋体"/>
                      <w:kern w:val="0"/>
                      <w:sz w:val="24"/>
                    </w:rPr>
                  </w:pPr>
                  <w:r>
                    <w:rPr>
                      <w:rFonts w:ascii="宋体" w:hAnsi="宋体" w:cs="宋体"/>
                      <w:kern w:val="0"/>
                      <w:sz w:val="24"/>
                      <w:szCs w:val="24"/>
                    </w:rPr>
                    <w:t>3</w:t>
                  </w:r>
                </w:p>
              </w:tc>
              <w:tc>
                <w:tcPr>
                  <w:tcW w:w="1184" w:type="dxa"/>
                  <w:vMerge w:val="restart"/>
                  <w:tcBorders>
                    <w:top w:val="nil"/>
                    <w:left w:val="nil"/>
                    <w:right w:val="single" w:color="auto" w:sz="4" w:space="0"/>
                  </w:tcBorders>
                  <w:noWrap w:val="0"/>
                  <w:tcMar>
                    <w:top w:w="0" w:type="dxa"/>
                    <w:left w:w="108" w:type="dxa"/>
                    <w:bottom w:w="0" w:type="dxa"/>
                    <w:right w:w="108" w:type="dxa"/>
                  </w:tcMar>
                  <w:vAlign w:val="center"/>
                </w:tcPr>
                <w:p w14:paraId="0E7D539C">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r>
                    <w:rPr>
                      <w:rFonts w:hint="eastAsia" w:ascii="宋体" w:hAnsi="宋体" w:cs="宋体"/>
                      <w:kern w:val="0"/>
                      <w:sz w:val="24"/>
                      <w:szCs w:val="24"/>
                    </w:rPr>
                    <w:t>软件升级及服务</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center"/>
                    <w:rPr>
                      <w:rFonts w:ascii="宋体" w:hAnsi="宋体" w:cs="宋体"/>
                      <w:kern w:val="0"/>
                      <w:sz w:val="24"/>
                    </w:rPr>
                  </w:pPr>
                </w:p>
              </w:tc>
              <w:tc>
                <w:tcPr>
                  <w:tcW w:w="1184" w:type="dxa"/>
                  <w:vMerge w:val="continue"/>
                  <w:tcBorders>
                    <w:left w:val="nil"/>
                    <w:bottom w:val="single" w:color="auto" w:sz="8" w:space="0"/>
                    <w:right w:val="single" w:color="auto" w:sz="4" w:space="0"/>
                  </w:tcBorders>
                  <w:noWrap w:val="0"/>
                  <w:tcMar>
                    <w:top w:w="0" w:type="dxa"/>
                    <w:left w:w="108" w:type="dxa"/>
                    <w:bottom w:w="0" w:type="dxa"/>
                    <w:right w:w="108" w:type="dxa"/>
                  </w:tcMar>
                  <w:vAlign w:val="center"/>
                </w:tcPr>
                <w:p w14:paraId="212D2FB7">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w:t>
                  </w:r>
                  <w:r>
                    <w:rPr>
                      <w:rFonts w:hint="eastAsia" w:ascii="Times New Roman" w:hAnsi="Times New Roman" w:eastAsia="宋体" w:cs="Times New Roman"/>
                    </w:rPr>
                    <w:t>所提供的所有的硬件、软件与我院现有的PACS端口免费连接</w:t>
                  </w:r>
                  <w:r>
                    <w:rPr>
                      <w:rFonts w:hint="eastAsia" w:ascii="Times New Roman" w:hAnsi="Times New Roman" w:eastAsia="宋体" w:cs="Times New Roman"/>
                      <w:lang w:eastAsia="zh-CN"/>
                    </w:rPr>
                    <w:t>。</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center"/>
                    <w:rPr>
                      <w:rFonts w:ascii="宋体" w:hAnsi="宋体" w:cs="宋体"/>
                      <w:kern w:val="0"/>
                      <w:sz w:val="24"/>
                    </w:rPr>
                  </w:pPr>
                  <w:r>
                    <w:rPr>
                      <w:rFonts w:ascii="宋体" w:hAnsi="宋体" w:cs="宋体"/>
                      <w:kern w:val="0"/>
                      <w:sz w:val="24"/>
                      <w:szCs w:val="24"/>
                    </w:rPr>
                    <w:t>4</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B5F13D">
                  <w:pPr>
                    <w:widowControl/>
                    <w:spacing w:before="100" w:beforeAutospacing="1" w:after="100" w:afterAutospacing="1"/>
                    <w:jc w:val="center"/>
                    <w:rPr>
                      <w:rFonts w:hint="eastAsia" w:ascii="宋体" w:hAnsi="宋体" w:cs="宋体"/>
                      <w:b w:val="0"/>
                      <w:bCs w:val="0"/>
                      <w:color w:val="auto"/>
                      <w:kern w:val="0"/>
                      <w:szCs w:val="21"/>
                      <w:lang w:eastAsia="zh-CN"/>
                    </w:rPr>
                  </w:pPr>
                  <w:r>
                    <w:rPr>
                      <w:rFonts w:ascii="宋体" w:hAnsi="宋体" w:cs="宋体"/>
                      <w:kern w:val="0"/>
                      <w:sz w:val="24"/>
                      <w:szCs w:val="24"/>
                    </w:rPr>
                    <w:t>相关培训</w:t>
                  </w:r>
                </w:p>
              </w:tc>
              <w:tc>
                <w:tcPr>
                  <w:tcW w:w="67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jc w:val="left"/>
                    <w:rPr>
                      <w:rFonts w:hint="eastAsia" w:ascii="Times New Roman" w:hAnsi="Times New Roman" w:eastAsia="宋体" w:cs="Times New Roman"/>
                    </w:rPr>
                  </w:pPr>
                  <w:r>
                    <w:rPr>
                      <w:rFonts w:hint="eastAsia" w:ascii="Times New Roman" w:hAnsi="Times New Roman" w:eastAsia="宋体" w:cs="Times New Roman"/>
                      <w:lang w:val="en-US" w:eastAsia="zh-CN"/>
                    </w:rPr>
                    <w:t>4.1</w:t>
                  </w:r>
                  <w:r>
                    <w:rPr>
                      <w:rFonts w:hint="eastAsia" w:ascii="Times New Roman" w:hAnsi="Times New Roman" w:eastAsia="宋体" w:cs="Times New Roman"/>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center"/>
                    <w:rPr>
                      <w:rFonts w:ascii="宋体" w:hAnsi="宋体" w:cs="宋体"/>
                      <w:kern w:val="0"/>
                      <w:sz w:val="24"/>
                    </w:rPr>
                  </w:pPr>
                  <w:r>
                    <w:rPr>
                      <w:rFonts w:ascii="宋体" w:hAnsi="宋体" w:cs="宋体"/>
                      <w:kern w:val="0"/>
                      <w:sz w:val="24"/>
                      <w:szCs w:val="24"/>
                    </w:rPr>
                    <w:t>5</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9E445B">
                  <w:pPr>
                    <w:widowControl/>
                    <w:spacing w:before="100" w:beforeAutospacing="1" w:after="100" w:afterAutospacing="1"/>
                    <w:jc w:val="center"/>
                    <w:rPr>
                      <w:rFonts w:hint="eastAsia" w:ascii="宋体" w:hAnsi="宋体" w:cs="宋体"/>
                      <w:b w:val="0"/>
                      <w:bCs w:val="0"/>
                      <w:color w:val="auto"/>
                      <w:kern w:val="0"/>
                      <w:szCs w:val="21"/>
                      <w:lang w:eastAsia="zh-CN"/>
                    </w:rPr>
                  </w:pPr>
                  <w:r>
                    <w:rPr>
                      <w:rFonts w:ascii="宋体" w:hAnsi="宋体" w:cs="宋体"/>
                      <w:kern w:val="0"/>
                      <w:sz w:val="24"/>
                      <w:szCs w:val="24"/>
                    </w:rPr>
                    <w:t>开机率及赔偿</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jc w:val="left"/>
                    <w:rPr>
                      <w:rFonts w:hint="eastAsia" w:ascii="Times New Roman" w:hAnsi="Times New Roman" w:eastAsia="宋体" w:cs="Times New Roman"/>
                    </w:rPr>
                  </w:pPr>
                  <w:r>
                    <w:rPr>
                      <w:rFonts w:hint="eastAsia" w:ascii="Times New Roman" w:hAnsi="Times New Roman" w:eastAsia="宋体" w:cs="Times New Roman"/>
                      <w:lang w:val="en-US" w:eastAsia="zh-CN"/>
                    </w:rPr>
                    <w:t>5.1</w:t>
                  </w:r>
                  <w:r>
                    <w:rPr>
                      <w:rFonts w:hint="eastAsia" w:ascii="Times New Roman" w:hAnsi="Times New Roman" w:eastAsia="宋体" w:cs="Times New Roman"/>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1"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55A2DD84">
                  <w:pPr>
                    <w:widowControl/>
                    <w:spacing w:before="100" w:beforeAutospacing="1" w:after="100" w:afterAutospacing="1"/>
                    <w:jc w:val="center"/>
                    <w:rPr>
                      <w:rFonts w:ascii="宋体" w:hAnsi="宋体" w:cs="宋体"/>
                      <w:b w:val="0"/>
                      <w:bCs w:val="0"/>
                      <w:kern w:val="0"/>
                      <w:sz w:val="24"/>
                    </w:rPr>
                  </w:pPr>
                  <w:r>
                    <w:rPr>
                      <w:rFonts w:hint="eastAsia" w:ascii="宋体" w:hAnsi="宋体" w:eastAsia="宋体" w:cs="宋体"/>
                      <w:kern w:val="0"/>
                      <w:sz w:val="24"/>
                      <w:szCs w:val="24"/>
                    </w:rPr>
                    <w:t>维修零配件、消耗品和延续保修合同的报价</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jc w:val="lef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w:t>
                  </w:r>
                  <w:r>
                    <w:rPr>
                      <w:rFonts w:hint="eastAsia" w:ascii="Times New Roman" w:hAnsi="Times New Roman" w:eastAsia="宋体" w:cs="Times New Roman"/>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1"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jc w:val="left"/>
                    <w:rPr>
                      <w:rFonts w:hint="eastAsia" w:ascii="Times New Roman" w:hAnsi="Times New Roman" w:eastAsia="宋体" w:cs="Times New Roman"/>
                      <w:lang w:val="en-US" w:eastAsia="zh-C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2</w:t>
                  </w:r>
                  <w:r>
                    <w:rPr>
                      <w:rFonts w:hint="eastAsia" w:ascii="Times New Roman" w:hAnsi="Times New Roman" w:eastAsia="宋体" w:cs="Times New Roman"/>
                    </w:rPr>
                    <w:t>由设备制造商提供售后服务， 4 小时内响应， 24 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1"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jc w:val="left"/>
                    <w:rPr>
                      <w:rFonts w:hint="eastAsia" w:ascii="Times New Roman" w:hAnsi="Times New Roman" w:eastAsia="宋体" w:cs="Times New Roman"/>
                      <w:lang w:val="en-US" w:eastAsia="zh-C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3</w:t>
                  </w:r>
                  <w:r>
                    <w:rPr>
                      <w:rFonts w:hint="eastAsia" w:ascii="Times New Roman" w:hAnsi="Times New Roman" w:eastAsia="宋体" w:cs="Times New Roman"/>
                    </w:rPr>
                    <w:t>保修期满后，投标人应以优惠价供应维修零配件、消耗品和延续保修合同。零配件、消耗品</w:t>
                  </w:r>
                  <w:r>
                    <w:rPr>
                      <w:rFonts w:hint="eastAsia" w:ascii="Times New Roman" w:hAnsi="Times New Roman" w:eastAsia="宋体" w:cs="Times New Roman"/>
                      <w:lang w:eastAsia="zh-CN"/>
                    </w:rPr>
                    <w:t>、试剂</w:t>
                  </w:r>
                  <w:r>
                    <w:rPr>
                      <w:rFonts w:hint="eastAsia" w:ascii="Times New Roman" w:hAnsi="Times New Roman" w:eastAsia="宋体" w:cs="Times New Roman"/>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1"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jc w:val="left"/>
                    <w:rPr>
                      <w:rFonts w:hint="eastAsia" w:ascii="Times New Roman" w:hAnsi="Times New Roman" w:eastAsia="宋体" w:cs="Times New Roman"/>
                      <w:lang w:val="en-US" w:eastAsia="zh-C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4</w:t>
                  </w:r>
                  <w:r>
                    <w:rPr>
                      <w:rFonts w:hint="eastAsia" w:ascii="Times New Roman" w:hAnsi="Times New Roman" w:eastAsia="宋体" w:cs="Times New Roman"/>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1"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184" w:type="dxa"/>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jc w:val="left"/>
                    <w:rPr>
                      <w:rFonts w:hint="eastAsia" w:ascii="Times New Roman" w:hAnsi="Times New Roman" w:eastAsia="宋体" w:cs="Times New Roman"/>
                      <w:lang w:val="en-US" w:eastAsia="zh-C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5</w:t>
                  </w:r>
                  <w:r>
                    <w:rPr>
                      <w:rFonts w:hint="eastAsia" w:ascii="Times New Roman" w:hAnsi="Times New Roman" w:eastAsia="宋体" w:cs="Times New Roman"/>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711"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jc w:val="left"/>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6</w:t>
                  </w:r>
                  <w:r>
                    <w:rPr>
                      <w:rFonts w:hint="eastAsia" w:ascii="Times New Roman" w:hAnsi="Times New Roman" w:eastAsia="宋体" w:cs="Times New Roman"/>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1"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color w:val="auto"/>
                      <w:kern w:val="0"/>
                      <w:szCs w:val="21"/>
                      <w:lang w:eastAsia="zh-CN"/>
                    </w:rPr>
                    <w:t>交货要求</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vMerge w:val="continue"/>
                  <w:tcBorders>
                    <w:left w:val="single" w:color="auto" w:sz="8" w:space="0"/>
                    <w:right w:val="single" w:color="auto" w:sz="8" w:space="0"/>
                  </w:tcBorders>
                  <w:noWrap w:val="0"/>
                  <w:vAlign w:val="center"/>
                </w:tcPr>
                <w:p w14:paraId="453719D4">
                  <w:pPr>
                    <w:widowControl/>
                    <w:jc w:val="center"/>
                    <w:rPr>
                      <w:rFonts w:ascii="宋体" w:hAnsi="宋体" w:cs="宋体"/>
                      <w:b w:val="0"/>
                      <w:bCs w:val="0"/>
                      <w:kern w:val="0"/>
                      <w:sz w:val="24"/>
                      <w:szCs w:val="24"/>
                    </w:rPr>
                  </w:pPr>
                </w:p>
              </w:tc>
              <w:tc>
                <w:tcPr>
                  <w:tcW w:w="1184" w:type="dxa"/>
                  <w:vMerge w:val="continue"/>
                  <w:tcBorders>
                    <w:left w:val="nil"/>
                    <w:right w:val="single" w:color="auto" w:sz="8" w:space="0"/>
                  </w:tcBorders>
                  <w:noWrap w:val="0"/>
                  <w:vAlign w:val="center"/>
                </w:tcPr>
                <w:p w14:paraId="73061C55">
                  <w:pPr>
                    <w:widowControl/>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vMerge w:val="continue"/>
                  <w:tcBorders>
                    <w:left w:val="single" w:color="auto" w:sz="8" w:space="0"/>
                    <w:bottom w:val="single" w:color="auto" w:sz="4" w:space="0"/>
                    <w:right w:val="single" w:color="auto" w:sz="8" w:space="0"/>
                  </w:tcBorders>
                  <w:noWrap w:val="0"/>
                  <w:vAlign w:val="center"/>
                </w:tcPr>
                <w:p w14:paraId="0D71AB02">
                  <w:pPr>
                    <w:widowControl/>
                    <w:jc w:val="center"/>
                    <w:rPr>
                      <w:rFonts w:ascii="宋体" w:hAnsi="宋体" w:cs="宋体"/>
                      <w:b w:val="0"/>
                      <w:bCs w:val="0"/>
                      <w:kern w:val="0"/>
                      <w:sz w:val="24"/>
                      <w:szCs w:val="24"/>
                    </w:rPr>
                  </w:pPr>
                </w:p>
              </w:tc>
              <w:tc>
                <w:tcPr>
                  <w:tcW w:w="1184" w:type="dxa"/>
                  <w:vMerge w:val="continue"/>
                  <w:tcBorders>
                    <w:left w:val="nil"/>
                    <w:bottom w:val="single" w:color="auto" w:sz="4" w:space="0"/>
                    <w:right w:val="single" w:color="auto" w:sz="8" w:space="0"/>
                  </w:tcBorders>
                  <w:noWrap w:val="0"/>
                  <w:vAlign w:val="center"/>
                </w:tcPr>
                <w:p w14:paraId="231223C2">
                  <w:pPr>
                    <w:widowControl/>
                    <w:jc w:val="center"/>
                    <w:rPr>
                      <w:rFonts w:ascii="宋体" w:hAnsi="宋体" w:cs="宋体"/>
                      <w:b w:val="0"/>
                      <w:bCs w:val="0"/>
                      <w:kern w:val="0"/>
                      <w:sz w:val="24"/>
                      <w:szCs w:val="24"/>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color w:val="auto"/>
                      <w:kern w:val="0"/>
                      <w:szCs w:val="21"/>
                    </w:rPr>
                    <w:t>运输、安装和验收</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3</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color w:val="auto"/>
                      <w:kern w:val="0"/>
                      <w:szCs w:val="21"/>
                    </w:rPr>
                    <w:t>培训</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4</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color w:val="auto"/>
                      <w:kern w:val="0"/>
                      <w:szCs w:val="21"/>
                    </w:rPr>
                    <w:t>知识产权</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center"/>
                    <w:rPr>
                      <w:rFonts w:hint="eastAsia" w:ascii="宋体" w:hAnsi="宋体" w:eastAsia="宋体" w:cs="宋体"/>
                      <w:b w:val="0"/>
                      <w:bCs w:val="0"/>
                      <w:kern w:val="0"/>
                      <w:sz w:val="24"/>
                      <w:szCs w:val="24"/>
                      <w:lang w:eastAsia="zh-CN"/>
                    </w:rPr>
                  </w:pPr>
                  <w:r>
                    <w:rPr>
                      <w:rFonts w:hint="eastAsia" w:ascii="宋体" w:hAnsi="宋体" w:cs="宋体"/>
                      <w:b w:val="0"/>
                      <w:bCs w:val="0"/>
                      <w:kern w:val="0"/>
                      <w:sz w:val="24"/>
                      <w:szCs w:val="24"/>
                      <w:lang w:val="en-US" w:eastAsia="zh-CN"/>
                    </w:rPr>
                    <w:t>5</w:t>
                  </w:r>
                </w:p>
              </w:tc>
              <w:tc>
                <w:tcPr>
                  <w:tcW w:w="118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付款</w:t>
                  </w: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jc w:val="left"/>
                    <w:rPr>
                      <w:rFonts w:hint="default" w:ascii="宋体" w:hAnsi="宋体" w:cs="宋体"/>
                      <w:color w:val="auto"/>
                      <w:kern w:val="0"/>
                      <w:szCs w:val="21"/>
                      <w:lang w:val="en-US"/>
                    </w:rPr>
                  </w:pPr>
                  <w:r>
                    <w:rPr>
                      <w:rFonts w:hint="eastAsia" w:ascii="宋体" w:hAnsi="宋体" w:cs="宋体"/>
                      <w:color w:val="auto"/>
                      <w:kern w:val="0"/>
                      <w:szCs w:val="21"/>
                      <w:lang w:val="en-US" w:eastAsia="zh-CN"/>
                    </w:rPr>
                    <w:t>5.1</w:t>
                  </w:r>
                  <w:r>
                    <w:rPr>
                      <w:rFonts w:hint="eastAsia" w:ascii="宋体" w:hAnsi="宋体" w:cs="宋体"/>
                      <w:color w:val="auto"/>
                      <w:kern w:val="0"/>
                      <w:szCs w:val="21"/>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center"/>
                    <w:rPr>
                      <w:rFonts w:hint="default" w:ascii="宋体" w:hAnsi="宋体" w:cs="宋体"/>
                      <w:b w:val="0"/>
                      <w:bCs w:val="0"/>
                      <w:kern w:val="0"/>
                      <w:sz w:val="24"/>
                      <w:szCs w:val="24"/>
                      <w:lang w:val="en-US"/>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jc w:val="left"/>
                    <w:rPr>
                      <w:rFonts w:hint="default" w:ascii="宋体" w:hAnsi="宋体" w:cs="宋体"/>
                      <w:color w:val="auto"/>
                      <w:kern w:val="0"/>
                      <w:szCs w:val="21"/>
                      <w:lang w:val="en-US"/>
                    </w:rPr>
                  </w:pPr>
                  <w:r>
                    <w:rPr>
                      <w:rFonts w:hint="eastAsia" w:ascii="宋体" w:hAnsi="宋体" w:cs="宋体"/>
                      <w:color w:val="auto"/>
                      <w:kern w:val="0"/>
                      <w:szCs w:val="21"/>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18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jc w:val="left"/>
                    <w:rPr>
                      <w:rFonts w:hint="eastAsia" w:ascii="宋体" w:hAnsi="宋体" w:cs="宋体"/>
                      <w:color w:val="auto"/>
                      <w:kern w:val="0"/>
                      <w:szCs w:val="21"/>
                    </w:rPr>
                  </w:pPr>
                  <w:r>
                    <w:rPr>
                      <w:rFonts w:hint="eastAsia" w:ascii="宋体" w:hAnsi="宋体" w:cs="宋体"/>
                      <w:color w:val="auto"/>
                      <w:kern w:val="0"/>
                      <w:szCs w:val="21"/>
                      <w:lang w:val="en-US" w:eastAsia="zh-CN"/>
                    </w:rPr>
                    <w:t>5.3</w:t>
                  </w:r>
                  <w:r>
                    <w:rPr>
                      <w:rFonts w:hint="eastAsia" w:ascii="宋体" w:hAnsi="宋体" w:cs="宋体"/>
                      <w:color w:val="auto"/>
                      <w:kern w:val="0"/>
                      <w:szCs w:val="21"/>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6</w:t>
                  </w:r>
                </w:p>
              </w:tc>
              <w:tc>
                <w:tcPr>
                  <w:tcW w:w="118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center"/>
                    <w:rPr>
                      <w:rFonts w:hint="eastAsia" w:ascii="宋体" w:hAnsi="宋体" w:cs="宋体"/>
                      <w:b w:val="0"/>
                      <w:bCs w:val="0"/>
                      <w:kern w:val="0"/>
                      <w:sz w:val="24"/>
                      <w:szCs w:val="24"/>
                    </w:rPr>
                  </w:pPr>
                  <w:r>
                    <w:rPr>
                      <w:rFonts w:hint="eastAsia" w:ascii="宋体" w:hAnsi="宋体" w:cs="宋体"/>
                      <w:b w:val="0"/>
                      <w:bCs w:val="0"/>
                      <w:color w:val="auto"/>
                      <w:kern w:val="0"/>
                      <w:szCs w:val="21"/>
                    </w:rPr>
                    <w:t>违约责任</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widowControl/>
                    <w:jc w:val="left"/>
                    <w:rPr>
                      <w:rFonts w:hint="eastAsia" w:ascii="宋体" w:hAnsi="宋体" w:cs="宋体"/>
                      <w:color w:val="auto"/>
                      <w:kern w:val="0"/>
                      <w:szCs w:val="21"/>
                    </w:rPr>
                  </w:pPr>
                  <w:r>
                    <w:rPr>
                      <w:rFonts w:hint="eastAsia" w:ascii="宋体" w:hAnsi="宋体" w:cs="宋体"/>
                      <w:color w:val="auto"/>
                      <w:kern w:val="0"/>
                      <w:szCs w:val="21"/>
                    </w:rPr>
                    <w:t>6.1中标人不能交货的，需偿付不能交货部分货款的  10  %的违约金并按主管部门相关规定处理。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1"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184"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color w:val="auto"/>
                      <w:kern w:val="0"/>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184"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color w:val="auto"/>
                      <w:kern w:val="0"/>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kern w:val="0"/>
                      <w:szCs w:val="21"/>
                      <w:lang w:eastAsia="zh-CN"/>
                    </w:rPr>
                    <w:t>被列入深圳市儿童医院履约等级“差”评，三年内不得参与我院招投标项目</w:t>
                  </w:r>
                  <w:r>
                    <w:rPr>
                      <w:rFonts w:hint="eastAsia" w:ascii="宋体" w:hAnsi="宋体" w:cs="宋体"/>
                      <w:color w:val="auto"/>
                      <w:kern w:val="0"/>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其他</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color w:val="auto"/>
                      <w:kern w:val="0"/>
                      <w:szCs w:val="21"/>
                    </w:rPr>
                    <w:t>7</w:t>
                  </w:r>
                  <w:r>
                    <w:rPr>
                      <w:rFonts w:hint="eastAsia" w:ascii="宋体" w:hAnsi="宋体" w:eastAsia="宋体" w:cs="宋体"/>
                      <w:color w:val="auto"/>
                      <w:kern w:val="0"/>
                      <w:szCs w:val="21"/>
                    </w:rPr>
                    <w:t>.1投标人应按其投标文件中的承诺，进行其他售后服务工作。</w:t>
                  </w:r>
                </w:p>
              </w:tc>
            </w:tr>
          </w:tbl>
          <w:p w14:paraId="593A08ED">
            <w:pPr>
              <w:widowControl/>
              <w:jc w:val="left"/>
              <w:rPr>
                <w:rFonts w:ascii="宋体" w:hAnsi="宋体" w:cs="宋体"/>
                <w:kern w:val="0"/>
                <w:sz w:val="24"/>
                <w:szCs w:val="24"/>
              </w:rPr>
            </w:pPr>
          </w:p>
        </w:tc>
      </w:tr>
    </w:tbl>
    <w:p w14:paraId="536CB454">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ialog">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3982</Words>
  <Characters>4018</Characters>
  <Lines>48</Lines>
  <Paragraphs>13</Paragraphs>
  <TotalTime>12</TotalTime>
  <ScaleCrop>false</ScaleCrop>
  <LinksUpToDate>false</LinksUpToDate>
  <CharactersWithSpaces>4716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2025-05-12T07:45:57Z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20744120ED9F45C295C5A186C0024D97_13</vt:lpwstr>
  </property>
  <property fmtid="{D5CDD505-2E9C-101B-9397-08002B2CF9AE}" pid="4" name="KSOTemplateDocerSaveRecord">
    <vt:lpwstr>eyJoZGlkIjoiMmYwOTdmZGI1ODcxNzY3NTA5ZGUxOGE4NmVjYWUxMDUiLCJ1c2VySWQiOiIzMTc3OTE5NzcifQ==</vt:lpwstr>
  </property>
</Properties>
</file>