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37BA6">
      <w:pPr>
        <w:jc w:val="center"/>
        <w:rPr>
          <w:rFonts w:ascii="方正小标宋简体" w:eastAsia="方正小标宋简体"/>
        </w:rPr>
      </w:pPr>
      <w:r>
        <w:rPr>
          <w:rFonts w:hint="eastAsia" w:ascii="方正小标宋简体" w:hAnsi="宋体" w:eastAsia="方正小标宋简体" w:cs="宋体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Style w:val="7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134"/>
        <w:gridCol w:w="8128"/>
      </w:tblGrid>
      <w:tr w14:paraId="5D74D6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14:paraId="36DE6566"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34" w:type="dxa"/>
            <w:tcBorders>
              <w:top w:val="single" w:color="3F3F3F" w:sz="4" w:space="0"/>
              <w:left w:val="single" w:color="auto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E4C92F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006BC5B"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招标事项及要求</w:t>
            </w:r>
          </w:p>
        </w:tc>
      </w:tr>
      <w:tr w14:paraId="2BB773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restart"/>
            <w:tcBorders>
              <w:top w:val="single" w:color="auto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64E7A13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Merge w:val="restart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BAE21E3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3F3F3F"/>
                <w:kern w:val="0"/>
                <w:sz w:val="20"/>
                <w:szCs w:val="20"/>
              </w:rPr>
              <w:t>肌电图仪</w:t>
            </w: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256EC64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tabs>
                <w:tab w:val="clear" w:pos="4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项目名称：肌电诱发电位仪</w:t>
            </w:r>
          </w:p>
        </w:tc>
      </w:tr>
      <w:tr w14:paraId="7F8AB2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7DA820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4BC4C3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6C5DBB6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数量：一套</w:t>
            </w:r>
          </w:p>
        </w:tc>
      </w:tr>
      <w:tr w14:paraId="5E438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6E538F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2C7FF9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A4970C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总体要求</w:t>
            </w:r>
          </w:p>
        </w:tc>
      </w:tr>
      <w:tr w14:paraId="4F7BD4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0EDFA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4A3C39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92CAD3"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1.1国际知名品牌，在省内有10家以上用户</w:t>
            </w:r>
          </w:p>
        </w:tc>
      </w:tr>
      <w:tr w14:paraId="04B2DF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C85907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B02F71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BCE4ED4"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▲1.2具备FDA或CE国际认证，具备SFDA认证</w:t>
            </w:r>
          </w:p>
        </w:tc>
      </w:tr>
      <w:tr w14:paraId="0C3F30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298C9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E03F16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8519148"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▲1.3具备低噪声、高抗干扰能力的台式系统和专用控制键盘，内置听觉、视觉和电刺激模块；能够完成神经电图、肌电图、诱发电位等检测项目（附图）</w:t>
            </w:r>
          </w:p>
        </w:tc>
      </w:tr>
      <w:tr w14:paraId="05731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41EFC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F98F4F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FBA198"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1.4中国人正常值数据库</w:t>
            </w:r>
          </w:p>
        </w:tc>
      </w:tr>
      <w:tr w14:paraId="442DC5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C69163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6861E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5BBB4F">
            <w:pPr>
              <w:keepNext w:val="0"/>
              <w:keepLines w:val="0"/>
              <w:pageBreakBefore w:val="0"/>
              <w:tabs>
                <w:tab w:val="left" w:pos="7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1.5提供原厂全中文软件及报告系统，可自定义检测流程和检测方案</w:t>
            </w:r>
          </w:p>
        </w:tc>
      </w:tr>
      <w:tr w14:paraId="72273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AFFA16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BDF288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B22D3E2"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设备技术规格及配置要求</w:t>
            </w:r>
          </w:p>
        </w:tc>
      </w:tr>
      <w:tr w14:paraId="3EB36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56301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7ED0E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21B1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1、硬件技术规格</w:t>
            </w:r>
          </w:p>
        </w:tc>
      </w:tr>
      <w:tr w14:paraId="0E1B20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3E13BE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2C385D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1F3B95E">
            <w:pPr>
              <w:keepNext w:val="0"/>
              <w:keepLines w:val="0"/>
              <w:pageBreakBefore w:val="0"/>
              <w:numPr>
                <w:ilvl w:val="1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放大器</w:t>
            </w:r>
          </w:p>
        </w:tc>
      </w:tr>
      <w:tr w14:paraId="660E8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1C0171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14262D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AD770C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▲1.1.1外置放大器通道数：≥3通道；放大器内置标准5芯DIN插孔≥3个,( 非放大器延长头盒) （要求附图片说明）</w:t>
            </w:r>
          </w:p>
        </w:tc>
      </w:tr>
      <w:tr w14:paraId="2D6FFE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571E24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D0237F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2938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▲1.1.2放大器与主机之间采用网线连接</w:t>
            </w:r>
          </w:p>
        </w:tc>
      </w:tr>
      <w:tr w14:paraId="74EEF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C8AAED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F61F5C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C1D8E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1.1.3输入阻抗（每通道）：≥1000MΩ（要求提供国家药监局检测报告证明）</w:t>
            </w:r>
          </w:p>
        </w:tc>
      </w:tr>
      <w:tr w14:paraId="61F5A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DC004E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A88858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278738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▲1.1.4噪声电平（每通道）：≤0.3uV（要求提供国家药监局检测报告证明）</w:t>
            </w:r>
          </w:p>
        </w:tc>
      </w:tr>
      <w:tr w14:paraId="0A6AD7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95411D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93C69C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DB2AB8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▲1.1.5共模抑制比（每通道）：≥127dB（要求提供国家药监局检测报告证明）</w:t>
            </w:r>
          </w:p>
        </w:tc>
      </w:tr>
      <w:tr w14:paraId="1C1156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FEB357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D6E9B7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74F663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▲1.1.6低通滤波（高频滤波）：20Hz-20KHz</w:t>
            </w:r>
          </w:p>
        </w:tc>
      </w:tr>
      <w:tr w14:paraId="118DAB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02E470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A67BBC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89C5C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1.1.7高通滤波（低频滤波）：0.01Hz-3KHz</w:t>
            </w:r>
          </w:p>
        </w:tc>
      </w:tr>
      <w:tr w14:paraId="644167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2FDCE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EF7DF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7C178B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1.1.8内置阻抗测试，放大器面板LED直观显示阻抗测试结果</w:t>
            </w:r>
          </w:p>
        </w:tc>
      </w:tr>
      <w:tr w14:paraId="0A7EAC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C24550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8DFC56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BA455D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1.1.9内置定标信号</w:t>
            </w:r>
          </w:p>
        </w:tc>
      </w:tr>
      <w:tr w14:paraId="6646AC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89FBFE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391789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CC7F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1.1.10内置扬声器开关</w:t>
            </w:r>
          </w:p>
        </w:tc>
      </w:tr>
      <w:tr w14:paraId="5169BA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051A7C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79DDFB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E9B93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1.2电刺激器</w:t>
            </w:r>
          </w:p>
        </w:tc>
      </w:tr>
      <w:tr w14:paraId="1E8AB45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0321C0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D6B1D4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14EF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1.2.1电刺激器：1个</w:t>
            </w:r>
          </w:p>
        </w:tc>
      </w:tr>
      <w:tr w14:paraId="4DC21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A3619C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887671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89E2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1.2.2刺激类型：恒流或恒压</w:t>
            </w:r>
          </w:p>
        </w:tc>
      </w:tr>
      <w:tr w14:paraId="653C4A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A6BFD8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BEA6FE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D493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1.2.3刺激强度：0-100mA</w:t>
            </w:r>
          </w:p>
        </w:tc>
      </w:tr>
      <w:tr w14:paraId="33BCDE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51295A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502F1D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D03BE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▲1.2.4刺激频率：0.1Hz～200Hz（要求提供国家药监局检测报告证明）</w:t>
            </w:r>
          </w:p>
        </w:tc>
      </w:tr>
      <w:tr w14:paraId="3713FD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ACD3E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44A57D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192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1.2.5刺激时限：0.04～1ms</w:t>
            </w:r>
          </w:p>
        </w:tc>
      </w:tr>
      <w:tr w14:paraId="5701E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4FA89C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A84D87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570E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1.2.6刺激分辨率：0.1mA/0.01mA</w:t>
            </w:r>
          </w:p>
        </w:tc>
      </w:tr>
      <w:tr w14:paraId="0E2489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E4008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9A17B4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30411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1.2.7输出极性：正相、负相、交替、双相</w:t>
            </w:r>
          </w:p>
        </w:tc>
      </w:tr>
      <w:tr w14:paraId="7F8EC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AB723C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EE5804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57834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1.2.8输出模式：单、交替、突发、串、冲撞</w:t>
            </w:r>
          </w:p>
        </w:tc>
      </w:tr>
      <w:tr w14:paraId="4463F6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3AC1EF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D2DDA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1129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1.3听觉刺激器</w:t>
            </w:r>
          </w:p>
        </w:tc>
      </w:tr>
      <w:tr w14:paraId="2E98FB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9E94EE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68605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E7DE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1.3.1刺激器输出：标准声学耳机</w:t>
            </w:r>
          </w:p>
        </w:tc>
      </w:tr>
      <w:tr w14:paraId="6D8D81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E048AE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F50E24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D04D5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1.3.2数量：1套</w:t>
            </w:r>
          </w:p>
        </w:tc>
      </w:tr>
      <w:tr w14:paraId="2E46DB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8BF8BD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763957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26A9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1.3.3刺激极性：疏音、密音、交替音</w:t>
            </w:r>
          </w:p>
        </w:tc>
      </w:tr>
      <w:tr w14:paraId="4C1FA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6BB7D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278A7E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CEC3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1.3.4刺激波形：喀喇音、纯音、爆发音、Pips、半正弦、正弦</w:t>
            </w:r>
          </w:p>
        </w:tc>
      </w:tr>
      <w:tr w14:paraId="5B6BE6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5B23F3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22FEB4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36316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1.3.5刺激表达：左、右、双侧</w:t>
            </w:r>
          </w:p>
        </w:tc>
      </w:tr>
      <w:tr w14:paraId="4F9FC6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57257B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E9C6CC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20547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1.3.6掩蔽音：左，右，双侧或同侧白噪音、高通、低通带通滤波</w:t>
            </w:r>
          </w:p>
        </w:tc>
      </w:tr>
      <w:tr w14:paraId="7C2A29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F99BBB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7C2A2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0D0FA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1.3.7掩蔽水平：-15-90分贝peSPL</w:t>
            </w:r>
          </w:p>
        </w:tc>
      </w:tr>
      <w:tr w14:paraId="44D237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877B7C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3D1B4A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0BDAB5">
            <w:pPr>
              <w:keepNext w:val="0"/>
              <w:keepLines w:val="0"/>
              <w:pageBreakBefore w:val="0"/>
              <w:widowControl/>
              <w:tabs>
                <w:tab w:val="left" w:pos="360"/>
                <w:tab w:val="left" w:pos="54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1.4视觉刺激器</w:t>
            </w:r>
          </w:p>
        </w:tc>
      </w:tr>
      <w:tr w14:paraId="7C59D1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FA8435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52BC3D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B04A5C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1.4.1刺激模式：棋盘格翻转、水平条栅、垂直条栅</w:t>
            </w:r>
          </w:p>
        </w:tc>
      </w:tr>
      <w:tr w14:paraId="316A33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CC57F0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FA5E27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9EDC34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1.4.2刺激输出：22寸视觉刺激器</w:t>
            </w:r>
          </w:p>
        </w:tc>
      </w:tr>
      <w:tr w14:paraId="56EE83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239DC8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0CCF93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28156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1.4.3刺激视野：全视野、半视野、1/4视野</w:t>
            </w:r>
          </w:p>
        </w:tc>
      </w:tr>
      <w:tr w14:paraId="5BD55E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727567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B2D79B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AA30A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1.4.4注视点：2种以上，可移动</w:t>
            </w:r>
          </w:p>
        </w:tc>
      </w:tr>
      <w:tr w14:paraId="0BEC5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3A1F9B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7F4EFB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A9E09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1.4.5刺激格大小：刺激格大小：3x4，6x8，12x16，24x32，48x64，96x128</w:t>
            </w:r>
          </w:p>
        </w:tc>
      </w:tr>
      <w:tr w14:paraId="09638F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3F8BD4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882751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FD27F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2、计算机系统要求</w:t>
            </w:r>
          </w:p>
        </w:tc>
      </w:tr>
      <w:tr w14:paraId="429527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B8B70EE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F78442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3DCA4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</w:rPr>
              <w:t>2.1台式电脑：Windows 7，酷睿i7处理器, 128G SSD +1TB硬盘, 8G 内存</w:t>
            </w:r>
          </w:p>
        </w:tc>
      </w:tr>
      <w:tr w14:paraId="7E41B4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F0BD41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3D456C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41254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2.2  24寸液晶显示屏</w:t>
            </w:r>
          </w:p>
        </w:tc>
      </w:tr>
      <w:tr w14:paraId="4B18D8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9B1D87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6C9FE0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E2276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2.3 主机内置监听扬声器和音量控制</w:t>
            </w:r>
          </w:p>
        </w:tc>
      </w:tr>
      <w:tr w14:paraId="3E7FD3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261F9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8963FF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720C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▲2.4 独立的专用控制键盘，内置刺激输出调节及数字输入键盘功能（要求附图片说明）</w:t>
            </w:r>
          </w:p>
        </w:tc>
      </w:tr>
      <w:tr w14:paraId="536EFB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8D24BE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6B6FDB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53027A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3、软件功能要求</w:t>
            </w:r>
          </w:p>
        </w:tc>
      </w:tr>
      <w:tr w14:paraId="60B553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3B90D6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D44438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EDF1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3.1神经电图</w:t>
            </w:r>
          </w:p>
        </w:tc>
      </w:tr>
      <w:tr w14:paraId="0130A7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4FB78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83F76F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75C42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3.1.1运动传导速度测定</w:t>
            </w:r>
          </w:p>
        </w:tc>
      </w:tr>
      <w:tr w14:paraId="02487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28C12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2BBB9D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6D55C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3.1.2感觉传导速度测定</w:t>
            </w:r>
          </w:p>
        </w:tc>
      </w:tr>
      <w:tr w14:paraId="697BD5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228A18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BC8988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99022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3.1.3微移定位</w:t>
            </w:r>
          </w:p>
        </w:tc>
      </w:tr>
      <w:tr w14:paraId="10542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EB9FEA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06AB87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93278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3.1.4 F-波</w:t>
            </w:r>
          </w:p>
        </w:tc>
      </w:tr>
      <w:tr w14:paraId="690AC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698524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C9933C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C6425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3.1.5 H-反射</w:t>
            </w:r>
          </w:p>
        </w:tc>
      </w:tr>
      <w:tr w14:paraId="67ADBE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A92C0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E0B072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1EFB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3.1.6 重复频率电刺激</w:t>
            </w:r>
          </w:p>
        </w:tc>
      </w:tr>
      <w:tr w14:paraId="58894F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F640B1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C09A0E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86DD4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3.1.7 瞬目反射</w:t>
            </w:r>
          </w:p>
        </w:tc>
      </w:tr>
      <w:tr w14:paraId="4BA8E1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6C1A6B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E2492C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C203B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3.1.8植物神经电反应</w:t>
            </w:r>
          </w:p>
        </w:tc>
      </w:tr>
      <w:tr w14:paraId="6DA428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8D1482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FCA4E4B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2A87B0">
            <w:pPr>
              <w:keepNext w:val="0"/>
              <w:keepLines w:val="0"/>
              <w:pageBreakBefore w:val="0"/>
              <w:widowControl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3.2肌电图</w:t>
            </w:r>
          </w:p>
        </w:tc>
      </w:tr>
      <w:tr w14:paraId="1A5064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DC2081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7BC98F2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9443FCE">
            <w:pPr>
              <w:keepNext w:val="0"/>
              <w:keepLines w:val="0"/>
              <w:pageBreakBefore w:val="0"/>
              <w:widowControl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3.2.1定量肌电图分析：静息电位、单MUP、多MUP自动及手动分析、干扰相(重收缩)自动分析</w:t>
            </w:r>
          </w:p>
        </w:tc>
      </w:tr>
      <w:tr w14:paraId="0DBC811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9332C7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B3CE4F5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A287926">
            <w:pPr>
              <w:keepNext w:val="0"/>
              <w:keepLines w:val="0"/>
              <w:pageBreakBefore w:val="0"/>
              <w:widowControl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▲3.2.2全自动运动单位电位的高速提取，一次可提取上百个MUP电位，并且可以将不同形态的MUP自动分组并自动平均（提供图片或彩页证明）</w:t>
            </w:r>
          </w:p>
        </w:tc>
      </w:tr>
      <w:tr w14:paraId="35E0C4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B14AD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390DAC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72588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3.2.3 T/A、NSS短片段分析</w:t>
            </w:r>
          </w:p>
        </w:tc>
      </w:tr>
      <w:tr w14:paraId="64AD46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0AE3CB33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FF7294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27F7B3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-437" w:leftChars="-208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 xml:space="preserve">    ▲3.2.4原始肌电信号及声音同步存储和回放再分析功能，每块肌肉可存储多个片段，每个片段可连续记录15分钟原始的肌电图波形和声音信号，可同步回放和再分析处理（要求附图片说明）</w:t>
            </w:r>
          </w:p>
        </w:tc>
      </w:tr>
      <w:tr w14:paraId="5CF13D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688E81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D3CC38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0F26C21B">
            <w:pPr>
              <w:keepNext w:val="0"/>
              <w:keepLines w:val="0"/>
              <w:pageBreakBefore w:val="0"/>
              <w:widowControl/>
              <w:tabs>
                <w:tab w:val="left" w:pos="36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3.3诱发电位</w:t>
            </w:r>
          </w:p>
        </w:tc>
      </w:tr>
      <w:tr w14:paraId="005A82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DBF30B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ABD1AB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B70C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3.3.1体感诱发电位</w:t>
            </w:r>
          </w:p>
        </w:tc>
      </w:tr>
      <w:tr w14:paraId="6FC32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B56AAE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6E7781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8F73B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3.3.2听觉诱发电位</w:t>
            </w:r>
          </w:p>
        </w:tc>
      </w:tr>
      <w:tr w14:paraId="5141FA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D8B001A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88F9E0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48ADDE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3.3.3视觉诱发电位</w:t>
            </w:r>
          </w:p>
        </w:tc>
      </w:tr>
      <w:tr w14:paraId="223AA1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B3CE5FF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1A50507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162B9D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3.3.4事件相关电位</w:t>
            </w:r>
          </w:p>
        </w:tc>
      </w:tr>
      <w:tr w14:paraId="1FDAE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3E58E56D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3666B4C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B2F47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▲3.4</w:t>
            </w:r>
            <w:r>
              <w:rPr>
                <w:rFonts w:hint="eastAsia" w:ascii="宋体" w:hAnsi="宋体" w:eastAsia="宋体" w:cs="宋体"/>
                <w:b/>
                <w:bCs/>
                <w:sz w:val="20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TLI远端潜伏期指数，快速识别运动神经远端异常，增加远端和中段的神经传导可比性。</w:t>
            </w:r>
          </w:p>
        </w:tc>
      </w:tr>
      <w:tr w14:paraId="36BF20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2D10EB1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D168087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634DB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▲3.5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</w:rPr>
              <w:t xml:space="preserve">全中文软件及全中文病历管理和中文报告生成系统 </w:t>
            </w:r>
          </w:p>
        </w:tc>
      </w:tr>
      <w:tr w14:paraId="7E1D78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5D5FDB5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16ED3B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3BC6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z w:val="22"/>
              </w:rPr>
              <w:t>3.6中国人正常值数据库</w:t>
            </w:r>
          </w:p>
        </w:tc>
      </w:tr>
      <w:tr w14:paraId="0595F1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BA32F04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4E4F98E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5EA89C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3.7原厂全中文软件系统及全中文报告系统(包括中文神经、肌肉名称)，可根据需要自定义报告格式，表格、数据、图形自动进入中文报告系统，不需要手工输入数据或屏幕抓图粘贴完成中文报告。报告结果可转入微软办公软件读取分析（要求附图片说明）</w:t>
            </w:r>
          </w:p>
        </w:tc>
      </w:tr>
      <w:tr w14:paraId="33C53C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700" w:type="dxa"/>
            <w:vMerge w:val="continue"/>
            <w:tcBorders>
              <w:top w:val="nil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64642559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 w:val="continue"/>
            <w:tcBorders>
              <w:top w:val="single" w:color="3F3F3F" w:sz="4" w:space="0"/>
              <w:left w:val="single" w:color="3F3F3F" w:sz="4" w:space="0"/>
              <w:bottom w:val="single" w:color="3F3F3F" w:sz="4" w:space="0"/>
              <w:right w:val="single" w:color="3F3F3F" w:sz="4" w:space="0"/>
            </w:tcBorders>
            <w:vAlign w:val="center"/>
          </w:tcPr>
          <w:p w14:paraId="70F9C270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8128" w:type="dxa"/>
            <w:tcBorders>
              <w:top w:val="single" w:color="3F3F3F" w:sz="4" w:space="0"/>
              <w:left w:val="nil"/>
              <w:bottom w:val="single" w:color="3F3F3F" w:sz="4" w:space="0"/>
              <w:right w:val="single" w:color="3F3F3F" w:sz="4" w:space="0"/>
            </w:tcBorders>
            <w:shd w:val="clear" w:color="000000" w:fill="FFFFFF"/>
            <w:vAlign w:val="center"/>
          </w:tcPr>
          <w:p w14:paraId="38A52D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</w:rPr>
              <w:t>▲3.8 运动单位估数软件：包含自动MUNE递增法评估功能和MUNIX分析功能，并具备中国人 MUNIX及MUSIX的正常参考值。</w:t>
            </w:r>
          </w:p>
        </w:tc>
      </w:tr>
    </w:tbl>
    <w:p w14:paraId="2F5F2086">
      <w:pPr>
        <w:pStyle w:val="2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6F6F8274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hint="eastAsia" w:ascii="宋体" w:hAnsi="宋体" w:cs="宋体"/>
          <w:b/>
          <w:bCs/>
          <w:kern w:val="0"/>
          <w:sz w:val="28"/>
          <w:szCs w:val="28"/>
        </w:rPr>
        <w:t>配套耗材或试剂  （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开放☑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hint="eastAsia" w:ascii="宋体" w:hAnsi="宋体" w:cs="宋体"/>
          <w:b/>
          <w:bCs/>
          <w:color w:val="FF0000"/>
          <w:kern w:val="0"/>
          <w:sz w:val="28"/>
          <w:szCs w:val="28"/>
        </w:rPr>
        <w:t xml:space="preserve"> 无□</w:t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） </w:t>
      </w:r>
    </w:p>
    <w:p w14:paraId="23EC8AD0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44960BFA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>配套耗材</w:t>
      </w:r>
      <w:bookmarkStart w:id="0" w:name="_GoBack"/>
      <w:bookmarkEnd w:id="0"/>
    </w:p>
    <w:tbl>
      <w:tblPr>
        <w:tblStyle w:val="7"/>
        <w:tblW w:w="0" w:type="auto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5094"/>
        <w:gridCol w:w="1985"/>
        <w:gridCol w:w="2126"/>
      </w:tblGrid>
      <w:tr w14:paraId="0E1C6B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860" w:type="dxa"/>
            <w:vAlign w:val="center"/>
          </w:tcPr>
          <w:p w14:paraId="4B565B6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4AFE23C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12AECE67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573101BC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预算单价（元）</w:t>
            </w:r>
          </w:p>
        </w:tc>
      </w:tr>
      <w:tr w14:paraId="5CEBC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860" w:type="dxa"/>
            <w:vAlign w:val="center"/>
          </w:tcPr>
          <w:p w14:paraId="7358D8C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3280F800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  <w:t>一次性同芯圆针电极</w:t>
            </w:r>
          </w:p>
        </w:tc>
        <w:tc>
          <w:tcPr>
            <w:tcW w:w="1985" w:type="dxa"/>
            <w:vAlign w:val="center"/>
          </w:tcPr>
          <w:p w14:paraId="18B6EA59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  <w:t>根</w:t>
            </w:r>
          </w:p>
        </w:tc>
        <w:tc>
          <w:tcPr>
            <w:tcW w:w="2126" w:type="dxa"/>
            <w:vAlign w:val="center"/>
          </w:tcPr>
          <w:p w14:paraId="3C4923B6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  <w:t>120</w:t>
            </w:r>
          </w:p>
        </w:tc>
      </w:tr>
      <w:tr w14:paraId="5DF3D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860" w:type="dxa"/>
            <w:vAlign w:val="center"/>
          </w:tcPr>
          <w:p w14:paraId="5D159885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20891F54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  <w:t>表面电极</w:t>
            </w:r>
          </w:p>
        </w:tc>
        <w:tc>
          <w:tcPr>
            <w:tcW w:w="1985" w:type="dxa"/>
            <w:vAlign w:val="center"/>
          </w:tcPr>
          <w:p w14:paraId="47839A67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  <w:t>片</w:t>
            </w:r>
          </w:p>
        </w:tc>
        <w:tc>
          <w:tcPr>
            <w:tcW w:w="2126" w:type="dxa"/>
            <w:vAlign w:val="center"/>
          </w:tcPr>
          <w:p w14:paraId="1EC746CC">
            <w:pPr>
              <w:jc w:val="center"/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1"/>
              </w:rPr>
              <w:t>4</w:t>
            </w:r>
          </w:p>
        </w:tc>
      </w:tr>
    </w:tbl>
    <w:p w14:paraId="6D9B80DB">
      <w:pPr>
        <w:jc w:val="left"/>
        <w:rPr>
          <w:rFonts w:ascii="Times New Roman" w:hAnsi="Times New Roman"/>
          <w:szCs w:val="21"/>
        </w:rPr>
      </w:pPr>
    </w:p>
    <w:p w14:paraId="01AB331F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cs="宋体"/>
          <w:b/>
          <w:bCs/>
          <w:kern w:val="0"/>
          <w:sz w:val="24"/>
          <w:szCs w:val="24"/>
        </w:rPr>
        <w:t xml:space="preserve">配套试剂 </w:t>
      </w:r>
    </w:p>
    <w:tbl>
      <w:tblPr>
        <w:tblStyle w:val="7"/>
        <w:tblW w:w="10065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5107"/>
        <w:gridCol w:w="1985"/>
        <w:gridCol w:w="2126"/>
      </w:tblGrid>
      <w:tr w14:paraId="6EDDA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47" w:type="dxa"/>
            <w:vAlign w:val="center"/>
          </w:tcPr>
          <w:p w14:paraId="1FD4CC8F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41B84871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5BFF443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400A86AE">
            <w:pPr>
              <w:jc w:val="center"/>
              <w:rPr>
                <w:rFonts w:ascii="仿宋_GB2312" w:hAnsi="Times New Roman" w:eastAsia="仿宋_GB2312"/>
                <w:b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4"/>
                <w:szCs w:val="21"/>
              </w:rPr>
              <w:t>预算单价</w:t>
            </w:r>
          </w:p>
        </w:tc>
      </w:tr>
      <w:tr w14:paraId="49130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847" w:type="dxa"/>
            <w:vAlign w:val="center"/>
          </w:tcPr>
          <w:p w14:paraId="4775292D">
            <w:pPr>
              <w:jc w:val="center"/>
              <w:rPr>
                <w:rFonts w:ascii="仿宋_GB2312" w:hAnsi="Times New Roman" w:eastAsia="仿宋_GB2312"/>
                <w:b/>
                <w:sz w:val="28"/>
                <w:szCs w:val="21"/>
              </w:rPr>
            </w:pPr>
            <w:r>
              <w:rPr>
                <w:rFonts w:hint="eastAsia" w:ascii="仿宋_GB2312" w:hAnsi="Times New Roman" w:eastAsia="仿宋_GB2312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74B99084">
            <w:pPr>
              <w:jc w:val="center"/>
              <w:rPr>
                <w:rFonts w:ascii="仿宋_GB2312" w:hAnsi="Times New Roman" w:eastAsia="仿宋_GB2312"/>
                <w:color w:val="0000FF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FF"/>
                <w:sz w:val="24"/>
                <w:szCs w:val="21"/>
              </w:rPr>
              <w:t>/</w:t>
            </w:r>
          </w:p>
        </w:tc>
        <w:tc>
          <w:tcPr>
            <w:tcW w:w="1985" w:type="dxa"/>
            <w:vAlign w:val="center"/>
          </w:tcPr>
          <w:p w14:paraId="0DEA0ABF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FF"/>
                <w:sz w:val="24"/>
                <w:szCs w:val="21"/>
              </w:rPr>
              <w:t>/</w:t>
            </w:r>
          </w:p>
        </w:tc>
        <w:tc>
          <w:tcPr>
            <w:tcW w:w="2126" w:type="dxa"/>
            <w:vAlign w:val="center"/>
          </w:tcPr>
          <w:p w14:paraId="66AAFF5A">
            <w:pPr>
              <w:jc w:val="center"/>
              <w:rPr>
                <w:rFonts w:ascii="仿宋_GB2312" w:hAnsi="Times New Roman" w:eastAsia="仿宋_GB2312"/>
                <w:sz w:val="24"/>
                <w:szCs w:val="21"/>
              </w:rPr>
            </w:pPr>
            <w:r>
              <w:rPr>
                <w:rFonts w:hint="eastAsia" w:ascii="仿宋_GB2312" w:hAnsi="Times New Roman" w:eastAsia="仿宋_GB2312"/>
                <w:color w:val="0000FF"/>
                <w:sz w:val="24"/>
                <w:szCs w:val="21"/>
              </w:rPr>
              <w:t>/</w:t>
            </w:r>
          </w:p>
        </w:tc>
      </w:tr>
    </w:tbl>
    <w:p w14:paraId="5C7C26A7">
      <w:pPr>
        <w:jc w:val="center"/>
        <w:rPr>
          <w:rFonts w:ascii="微软雅黑" w:hAnsi="微软雅黑" w:eastAsia="微软雅黑" w:cs="宋体"/>
          <w:color w:val="3F3F3F"/>
          <w:kern w:val="0"/>
          <w:szCs w:val="21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D78B23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CB1DA2"/>
    <w:multiLevelType w:val="multilevel"/>
    <w:tmpl w:val="00CB1DA2"/>
    <w:lvl w:ilvl="0" w:tentative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 w:tentative="0">
      <w:start w:val="1"/>
      <w:numFmt w:val="decimal"/>
      <w:lvlText w:val="%2、"/>
      <w:lvlJc w:val="left"/>
      <w:pPr>
        <w:tabs>
          <w:tab w:val="left" w:pos="1140"/>
        </w:tabs>
        <w:ind w:left="114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79493707"/>
    <w:multiLevelType w:val="multilevel"/>
    <w:tmpl w:val="79493707"/>
    <w:lvl w:ilvl="0" w:tentative="0">
      <w:start w:val="1"/>
      <w:numFmt w:val="decimal"/>
      <w:lvlText w:val="%1"/>
      <w:lvlJc w:val="left"/>
      <w:pPr>
        <w:tabs>
          <w:tab w:val="left" w:pos="495"/>
        </w:tabs>
        <w:ind w:left="495" w:hanging="495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637"/>
        </w:tabs>
        <w:ind w:left="637" w:hanging="49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1560"/>
        </w:tabs>
        <w:ind w:left="156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980"/>
        </w:tabs>
        <w:ind w:left="1980" w:hanging="72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2760"/>
        </w:tabs>
        <w:ind w:left="276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3180"/>
        </w:tabs>
        <w:ind w:left="3180" w:hanging="108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3600"/>
        </w:tabs>
        <w:ind w:left="3600" w:hanging="108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80"/>
        </w:tabs>
        <w:ind w:left="438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800"/>
        </w:tabs>
        <w:ind w:left="480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RmMTA2NWY2Nzk3YTAwZjM0ZmU1ZjU5YmU0ZGViYjEifQ=="/>
  </w:docVars>
  <w:rsids>
    <w:rsidRoot w:val="00180716"/>
    <w:rsid w:val="00031B84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D4DED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EE469E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00FD5D5E"/>
    <w:rsid w:val="0F220981"/>
    <w:rsid w:val="195A572B"/>
    <w:rsid w:val="1F167173"/>
    <w:rsid w:val="20527BD7"/>
    <w:rsid w:val="38D359D5"/>
    <w:rsid w:val="42E666C1"/>
    <w:rsid w:val="4D4D6A56"/>
    <w:rsid w:val="591B1299"/>
    <w:rsid w:val="63B55005"/>
    <w:rsid w:val="67E83121"/>
    <w:rsid w:val="745B3CDA"/>
    <w:rsid w:val="785112EC"/>
    <w:rsid w:val="7A376404"/>
    <w:rsid w:val="7FC1445B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2"/>
    <w:unhideWhenUsed/>
    <w:qFormat/>
    <w:uiPriority w:val="99"/>
    <w:pPr>
      <w:jc w:val="left"/>
    </w:pPr>
  </w:style>
  <w:style w:type="paragraph" w:styleId="4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8">
    <w:name w:val="Table Grid"/>
    <w:basedOn w:val="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unhideWhenUsed/>
    <w:qFormat/>
    <w:uiPriority w:val="99"/>
    <w:rPr>
      <w:sz w:val="21"/>
      <w:szCs w:val="21"/>
    </w:rPr>
  </w:style>
  <w:style w:type="character" w:customStyle="1" w:styleId="11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12">
    <w:name w:val="批注文字 字符"/>
    <w:link w:val="3"/>
    <w:semiHidden/>
    <w:qFormat/>
    <w:uiPriority w:val="99"/>
    <w:rPr>
      <w:kern w:val="2"/>
      <w:sz w:val="21"/>
      <w:szCs w:val="22"/>
    </w:rPr>
  </w:style>
  <w:style w:type="character" w:customStyle="1" w:styleId="13">
    <w:name w:val="批注框文本 字符"/>
    <w:link w:val="4"/>
    <w:semiHidden/>
    <w:qFormat/>
    <w:uiPriority w:val="99"/>
    <w:rPr>
      <w:kern w:val="2"/>
      <w:sz w:val="18"/>
      <w:szCs w:val="18"/>
    </w:rPr>
  </w:style>
  <w:style w:type="character" w:customStyle="1" w:styleId="14">
    <w:name w:val="页脚 字符"/>
    <w:link w:val="5"/>
    <w:qFormat/>
    <w:uiPriority w:val="99"/>
    <w:rPr>
      <w:sz w:val="18"/>
      <w:szCs w:val="18"/>
    </w:rPr>
  </w:style>
  <w:style w:type="character" w:customStyle="1" w:styleId="15">
    <w:name w:val="页眉 字符"/>
    <w:link w:val="6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3</Pages>
  <Words>2079</Words>
  <Characters>2571</Characters>
  <Lines>23</Lines>
  <Paragraphs>6</Paragraphs>
  <TotalTime>15</TotalTime>
  <ScaleCrop>false</ScaleCrop>
  <LinksUpToDate>false</LinksUpToDate>
  <CharactersWithSpaces>2665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2023-11-02T03:07:00Z</dcterms:created>
  <dc:creator>Sky123.Org</dc:creator>
  <cp:lastModifiedBy> </cp:lastModifiedBy>
  <cp:lastPrinted>2020-06-15T03:32:00Z</cp:lastPrinted>
  <dcterms:modified xsi:type="dcterms:W3CDTF">2025-04-11T03:03:01Z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EE80555F397C49A2A06B36D05D3B2CA4_13</vt:lpwstr>
  </property>
  <property fmtid="{D5CDD505-2E9C-101B-9397-08002B2CF9AE}" pid="4" name="KSOTemplateDocerSaveRecord">
    <vt:lpwstr>eyJoZGlkIjoiNWJkMzgyNzdjMGVjMjg3YjM2Y2VmYzc5MTcyMzBjZTUiLCJ1c2VySWQiOiIyNzA3NjAzOTkifQ==</vt:lpwstr>
  </property>
</Properties>
</file>