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8"/>
        <w:tblW w:w="9654" w:type="dxa"/>
        <w:jc w:val="center"/>
        <w:tblBorders>
          <w:top w:val="single" w:color="3F3F3F" w:sz="4" w:space="0"/>
          <w:left w:val="single" w:color="3F3F3F" w:sz="4" w:space="0"/>
          <w:bottom w:val="single" w:color="3F3F3F" w:sz="4" w:space="0"/>
          <w:right w:val="single" w:color="3F3F3F" w:sz="4" w:space="0"/>
          <w:insideH w:val="single" w:color="3F3F3F" w:sz="4" w:space="0"/>
          <w:insideV w:val="single" w:color="3F3F3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702"/>
        <w:gridCol w:w="7292"/>
      </w:tblGrid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702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660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18"/>
                <w:szCs w:val="18"/>
              </w:rPr>
              <w:t>1</w:t>
            </w:r>
          </w:p>
        </w:tc>
        <w:tc>
          <w:tcPr>
            <w:tcW w:w="1702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肌电图诱发电位仪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　</w:t>
            </w: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整机及放大器技术参数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整机一体化设计，整机网电源供电，放大器经电缆连接，无需电池；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▲双脚踏开关；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四通道放大器，带可伸缩悬臂支架；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▲放大器每个通道提供两种导联线接口，五针大DIN圆口及Φ1.57国际标准正负接口一对（产品图片为准）；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▲差模（差分）输入阻抗≥2000兆欧；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▲输入短路噪声：≤0.38</w:t>
            </w:r>
            <w:r>
              <w:rPr>
                <w:rFonts w:hint="eastAsia" w:ascii="宋体" w:hAnsi="宋体" w:cs="宋体"/>
                <w:sz w:val="18"/>
                <w:szCs w:val="18"/>
                <w:lang w:eastAsia="zh-Hans"/>
              </w:rPr>
              <w:t>uVrms</w:t>
            </w:r>
            <w:r>
              <w:rPr>
                <w:rFonts w:hint="eastAsia" w:ascii="宋体" w:hAnsi="宋体" w:cs="宋体"/>
                <w:sz w:val="18"/>
                <w:szCs w:val="18"/>
              </w:rPr>
              <w:t>；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▲共模抑制比：≥126dB；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灵敏度：0.01μV/D-500mv/D 1mS/D-500mS/D；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输入信号范围：1μV – 10mV；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接口技术：USB；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采样率：200KHz；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Hans"/>
              </w:rPr>
              <w:t>幅频特性</w:t>
            </w:r>
            <w:r>
              <w:rPr>
                <w:rFonts w:hint="eastAsia" w:ascii="宋体" w:hAnsi="宋体" w:cs="宋体"/>
                <w:sz w:val="18"/>
                <w:szCs w:val="18"/>
              </w:rPr>
              <w:t>；0.5</w:t>
            </w:r>
            <w:r>
              <w:rPr>
                <w:rFonts w:hint="eastAsia" w:ascii="宋体" w:hAnsi="宋体" w:cs="宋体"/>
                <w:sz w:val="18"/>
                <w:szCs w:val="18"/>
                <w:lang w:eastAsia="zh-Hans"/>
              </w:rPr>
              <w:t>Hz - 10KHz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刺激器技术参数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1、电流刺激器: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ind w:left="420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1.1、两路电刺激输出接口，可选单边输出或双边同步异步输出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ind w:left="420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1.2、恒流源、短路及过载保护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ind w:left="420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1.3、刺激速率：0.05 ～ 50 次/秒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ind w:left="420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1.4、刺激持续时间：0.05ms～ 1.0ms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ind w:left="420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1.5、刺激模式：单个脉冲、对冲、成对、串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ind w:left="420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1.6、输出脉冲幅度：0 - 100mA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ind w:left="420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1.7、输出脉冲宽度：50 – 1000μs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ind w:left="420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1.8、输出短路电流：≤120mA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ind w:left="420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1.9、最大输出电压：≤350V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2、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声刺激器：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    2.1、双声道输出接口，可选择单边或双边同时输出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    2.2、刺激频率：0.05 Hz－50Hz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    2.3、刺激强度：0-120dB SPL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    2.4、极性：疏波、密波、疏密交替波；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    2.5、刺激声类型：短声、短音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3、光刺激器（二种）：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3.1、闪光刺激器：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3.1.1、闪光输出：眼罩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3.1.2、左右两路闪光输出接口，可选择单边或者双边同时输出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3.1.3、亮度0-100%可调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3.1.4、闪光持续时间2-500 mS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3.1.5、最大照度：距离LED法线方向4mm处 ≤ 眼科明室照度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3.2、图像刺激器（CRT）： 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 3.2.1、图像输出：</w:t>
            </w:r>
            <w:r>
              <w:rPr>
                <w:rFonts w:hint="eastAsia" w:ascii="宋体" w:hAnsi="宋体" w:cs="宋体"/>
                <w:sz w:val="18"/>
                <w:szCs w:val="18"/>
                <w:lang w:eastAsia="zh-Hans"/>
              </w:rPr>
              <w:t>LED背光液晶显示器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 3.2.2、场频：≥60Hz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 3.2.3、提供图像模式翻转及给/撤两种刺激模式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 3.2.4、图像亮度：5级，约为最大亮度的0%、20%、40%、60%、100%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 3.2.5、注视点：默认位于屏幕中央，可软件设定开/关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 3.2.6、图像类型：棋盘格、垂直条、水平条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 3.2.7、图像大小：4*3、 8*6、16*12、32*24、64*48、128*96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 3.2.8、刺激视野：全屏、左半屏、右半屏、上半屏、下半屏、上、下、左、右1/4屏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功能要求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1、体感诱发电位</w:t>
            </w:r>
            <w:r>
              <w:rPr>
                <w:rFonts w:hint="eastAsia" w:ascii="宋体" w:hAnsi="宋体" w:cs="宋体"/>
                <w:sz w:val="18"/>
                <w:szCs w:val="18"/>
                <w:lang w:eastAsia="zh-Hans"/>
              </w:rPr>
              <w:t>：上下肢体感诱发电位，自定义体感诱发电位</w:t>
            </w:r>
            <w:r>
              <w:rPr>
                <w:rFonts w:hint="eastAsia" w:ascii="宋体" w:hAnsi="宋体" w:cs="宋体"/>
                <w:sz w:val="18"/>
                <w:szCs w:val="18"/>
              </w:rPr>
              <w:t>；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2、神经传导：包括多节段传导、重复电刺激、H反射、皮肤交感反应、运动传导速度、感觉传导速度、F波、瞬目反射；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3、肌电图：针肌电图包括插入、静息、全自动运动单位电位定量分析、干扰相分析、震颤检测、波形回放；表面肌电图包括sEMG、RMS及波幅等分析；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4、听觉诱发电位：包括脑干听觉诱发电位、中长潜伏期诱发；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5、视觉诱发电位：包括模式翻转视诱发、闪光视诱发；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6、中文报告软件；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7、病人数据库管理软件；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▲8、可定制检查方案（可根据患者临床表现灵活订制所需检查方案）；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9、常用报告模板；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▲10、检查项目管理器（当前患者所有检查项目均一目了然，无需切换窗口）；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11、P300事件相关电位；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计算机要求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1、工控双核主机，内存2GB以上，固态硬盘；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2、液晶显示器：23寸液晶显示器；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292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3、打印机：黑白激光打印机。</w:t>
            </w:r>
          </w:p>
        </w:tc>
      </w:tr>
    </w:tbl>
    <w:p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  <w:sectPr>
          <w:pgSz w:w="11906" w:h="16838"/>
          <w:pgMar w:top="1440" w:right="1080" w:bottom="1440" w:left="108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>
      <w:pPr>
        <w:pStyle w:val="3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开放☑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  <w:bookmarkStart w:id="0" w:name="_GoBack"/>
            <w:bookmarkEnd w:id="0"/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一次性使用无菌肌电针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spacing w:after="200" w:line="240" w:lineRule="atLeas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根</w:t>
            </w:r>
          </w:p>
        </w:tc>
        <w:tc>
          <w:tcPr>
            <w:tcW w:w="212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2</w:t>
            </w:r>
          </w:p>
        </w:tc>
        <w:tc>
          <w:tcPr>
            <w:tcW w:w="509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针灸针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spacing w:after="200" w:line="240" w:lineRule="atLeas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030*13mm/盒</w:t>
            </w:r>
          </w:p>
        </w:tc>
        <w:tc>
          <w:tcPr>
            <w:tcW w:w="212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3</w:t>
            </w:r>
          </w:p>
        </w:tc>
        <w:tc>
          <w:tcPr>
            <w:tcW w:w="509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进口贴片电极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spacing w:after="200" w:line="240" w:lineRule="atLeas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100个/包</w:t>
            </w:r>
          </w:p>
        </w:tc>
        <w:tc>
          <w:tcPr>
            <w:tcW w:w="212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300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992682"/>
    <w:multiLevelType w:val="multilevel"/>
    <w:tmpl w:val="00992682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67F73744"/>
    <w:multiLevelType w:val="multilevel"/>
    <w:tmpl w:val="67F73744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281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0689"/>
    <w:rsid w:val="00D650DC"/>
    <w:rsid w:val="00D736F6"/>
    <w:rsid w:val="00D73D7E"/>
    <w:rsid w:val="00D90205"/>
    <w:rsid w:val="00D91C89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1CEC68E6"/>
    <w:rsid w:val="20527BD7"/>
    <w:rsid w:val="24371742"/>
    <w:rsid w:val="24F825D6"/>
    <w:rsid w:val="3A4F2447"/>
    <w:rsid w:val="4207084C"/>
    <w:rsid w:val="4B284743"/>
    <w:rsid w:val="4C1955FF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3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qFormat/>
    <w:uiPriority w:val="99"/>
    <w:rPr>
      <w:sz w:val="18"/>
      <w:szCs w:val="18"/>
    </w:rPr>
  </w:style>
  <w:style w:type="character" w:customStyle="1" w:styleId="16">
    <w:name w:val="页眉 字符"/>
    <w:link w:val="7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384</Words>
  <Characters>2193</Characters>
  <Lines>18</Lines>
  <Paragraphs>5</Paragraphs>
  <TotalTime>1</TotalTime>
  <ScaleCrop>false</ScaleCrop>
  <LinksUpToDate>false</LinksUpToDate>
  <CharactersWithSpaces>2572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2024-03-21T08:45:26Z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