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74B7FDC2">
      <w:pPr>
        <w:snapToGrid w:val="0"/>
        <w:ind w:right="-315" w:rightChars="-150" w:firstLine="420" w:firstLineChars="200"/>
        <w:rPr>
          <w:rFonts w:hint="eastAsia" w:ascii="宋体" w:hAnsi="宋体"/>
          <w:color w:val="000000"/>
          <w:szCs w:val="21"/>
        </w:rPr>
      </w:pPr>
    </w:p>
    <w:p w14:paraId="7B16D6B4">
      <w:pPr>
        <w:snapToGrid w:val="0"/>
        <w:ind w:right="-315" w:rightChars="-150" w:firstLine="420" w:firstLineChars="200"/>
        <w:rPr>
          <w:rFonts w:hint="eastAsia" w:ascii="宋体" w:hAnsi="宋体"/>
          <w:color w:val="000000"/>
          <w:szCs w:val="21"/>
        </w:rPr>
      </w:pPr>
    </w:p>
    <w:p w14:paraId="5B43F16D">
      <w:pPr>
        <w:snapToGrid w:val="0"/>
        <w:ind w:right="-315" w:rightChars="-150" w:firstLine="420" w:firstLineChars="200"/>
        <w:rPr>
          <w:rFonts w:hint="eastAsia" w:ascii="宋体" w:hAnsi="宋体"/>
          <w:color w:val="000000"/>
          <w:szCs w:val="21"/>
        </w:rPr>
      </w:pPr>
    </w:p>
    <w:p w14:paraId="65B434FF">
      <w:pPr>
        <w:snapToGrid w:val="0"/>
        <w:ind w:right="-315" w:rightChars="-150" w:firstLine="420" w:firstLineChars="200"/>
        <w:rPr>
          <w:rFonts w:hint="eastAsia" w:ascii="宋体" w:hAnsi="宋体"/>
          <w:color w:val="000000"/>
          <w:szCs w:val="21"/>
        </w:rPr>
      </w:pPr>
    </w:p>
    <w:p w14:paraId="6006B1EB">
      <w:pPr>
        <w:snapToGrid w:val="0"/>
        <w:ind w:right="-315" w:rightChars="-150"/>
        <w:rPr>
          <w:rFonts w:hint="eastAsia" w:ascii="宋体" w:hAnsi="宋体" w:eastAsia="宋体" w:cs="宋体"/>
          <w:bCs/>
          <w:color w:val="000000"/>
          <w:sz w:val="21"/>
          <w:szCs w:val="21"/>
        </w:rPr>
      </w:pPr>
      <w:r>
        <w:rPr>
          <w:rFonts w:hint="eastAsia" w:ascii="宋体" w:hAnsi="宋体" w:eastAsia="宋体" w:cs="宋体"/>
          <w:color w:val="000000"/>
          <w:sz w:val="21"/>
          <w:szCs w:val="21"/>
        </w:rPr>
        <w:t xml:space="preserve">1.  </w:t>
      </w:r>
      <w:r>
        <w:rPr>
          <w:rFonts w:hint="eastAsia" w:ascii="宋体" w:hAnsi="宋体" w:eastAsia="宋体" w:cs="宋体"/>
          <w:bCs/>
          <w:color w:val="000000"/>
          <w:sz w:val="21"/>
          <w:szCs w:val="21"/>
        </w:rPr>
        <w:t>评分表</w:t>
      </w:r>
    </w:p>
    <w:p w14:paraId="2C45728B">
      <w:pPr>
        <w:snapToGrid w:val="0"/>
        <w:ind w:right="-315" w:rightChars="-150"/>
        <w:rPr>
          <w:rFonts w:hint="eastAsia" w:ascii="宋体" w:hAnsi="宋体" w:eastAsia="宋体" w:cs="宋体"/>
          <w:sz w:val="21"/>
          <w:szCs w:val="21"/>
        </w:rPr>
      </w:pPr>
      <w:r>
        <w:rPr>
          <w:rFonts w:hint="eastAsia" w:ascii="宋体" w:hAnsi="宋体" w:eastAsia="宋体" w:cs="宋体"/>
          <w:sz w:val="21"/>
          <w:szCs w:val="21"/>
        </w:rPr>
        <w:t>价格分计算方法可分为两种：</w:t>
      </w:r>
    </w:p>
    <w:p w14:paraId="258489AA">
      <w:pPr>
        <w:snapToGrid w:val="0"/>
        <w:ind w:right="-315" w:rightChars="-150" w:firstLine="420" w:firstLineChars="200"/>
        <w:rPr>
          <w:rFonts w:hint="eastAsia" w:ascii="宋体" w:hAnsi="宋体" w:eastAsia="宋体" w:cs="宋体"/>
          <w:sz w:val="21"/>
          <w:szCs w:val="21"/>
        </w:rPr>
      </w:pPr>
      <w:r>
        <w:rPr>
          <w:rFonts w:hint="eastAsia" w:ascii="宋体" w:hAnsi="宋体" w:eastAsia="宋体" w:cs="宋体"/>
          <w:sz w:val="21"/>
          <w:szCs w:val="21"/>
        </w:rPr>
        <w:t>方法一：价格分计算：价格分=（评标基准价/投标报价）×价格权重分。（每个供应商可进行两次报价，以第二次报价为最终报价），当价格分&lt;0时，取0。</w:t>
      </w:r>
    </w:p>
    <w:p w14:paraId="681BEBDE">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eastAsia="宋体" w:cs="宋体"/>
          <w:color w:val="auto"/>
          <w:sz w:val="21"/>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5"/>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68"/>
        <w:gridCol w:w="1287"/>
        <w:gridCol w:w="675"/>
        <w:gridCol w:w="1088"/>
        <w:gridCol w:w="4437"/>
      </w:tblGrid>
      <w:tr w14:paraId="3A2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13A042F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830" w:type="dxa"/>
            <w:gridSpan w:val="3"/>
            <w:tcBorders>
              <w:top w:val="single" w:color="auto" w:sz="4" w:space="0"/>
              <w:left w:val="single" w:color="auto" w:sz="4" w:space="0"/>
              <w:bottom w:val="single" w:color="auto" w:sz="4" w:space="0"/>
              <w:right w:val="single" w:color="auto" w:sz="4" w:space="0"/>
            </w:tcBorders>
          </w:tcPr>
          <w:p w14:paraId="51BDA7C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评分项</w:t>
            </w:r>
          </w:p>
        </w:tc>
        <w:tc>
          <w:tcPr>
            <w:tcW w:w="5525" w:type="dxa"/>
            <w:gridSpan w:val="2"/>
            <w:tcBorders>
              <w:top w:val="single" w:color="auto" w:sz="4" w:space="0"/>
              <w:left w:val="single" w:color="auto" w:sz="4" w:space="0"/>
              <w:bottom w:val="single" w:color="auto" w:sz="4" w:space="0"/>
              <w:right w:val="single" w:color="auto" w:sz="4" w:space="0"/>
            </w:tcBorders>
          </w:tcPr>
          <w:p w14:paraId="20DABD2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权重</w:t>
            </w:r>
          </w:p>
        </w:tc>
      </w:tr>
      <w:tr w14:paraId="6B60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C3AD46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2830" w:type="dxa"/>
            <w:gridSpan w:val="3"/>
            <w:tcBorders>
              <w:top w:val="single" w:color="auto" w:sz="4" w:space="0"/>
              <w:left w:val="single" w:color="auto" w:sz="4" w:space="0"/>
              <w:bottom w:val="single" w:color="auto" w:sz="4" w:space="0"/>
              <w:right w:val="single" w:color="auto" w:sz="4" w:space="0"/>
            </w:tcBorders>
          </w:tcPr>
          <w:p w14:paraId="36FA85C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价格部分</w:t>
            </w:r>
          </w:p>
        </w:tc>
        <w:tc>
          <w:tcPr>
            <w:tcW w:w="5525" w:type="dxa"/>
            <w:gridSpan w:val="2"/>
            <w:tcBorders>
              <w:top w:val="single" w:color="auto" w:sz="4" w:space="0"/>
              <w:left w:val="single" w:color="auto" w:sz="4" w:space="0"/>
              <w:bottom w:val="single" w:color="auto" w:sz="4" w:space="0"/>
              <w:right w:val="single" w:color="auto" w:sz="4" w:space="0"/>
            </w:tcBorders>
          </w:tcPr>
          <w:p w14:paraId="6D103744">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10</w:t>
            </w:r>
          </w:p>
        </w:tc>
      </w:tr>
      <w:tr w14:paraId="5E5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9060FC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2830" w:type="dxa"/>
            <w:gridSpan w:val="3"/>
            <w:tcBorders>
              <w:top w:val="single" w:color="auto" w:sz="4" w:space="0"/>
              <w:left w:val="single" w:color="auto" w:sz="4" w:space="0"/>
              <w:bottom w:val="single" w:color="auto" w:sz="4" w:space="0"/>
              <w:right w:val="single" w:color="auto" w:sz="4" w:space="0"/>
            </w:tcBorders>
          </w:tcPr>
          <w:p w14:paraId="434CF04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技术</w:t>
            </w:r>
            <w:r>
              <w:rPr>
                <w:rFonts w:hint="eastAsia" w:ascii="宋体" w:hAnsi="宋体" w:eastAsia="宋体" w:cs="宋体"/>
                <w:b/>
                <w:color w:val="auto"/>
                <w:sz w:val="21"/>
                <w:szCs w:val="21"/>
              </w:rPr>
              <w:t>部分</w:t>
            </w:r>
          </w:p>
        </w:tc>
        <w:tc>
          <w:tcPr>
            <w:tcW w:w="5525" w:type="dxa"/>
            <w:gridSpan w:val="2"/>
            <w:tcBorders>
              <w:top w:val="single" w:color="auto" w:sz="4" w:space="0"/>
              <w:left w:val="single" w:color="auto" w:sz="4" w:space="0"/>
              <w:bottom w:val="single" w:color="auto" w:sz="4" w:space="0"/>
              <w:right w:val="single" w:color="auto" w:sz="4" w:space="0"/>
            </w:tcBorders>
          </w:tcPr>
          <w:p w14:paraId="7DC6F60B">
            <w:pPr>
              <w:jc w:val="center"/>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50</w:t>
            </w:r>
          </w:p>
        </w:tc>
      </w:tr>
      <w:tr w14:paraId="2F2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141D8158">
            <w:pPr>
              <w:jc w:val="center"/>
              <w:rPr>
                <w:rFonts w:hint="eastAsia" w:ascii="宋体" w:hAnsi="宋体" w:eastAsia="宋体" w:cs="宋体"/>
                <w:color w:val="auto"/>
                <w:sz w:val="24"/>
                <w:szCs w:val="24"/>
              </w:rPr>
            </w:pPr>
          </w:p>
        </w:tc>
        <w:tc>
          <w:tcPr>
            <w:tcW w:w="868" w:type="dxa"/>
            <w:tcBorders>
              <w:top w:val="single" w:color="auto" w:sz="4" w:space="0"/>
              <w:left w:val="single" w:color="auto" w:sz="4" w:space="0"/>
              <w:bottom w:val="single" w:color="auto" w:sz="4" w:space="0"/>
              <w:right w:val="single" w:color="auto" w:sz="4" w:space="0"/>
            </w:tcBorders>
          </w:tcPr>
          <w:p w14:paraId="21C4D60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287" w:type="dxa"/>
            <w:tcBorders>
              <w:top w:val="single" w:color="auto" w:sz="4" w:space="0"/>
              <w:left w:val="single" w:color="auto" w:sz="4" w:space="0"/>
              <w:bottom w:val="single" w:color="auto" w:sz="4" w:space="0"/>
              <w:right w:val="single" w:color="auto" w:sz="4" w:space="0"/>
            </w:tcBorders>
          </w:tcPr>
          <w:p w14:paraId="565744A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评分因素</w:t>
            </w:r>
          </w:p>
        </w:tc>
        <w:tc>
          <w:tcPr>
            <w:tcW w:w="675" w:type="dxa"/>
            <w:tcBorders>
              <w:top w:val="single" w:color="auto" w:sz="4" w:space="0"/>
              <w:left w:val="single" w:color="auto" w:sz="4" w:space="0"/>
              <w:bottom w:val="single" w:color="auto" w:sz="4" w:space="0"/>
              <w:right w:val="single" w:color="auto" w:sz="4" w:space="0"/>
            </w:tcBorders>
          </w:tcPr>
          <w:p w14:paraId="1D4F853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权重</w:t>
            </w:r>
          </w:p>
        </w:tc>
        <w:tc>
          <w:tcPr>
            <w:tcW w:w="1088" w:type="dxa"/>
            <w:tcBorders>
              <w:top w:val="single" w:color="auto" w:sz="4" w:space="0"/>
              <w:left w:val="single" w:color="auto" w:sz="4" w:space="0"/>
              <w:bottom w:val="single" w:color="auto" w:sz="4" w:space="0"/>
              <w:right w:val="single" w:color="auto" w:sz="4" w:space="0"/>
            </w:tcBorders>
          </w:tcPr>
          <w:p w14:paraId="287460C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评分方式</w:t>
            </w:r>
          </w:p>
        </w:tc>
        <w:tc>
          <w:tcPr>
            <w:tcW w:w="4437" w:type="dxa"/>
            <w:tcBorders>
              <w:top w:val="single" w:color="auto" w:sz="4" w:space="0"/>
              <w:left w:val="single" w:color="auto" w:sz="4" w:space="0"/>
              <w:bottom w:val="single" w:color="auto" w:sz="4" w:space="0"/>
              <w:right w:val="single" w:color="auto" w:sz="4" w:space="0"/>
            </w:tcBorders>
          </w:tcPr>
          <w:p w14:paraId="10DF3CE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评分准则</w:t>
            </w:r>
          </w:p>
        </w:tc>
      </w:tr>
      <w:tr w14:paraId="03EB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A347A6B">
            <w:pPr>
              <w:widowControl/>
              <w:jc w:val="center"/>
              <w:rPr>
                <w:rFonts w:hint="eastAsia" w:ascii="宋体" w:hAnsi="宋体" w:eastAsia="宋体" w:cs="宋体"/>
                <w:color w:val="auto"/>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14:paraId="6FE7E23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287" w:type="dxa"/>
            <w:tcBorders>
              <w:top w:val="single" w:color="auto" w:sz="4" w:space="0"/>
              <w:left w:val="single" w:color="auto" w:sz="4" w:space="0"/>
              <w:bottom w:val="single" w:color="auto" w:sz="4" w:space="0"/>
              <w:right w:val="single" w:color="auto" w:sz="4" w:space="0"/>
            </w:tcBorders>
            <w:vAlign w:val="center"/>
          </w:tcPr>
          <w:p w14:paraId="6160EDDE">
            <w:pPr>
              <w:widowControl/>
              <w:jc w:val="left"/>
              <w:rPr>
                <w:rFonts w:hint="eastAsia" w:ascii="宋体" w:hAnsi="宋体" w:eastAsia="宋体" w:cs="宋体"/>
                <w:color w:val="auto"/>
                <w:sz w:val="24"/>
                <w:szCs w:val="24"/>
              </w:rPr>
            </w:pPr>
            <w:r>
              <w:rPr>
                <w:rFonts w:hint="eastAsia" w:ascii="宋体" w:hAnsi="宋体" w:eastAsia="宋体" w:cs="宋体"/>
                <w:sz w:val="24"/>
                <w:szCs w:val="24"/>
              </w:rPr>
              <w:t>实施方案</w:t>
            </w:r>
          </w:p>
        </w:tc>
        <w:tc>
          <w:tcPr>
            <w:tcW w:w="675" w:type="dxa"/>
            <w:tcBorders>
              <w:top w:val="single" w:color="auto" w:sz="4" w:space="0"/>
              <w:left w:val="single" w:color="auto" w:sz="4" w:space="0"/>
              <w:bottom w:val="single" w:color="auto" w:sz="4" w:space="0"/>
              <w:right w:val="single" w:color="auto" w:sz="4" w:space="0"/>
            </w:tcBorders>
            <w:vAlign w:val="center"/>
          </w:tcPr>
          <w:p w14:paraId="5E07D5ED">
            <w:pPr>
              <w:widowControl/>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lang w:val="en-US" w:eastAsia="zh-CN"/>
              </w:rPr>
              <w:t>15</w:t>
            </w:r>
          </w:p>
        </w:tc>
        <w:tc>
          <w:tcPr>
            <w:tcW w:w="1088" w:type="dxa"/>
            <w:tcBorders>
              <w:top w:val="single" w:color="auto" w:sz="4" w:space="0"/>
              <w:left w:val="single" w:color="auto" w:sz="4" w:space="0"/>
              <w:bottom w:val="single" w:color="auto" w:sz="4" w:space="0"/>
              <w:right w:val="single" w:color="auto" w:sz="4" w:space="0"/>
            </w:tcBorders>
            <w:vAlign w:val="center"/>
          </w:tcPr>
          <w:p w14:paraId="37173457">
            <w:pPr>
              <w:jc w:val="center"/>
              <w:rPr>
                <w:rFonts w:hint="eastAsia" w:ascii="宋体" w:hAnsi="宋体" w:eastAsia="宋体" w:cs="宋体"/>
                <w:color w:val="auto"/>
                <w:sz w:val="24"/>
                <w:szCs w:val="24"/>
              </w:rPr>
            </w:pPr>
            <w:r>
              <w:rPr>
                <w:rFonts w:hint="eastAsia" w:ascii="宋体" w:hAnsi="宋体" w:eastAsia="宋体" w:cs="宋体"/>
                <w:sz w:val="24"/>
                <w:szCs w:val="24"/>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736D4809">
            <w:pPr>
              <w:numPr>
                <w:ilvl w:val="0"/>
                <w:numId w:val="1"/>
              </w:numPr>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评审内容：</w:t>
            </w:r>
          </w:p>
          <w:p w14:paraId="427181B2">
            <w:pPr>
              <w:spacing w:line="3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策划方案完善程度及是否满足服务需求等，考察项目策划方案是否工作方法科学，技术路线合理，项目计划安排得当。</w:t>
            </w:r>
          </w:p>
          <w:p w14:paraId="17897065">
            <w:pPr>
              <w:numPr>
                <w:ilvl w:val="0"/>
                <w:numId w:val="1"/>
              </w:numPr>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评分依据：</w:t>
            </w:r>
          </w:p>
          <w:p w14:paraId="6EB9C2C1">
            <w:pPr>
              <w:spacing w:line="280" w:lineRule="exact"/>
              <w:rPr>
                <w:rFonts w:hint="eastAsia" w:ascii="宋体" w:hAnsi="宋体" w:eastAsia="宋体" w:cs="宋体"/>
                <w:color w:val="auto"/>
                <w:sz w:val="24"/>
                <w:szCs w:val="24"/>
              </w:rPr>
            </w:pPr>
            <w:r>
              <w:rPr>
                <w:rFonts w:hint="eastAsia" w:ascii="宋体" w:hAnsi="宋体" w:eastAsia="宋体" w:cs="宋体"/>
                <w:color w:val="000000"/>
                <w:sz w:val="24"/>
                <w:szCs w:val="24"/>
              </w:rPr>
              <w:t>根据投标文件响应情况进行横向比较，分档评分：优得15分，良得10分，合格得5分。未提供本项响应内容的不得分。</w:t>
            </w:r>
          </w:p>
        </w:tc>
      </w:tr>
      <w:tr w14:paraId="295B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A9F4374">
            <w:pPr>
              <w:widowControl/>
              <w:jc w:val="center"/>
              <w:rPr>
                <w:rFonts w:hint="eastAsia" w:ascii="宋体" w:hAnsi="宋体" w:eastAsia="宋体" w:cs="宋体"/>
                <w:color w:val="auto"/>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14:paraId="7BB4461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287" w:type="dxa"/>
            <w:tcBorders>
              <w:top w:val="single" w:color="auto" w:sz="4" w:space="0"/>
              <w:left w:val="single" w:color="auto" w:sz="4" w:space="0"/>
              <w:bottom w:val="single" w:color="auto" w:sz="4" w:space="0"/>
              <w:right w:val="single" w:color="auto" w:sz="4" w:space="0"/>
            </w:tcBorders>
            <w:vAlign w:val="center"/>
          </w:tcPr>
          <w:p w14:paraId="31298B35">
            <w:pPr>
              <w:widowControl/>
              <w:spacing w:line="300" w:lineRule="atLeast"/>
              <w:jc w:val="left"/>
              <w:rPr>
                <w:rFonts w:hint="eastAsia" w:ascii="宋体" w:hAnsi="宋体" w:eastAsia="宋体" w:cs="宋体"/>
                <w:color w:val="auto"/>
                <w:sz w:val="24"/>
                <w:szCs w:val="24"/>
              </w:rPr>
            </w:pPr>
            <w:r>
              <w:rPr>
                <w:rFonts w:hint="eastAsia" w:ascii="宋体" w:hAnsi="宋体" w:eastAsia="宋体" w:cs="宋体"/>
                <w:sz w:val="24"/>
                <w:szCs w:val="24"/>
              </w:rPr>
              <w:t>项目重点难点分析、应对措施及相关的合理化建议</w:t>
            </w:r>
          </w:p>
        </w:tc>
        <w:tc>
          <w:tcPr>
            <w:tcW w:w="675" w:type="dxa"/>
            <w:tcBorders>
              <w:top w:val="single" w:color="auto" w:sz="4" w:space="0"/>
              <w:left w:val="single" w:color="auto" w:sz="4" w:space="0"/>
              <w:bottom w:val="single" w:color="auto" w:sz="4" w:space="0"/>
              <w:right w:val="single" w:color="auto" w:sz="4" w:space="0"/>
            </w:tcBorders>
            <w:vAlign w:val="center"/>
          </w:tcPr>
          <w:p w14:paraId="6CB7FBEC">
            <w:pPr>
              <w:widowControl/>
              <w:spacing w:line="30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088" w:type="dxa"/>
            <w:tcBorders>
              <w:top w:val="single" w:color="auto" w:sz="4" w:space="0"/>
              <w:left w:val="single" w:color="auto" w:sz="4" w:space="0"/>
              <w:bottom w:val="single" w:color="auto" w:sz="4" w:space="0"/>
              <w:right w:val="single" w:color="auto" w:sz="4" w:space="0"/>
            </w:tcBorders>
            <w:vAlign w:val="center"/>
          </w:tcPr>
          <w:p w14:paraId="4A5E3FE0">
            <w:pPr>
              <w:spacing w:line="300" w:lineRule="exact"/>
              <w:jc w:val="center"/>
              <w:rPr>
                <w:rFonts w:hint="eastAsia" w:ascii="宋体" w:hAnsi="宋体" w:eastAsia="宋体" w:cs="宋体"/>
                <w:color w:val="auto"/>
                <w:sz w:val="24"/>
                <w:szCs w:val="24"/>
              </w:rPr>
            </w:pPr>
            <w:r>
              <w:rPr>
                <w:rFonts w:hint="eastAsia" w:ascii="宋体" w:hAnsi="宋体" w:eastAsia="宋体" w:cs="宋体"/>
                <w:sz w:val="24"/>
                <w:szCs w:val="24"/>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490CAA69">
            <w:pPr>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一）评审内容：</w:t>
            </w:r>
          </w:p>
          <w:p w14:paraId="05F254C4">
            <w:pPr>
              <w:spacing w:line="3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投标人须针对本项目需求提供对项目重点难点分析、应对措施及相关的合理化建议，包括下述内容：项目重点难点分析、应对措施、相关的合理化建议。</w:t>
            </w:r>
          </w:p>
          <w:p w14:paraId="3CAA95C8">
            <w:pPr>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满足以上3项要求得6分，满足以上2项要求得4分，满足以上1项要求得2分，其他不得分。</w:t>
            </w:r>
          </w:p>
          <w:p w14:paraId="7740E46E">
            <w:pPr>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（二）在此基础上，按照下列要求进行加分：</w:t>
            </w:r>
          </w:p>
          <w:p w14:paraId="0F885ACE">
            <w:pPr>
              <w:spacing w:line="3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1.从前瞻性、系统性角度研判重难点；</w:t>
            </w:r>
          </w:p>
          <w:p w14:paraId="7D105AA3">
            <w:pPr>
              <w:spacing w:line="3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2.从可实施、可操作的角度提出应对措施；</w:t>
            </w:r>
          </w:p>
          <w:p w14:paraId="774CD0EA">
            <w:pPr>
              <w:spacing w:line="280" w:lineRule="exact"/>
              <w:rPr>
                <w:rFonts w:hint="eastAsia" w:ascii="宋体" w:hAnsi="宋体" w:eastAsia="宋体" w:cs="宋体"/>
                <w:color w:val="auto"/>
                <w:sz w:val="24"/>
                <w:szCs w:val="24"/>
              </w:rPr>
            </w:pPr>
            <w:r>
              <w:rPr>
                <w:rFonts w:hint="eastAsia" w:ascii="宋体" w:hAnsi="宋体" w:eastAsia="宋体" w:cs="宋体"/>
                <w:color w:val="000000"/>
                <w:sz w:val="24"/>
                <w:szCs w:val="24"/>
              </w:rPr>
              <w:t>每体现一点内容加2分，最多加4分。</w:t>
            </w:r>
          </w:p>
        </w:tc>
      </w:tr>
      <w:tr w14:paraId="5584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184CB5B1">
            <w:pPr>
              <w:widowControl/>
              <w:jc w:val="center"/>
              <w:rPr>
                <w:rFonts w:hint="eastAsia" w:ascii="宋体" w:hAnsi="宋体" w:eastAsia="宋体" w:cs="宋体"/>
                <w:color w:val="auto"/>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14:paraId="5B6031C9">
            <w:pPr>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3</w:t>
            </w:r>
          </w:p>
        </w:tc>
        <w:tc>
          <w:tcPr>
            <w:tcW w:w="1287" w:type="dxa"/>
            <w:tcBorders>
              <w:top w:val="single" w:color="auto" w:sz="4" w:space="0"/>
              <w:left w:val="single" w:color="auto" w:sz="4" w:space="0"/>
              <w:bottom w:val="single" w:color="auto" w:sz="4" w:space="0"/>
              <w:right w:val="single" w:color="auto" w:sz="4" w:space="0"/>
            </w:tcBorders>
            <w:vAlign w:val="center"/>
          </w:tcPr>
          <w:p w14:paraId="571599A5">
            <w:pPr>
              <w:widowControl/>
              <w:spacing w:line="300" w:lineRule="atLeast"/>
              <w:jc w:val="center"/>
              <w:rPr>
                <w:rFonts w:hint="eastAsia" w:ascii="宋体" w:hAnsi="宋体" w:eastAsia="宋体" w:cs="宋体"/>
                <w:sz w:val="24"/>
                <w:szCs w:val="24"/>
              </w:rPr>
            </w:pPr>
            <w:r>
              <w:rPr>
                <w:rFonts w:hint="eastAsia" w:ascii="宋体" w:hAnsi="宋体" w:eastAsia="宋体" w:cs="宋体"/>
                <w:sz w:val="24"/>
                <w:szCs w:val="24"/>
              </w:rPr>
              <w:t>质量（完成时间、可行性）保障措施及方案</w:t>
            </w:r>
          </w:p>
        </w:tc>
        <w:tc>
          <w:tcPr>
            <w:tcW w:w="675" w:type="dxa"/>
            <w:tcBorders>
              <w:top w:val="single" w:color="auto" w:sz="4" w:space="0"/>
              <w:left w:val="single" w:color="auto" w:sz="4" w:space="0"/>
              <w:bottom w:val="single" w:color="auto" w:sz="4" w:space="0"/>
              <w:right w:val="single" w:color="auto" w:sz="4" w:space="0"/>
            </w:tcBorders>
            <w:vAlign w:val="center"/>
          </w:tcPr>
          <w:p w14:paraId="6E122C65">
            <w:pPr>
              <w:widowControl/>
              <w:spacing w:line="300" w:lineRule="atLeast"/>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p>
        </w:tc>
        <w:tc>
          <w:tcPr>
            <w:tcW w:w="1088" w:type="dxa"/>
            <w:tcBorders>
              <w:top w:val="single" w:color="auto" w:sz="4" w:space="0"/>
              <w:left w:val="single" w:color="auto" w:sz="4" w:space="0"/>
              <w:bottom w:val="single" w:color="auto" w:sz="4" w:space="0"/>
              <w:right w:val="single" w:color="auto" w:sz="4" w:space="0"/>
            </w:tcBorders>
            <w:vAlign w:val="center"/>
          </w:tcPr>
          <w:p w14:paraId="0036675A">
            <w:pPr>
              <w:jc w:val="center"/>
              <w:rPr>
                <w:rFonts w:hint="eastAsia" w:ascii="宋体" w:hAnsi="宋体" w:eastAsia="宋体" w:cs="宋体"/>
                <w:sz w:val="24"/>
                <w:szCs w:val="24"/>
              </w:rPr>
            </w:pPr>
            <w:r>
              <w:rPr>
                <w:rFonts w:hint="eastAsia" w:ascii="宋体" w:hAnsi="宋体" w:eastAsia="宋体" w:cs="宋体"/>
                <w:sz w:val="24"/>
                <w:szCs w:val="24"/>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0386EAA1">
            <w:pPr>
              <w:numPr>
                <w:ilvl w:val="0"/>
                <w:numId w:val="2"/>
              </w:numPr>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评审内容：</w:t>
            </w:r>
          </w:p>
          <w:p w14:paraId="69E3D4C3">
            <w:pPr>
              <w:spacing w:line="3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投标文件中对项目的质量和进度保障措施是否科学合理可行。</w:t>
            </w:r>
          </w:p>
          <w:p w14:paraId="64663878">
            <w:pPr>
              <w:numPr>
                <w:ilvl w:val="0"/>
                <w:numId w:val="2"/>
              </w:numPr>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评分依据：</w:t>
            </w:r>
          </w:p>
          <w:p w14:paraId="39D36340">
            <w:pPr>
              <w:spacing w:line="280" w:lineRule="exact"/>
              <w:rPr>
                <w:rFonts w:hint="eastAsia" w:ascii="宋体" w:hAnsi="宋体" w:eastAsia="宋体" w:cs="宋体"/>
                <w:b/>
                <w:bCs/>
                <w:sz w:val="24"/>
                <w:szCs w:val="24"/>
              </w:rPr>
            </w:pPr>
            <w:r>
              <w:rPr>
                <w:rFonts w:hint="eastAsia" w:ascii="宋体" w:hAnsi="宋体" w:eastAsia="宋体" w:cs="宋体"/>
                <w:color w:val="000000"/>
                <w:sz w:val="24"/>
                <w:szCs w:val="24"/>
              </w:rPr>
              <w:t>根据投标文件响应情况进行横向比较，分档评分：优得15分，良得10分，合格得5分。未提供本项响应内容的不得分。</w:t>
            </w:r>
          </w:p>
        </w:tc>
      </w:tr>
      <w:tr w14:paraId="347D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7F46BE21">
            <w:pPr>
              <w:widowControl/>
              <w:jc w:val="center"/>
              <w:rPr>
                <w:rFonts w:hint="eastAsia" w:ascii="宋体" w:hAnsi="宋体" w:eastAsia="宋体" w:cs="宋体"/>
                <w:color w:val="auto"/>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14:paraId="441DF0EE">
            <w:pPr>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rPr>
              <w:t>4</w:t>
            </w:r>
          </w:p>
        </w:tc>
        <w:tc>
          <w:tcPr>
            <w:tcW w:w="1287" w:type="dxa"/>
            <w:tcBorders>
              <w:top w:val="single" w:color="auto" w:sz="4" w:space="0"/>
              <w:left w:val="single" w:color="auto" w:sz="4" w:space="0"/>
              <w:bottom w:val="single" w:color="auto" w:sz="4" w:space="0"/>
              <w:right w:val="single" w:color="auto" w:sz="4" w:space="0"/>
            </w:tcBorders>
            <w:vAlign w:val="center"/>
          </w:tcPr>
          <w:p w14:paraId="2D3D8966">
            <w:pPr>
              <w:widowControl/>
              <w:spacing w:line="300" w:lineRule="atLeast"/>
              <w:jc w:val="center"/>
              <w:rPr>
                <w:rFonts w:hint="eastAsia" w:ascii="宋体" w:hAnsi="宋体" w:eastAsia="宋体" w:cs="宋体"/>
                <w:sz w:val="24"/>
                <w:szCs w:val="24"/>
              </w:rPr>
            </w:pPr>
            <w:r>
              <w:rPr>
                <w:rFonts w:hint="eastAsia" w:ascii="宋体" w:hAnsi="宋体" w:eastAsia="宋体" w:cs="宋体"/>
                <w:sz w:val="24"/>
                <w:szCs w:val="24"/>
              </w:rPr>
              <w:t>违约承诺</w:t>
            </w:r>
          </w:p>
        </w:tc>
        <w:tc>
          <w:tcPr>
            <w:tcW w:w="675" w:type="dxa"/>
            <w:tcBorders>
              <w:top w:val="single" w:color="auto" w:sz="4" w:space="0"/>
              <w:left w:val="single" w:color="auto" w:sz="4" w:space="0"/>
              <w:bottom w:val="single" w:color="auto" w:sz="4" w:space="0"/>
              <w:right w:val="single" w:color="auto" w:sz="4" w:space="0"/>
            </w:tcBorders>
            <w:vAlign w:val="center"/>
          </w:tcPr>
          <w:p w14:paraId="4CE862F6">
            <w:pPr>
              <w:widowControl/>
              <w:spacing w:line="300" w:lineRule="atLeast"/>
              <w:jc w:val="center"/>
              <w:rPr>
                <w:rFonts w:hint="eastAsia" w:ascii="宋体" w:hAnsi="宋体" w:eastAsia="宋体" w:cs="宋体"/>
                <w:sz w:val="24"/>
                <w:szCs w:val="24"/>
              </w:rPr>
            </w:pPr>
            <w:r>
              <w:rPr>
                <w:rFonts w:hint="eastAsia" w:ascii="宋体" w:hAnsi="宋体" w:eastAsia="宋体" w:cs="宋体"/>
                <w:sz w:val="24"/>
                <w:szCs w:val="24"/>
              </w:rPr>
              <w:t>5</w:t>
            </w:r>
          </w:p>
        </w:tc>
        <w:tc>
          <w:tcPr>
            <w:tcW w:w="1088" w:type="dxa"/>
            <w:tcBorders>
              <w:top w:val="single" w:color="auto" w:sz="4" w:space="0"/>
              <w:left w:val="single" w:color="auto" w:sz="4" w:space="0"/>
              <w:bottom w:val="single" w:color="auto" w:sz="4" w:space="0"/>
              <w:right w:val="single" w:color="auto" w:sz="4" w:space="0"/>
            </w:tcBorders>
            <w:vAlign w:val="center"/>
          </w:tcPr>
          <w:p w14:paraId="0F4A0099">
            <w:pPr>
              <w:jc w:val="center"/>
              <w:rPr>
                <w:rFonts w:hint="eastAsia" w:ascii="宋体" w:hAnsi="宋体" w:eastAsia="宋体" w:cs="宋体"/>
                <w:sz w:val="24"/>
                <w:szCs w:val="24"/>
              </w:rPr>
            </w:pPr>
            <w:r>
              <w:rPr>
                <w:rFonts w:hint="eastAsia" w:ascii="宋体" w:hAnsi="宋体" w:eastAsia="宋体" w:cs="宋体"/>
                <w:sz w:val="24"/>
                <w:szCs w:val="24"/>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322D24E6">
            <w:pPr>
              <w:numPr>
                <w:ilvl w:val="0"/>
                <w:numId w:val="3"/>
              </w:numPr>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评审内容：</w:t>
            </w:r>
          </w:p>
          <w:p w14:paraId="08ED6001">
            <w:pPr>
              <w:spacing w:line="3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投标文件中对违约承诺内容，若出现违约现象，投标人承诺承担相应违约责任。</w:t>
            </w:r>
          </w:p>
          <w:p w14:paraId="1588AEAD">
            <w:pPr>
              <w:numPr>
                <w:ilvl w:val="0"/>
                <w:numId w:val="3"/>
              </w:numPr>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评分依据：</w:t>
            </w:r>
          </w:p>
          <w:p w14:paraId="7AE83E0E">
            <w:pPr>
              <w:widowControl/>
              <w:spacing w:line="360" w:lineRule="exact"/>
              <w:jc w:val="left"/>
              <w:rPr>
                <w:rFonts w:hint="eastAsia" w:ascii="宋体" w:hAnsi="宋体" w:eastAsia="宋体" w:cs="宋体"/>
                <w:b/>
                <w:bCs/>
                <w:sz w:val="24"/>
                <w:szCs w:val="24"/>
              </w:rPr>
            </w:pPr>
            <w:r>
              <w:rPr>
                <w:rFonts w:hint="eastAsia" w:ascii="宋体" w:hAnsi="宋体" w:eastAsia="宋体" w:cs="宋体"/>
                <w:color w:val="000000"/>
                <w:sz w:val="24"/>
                <w:szCs w:val="24"/>
              </w:rPr>
              <w:t>根据投标文件响应情况进行横向比较，分档评分：优得5分，良得3分，合格得1分。未提供本项响应内容的不得分。</w:t>
            </w:r>
          </w:p>
        </w:tc>
      </w:tr>
      <w:tr w14:paraId="63B3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4E99A7FC">
            <w:pPr>
              <w:widowControl/>
              <w:jc w:val="center"/>
              <w:rPr>
                <w:rFonts w:hint="eastAsia" w:ascii="宋体" w:hAnsi="宋体" w:eastAsia="宋体" w:cs="宋体"/>
                <w:color w:val="auto"/>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14:paraId="4945F9DA">
            <w:pPr>
              <w:jc w:val="center"/>
              <w:rPr>
                <w:rFonts w:hint="eastAsia" w:ascii="宋体" w:hAnsi="宋体" w:eastAsia="宋体" w:cs="宋体"/>
                <w:color w:val="auto"/>
                <w:sz w:val="24"/>
                <w:szCs w:val="24"/>
                <w:lang w:val="en-US" w:eastAsia="zh-CN"/>
              </w:rPr>
            </w:pPr>
            <w:r>
              <w:rPr>
                <w:rFonts w:hint="eastAsia" w:ascii="宋体" w:hAnsi="宋体" w:eastAsia="宋体" w:cs="宋体"/>
                <w:sz w:val="24"/>
                <w:szCs w:val="24"/>
              </w:rPr>
              <w:t>5</w:t>
            </w:r>
          </w:p>
        </w:tc>
        <w:tc>
          <w:tcPr>
            <w:tcW w:w="1287" w:type="dxa"/>
            <w:tcBorders>
              <w:top w:val="single" w:color="auto" w:sz="4" w:space="0"/>
              <w:left w:val="single" w:color="auto" w:sz="4" w:space="0"/>
              <w:bottom w:val="single" w:color="auto" w:sz="4" w:space="0"/>
              <w:right w:val="single" w:color="auto" w:sz="4" w:space="0"/>
            </w:tcBorders>
            <w:vAlign w:val="center"/>
          </w:tcPr>
          <w:p w14:paraId="440B2E03">
            <w:pPr>
              <w:widowControl/>
              <w:spacing w:line="300" w:lineRule="atLeast"/>
              <w:jc w:val="center"/>
              <w:rPr>
                <w:rFonts w:hint="eastAsia" w:ascii="宋体" w:hAnsi="宋体" w:eastAsia="宋体" w:cs="宋体"/>
                <w:sz w:val="24"/>
                <w:szCs w:val="24"/>
              </w:rPr>
            </w:pPr>
            <w:r>
              <w:rPr>
                <w:rFonts w:hint="eastAsia" w:ascii="宋体" w:hAnsi="宋体" w:eastAsia="宋体" w:cs="宋体"/>
                <w:color w:val="000000"/>
                <w:sz w:val="24"/>
                <w:szCs w:val="24"/>
              </w:rPr>
              <w:t>投标文件编制质量</w:t>
            </w:r>
          </w:p>
        </w:tc>
        <w:tc>
          <w:tcPr>
            <w:tcW w:w="675" w:type="dxa"/>
            <w:tcBorders>
              <w:top w:val="single" w:color="auto" w:sz="4" w:space="0"/>
              <w:left w:val="single" w:color="auto" w:sz="4" w:space="0"/>
              <w:bottom w:val="single" w:color="auto" w:sz="4" w:space="0"/>
              <w:right w:val="single" w:color="auto" w:sz="4" w:space="0"/>
            </w:tcBorders>
            <w:vAlign w:val="center"/>
          </w:tcPr>
          <w:p w14:paraId="6ADF1353">
            <w:pPr>
              <w:widowControl/>
              <w:spacing w:line="300" w:lineRule="atLeast"/>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088" w:type="dxa"/>
            <w:tcBorders>
              <w:top w:val="single" w:color="auto" w:sz="4" w:space="0"/>
              <w:left w:val="single" w:color="auto" w:sz="4" w:space="0"/>
              <w:bottom w:val="single" w:color="auto" w:sz="4" w:space="0"/>
              <w:right w:val="single" w:color="auto" w:sz="4" w:space="0"/>
            </w:tcBorders>
            <w:vAlign w:val="center"/>
          </w:tcPr>
          <w:p w14:paraId="1DF05243">
            <w:pPr>
              <w:jc w:val="center"/>
              <w:rPr>
                <w:rFonts w:hint="eastAsia" w:ascii="宋体" w:hAnsi="宋体" w:eastAsia="宋体" w:cs="宋体"/>
                <w:sz w:val="24"/>
                <w:szCs w:val="24"/>
              </w:rPr>
            </w:pPr>
            <w:r>
              <w:rPr>
                <w:rFonts w:hint="eastAsia" w:ascii="宋体" w:hAnsi="宋体" w:eastAsia="宋体" w:cs="宋体"/>
                <w:sz w:val="24"/>
                <w:szCs w:val="24"/>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1ACB073B">
            <w:pPr>
              <w:numPr>
                <w:ilvl w:val="0"/>
                <w:numId w:val="4"/>
              </w:numPr>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评审内容：</w:t>
            </w:r>
          </w:p>
          <w:p w14:paraId="79E11F7F">
            <w:pPr>
              <w:spacing w:line="3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对投标文件清晰、</w:t>
            </w:r>
            <w:r>
              <w:rPr>
                <w:rFonts w:hint="eastAsia" w:ascii="宋体" w:hAnsi="宋体" w:eastAsia="宋体" w:cs="宋体"/>
                <w:color w:val="000000"/>
                <w:sz w:val="24"/>
                <w:szCs w:val="24"/>
                <w:lang w:eastAsia="zh-CN"/>
              </w:rPr>
              <w:t>目录及内容</w:t>
            </w:r>
            <w:r>
              <w:rPr>
                <w:rFonts w:hint="eastAsia" w:ascii="宋体" w:hAnsi="宋体" w:eastAsia="宋体" w:cs="宋体"/>
                <w:color w:val="000000"/>
                <w:sz w:val="24"/>
                <w:szCs w:val="24"/>
              </w:rPr>
              <w:t>完整、</w:t>
            </w:r>
            <w:r>
              <w:rPr>
                <w:rFonts w:hint="eastAsia" w:ascii="宋体" w:hAnsi="宋体" w:eastAsia="宋体" w:cs="宋体"/>
                <w:color w:val="000000"/>
                <w:sz w:val="24"/>
                <w:szCs w:val="24"/>
                <w:lang w:eastAsia="zh-CN"/>
              </w:rPr>
              <w:t>参数材料</w:t>
            </w:r>
            <w:r>
              <w:rPr>
                <w:rFonts w:hint="eastAsia" w:ascii="宋体" w:hAnsi="宋体" w:eastAsia="宋体" w:cs="宋体"/>
                <w:color w:val="000000"/>
                <w:sz w:val="24"/>
                <w:szCs w:val="24"/>
              </w:rPr>
              <w:t>无缺漏项、调理性横向比较。</w:t>
            </w:r>
          </w:p>
          <w:p w14:paraId="4C824CC3">
            <w:pPr>
              <w:numPr>
                <w:ilvl w:val="0"/>
                <w:numId w:val="4"/>
              </w:numPr>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评分依据：</w:t>
            </w:r>
          </w:p>
          <w:p w14:paraId="093CD785">
            <w:pPr>
              <w:pStyle w:val="12"/>
              <w:spacing w:line="360" w:lineRule="exact"/>
              <w:rPr>
                <w:rFonts w:hint="eastAsia" w:ascii="宋体" w:hAnsi="宋体" w:eastAsia="宋体" w:cs="宋体"/>
                <w:b/>
                <w:bCs/>
                <w:sz w:val="24"/>
                <w:szCs w:val="24"/>
              </w:rPr>
            </w:pPr>
            <w:r>
              <w:rPr>
                <w:rFonts w:hint="eastAsia" w:ascii="宋体" w:hAnsi="宋体" w:eastAsia="宋体" w:cs="宋体"/>
                <w:color w:val="000000"/>
                <w:sz w:val="24"/>
                <w:szCs w:val="24"/>
              </w:rPr>
              <w:t>质量高得5分，质量一般2分，合格不得分。</w:t>
            </w:r>
          </w:p>
        </w:tc>
      </w:tr>
      <w:tr w14:paraId="202D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20B3BCB">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3</w:t>
            </w:r>
          </w:p>
        </w:tc>
        <w:tc>
          <w:tcPr>
            <w:tcW w:w="2830" w:type="dxa"/>
            <w:gridSpan w:val="3"/>
            <w:tcBorders>
              <w:top w:val="single" w:color="auto" w:sz="4" w:space="0"/>
              <w:left w:val="single" w:color="auto" w:sz="4" w:space="0"/>
              <w:bottom w:val="single" w:color="auto" w:sz="4" w:space="0"/>
              <w:right w:val="single" w:color="auto" w:sz="4" w:space="0"/>
            </w:tcBorders>
          </w:tcPr>
          <w:p w14:paraId="2B17A76D">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商务部分</w:t>
            </w:r>
          </w:p>
        </w:tc>
        <w:tc>
          <w:tcPr>
            <w:tcW w:w="5525" w:type="dxa"/>
            <w:gridSpan w:val="2"/>
            <w:tcBorders>
              <w:top w:val="single" w:color="auto" w:sz="4" w:space="0"/>
              <w:left w:val="single" w:color="auto" w:sz="4" w:space="0"/>
              <w:bottom w:val="single" w:color="auto" w:sz="4" w:space="0"/>
              <w:right w:val="single" w:color="auto" w:sz="4" w:space="0"/>
            </w:tcBorders>
          </w:tcPr>
          <w:p w14:paraId="60F315BF">
            <w:pPr>
              <w:jc w:val="center"/>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35</w:t>
            </w:r>
          </w:p>
        </w:tc>
      </w:tr>
      <w:tr w14:paraId="00D9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090ABFB7">
            <w:pPr>
              <w:pStyle w:val="12"/>
              <w:spacing w:line="360" w:lineRule="exact"/>
              <w:rPr>
                <w:rFonts w:hint="eastAsia" w:ascii="宋体" w:hAnsi="宋体" w:eastAsia="宋体" w:cs="宋体"/>
                <w:sz w:val="24"/>
                <w:szCs w:val="24"/>
              </w:rPr>
            </w:pPr>
          </w:p>
        </w:tc>
        <w:tc>
          <w:tcPr>
            <w:tcW w:w="868" w:type="dxa"/>
            <w:tcBorders>
              <w:top w:val="single" w:color="auto" w:sz="4" w:space="0"/>
              <w:left w:val="single" w:color="auto" w:sz="4" w:space="0"/>
              <w:bottom w:val="single" w:color="auto" w:sz="4" w:space="0"/>
              <w:right w:val="single" w:color="auto" w:sz="4" w:space="0"/>
            </w:tcBorders>
          </w:tcPr>
          <w:p w14:paraId="28D53BB7">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序号</w:t>
            </w:r>
          </w:p>
        </w:tc>
        <w:tc>
          <w:tcPr>
            <w:tcW w:w="1287" w:type="dxa"/>
            <w:tcBorders>
              <w:top w:val="single" w:color="auto" w:sz="4" w:space="0"/>
              <w:left w:val="single" w:color="auto" w:sz="4" w:space="0"/>
              <w:bottom w:val="single" w:color="auto" w:sz="4" w:space="0"/>
              <w:right w:val="single" w:color="auto" w:sz="4" w:space="0"/>
            </w:tcBorders>
          </w:tcPr>
          <w:p w14:paraId="1FA4CC1A">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评分因素</w:t>
            </w:r>
          </w:p>
        </w:tc>
        <w:tc>
          <w:tcPr>
            <w:tcW w:w="675" w:type="dxa"/>
            <w:tcBorders>
              <w:top w:val="single" w:color="auto" w:sz="4" w:space="0"/>
              <w:left w:val="single" w:color="auto" w:sz="4" w:space="0"/>
              <w:bottom w:val="single" w:color="auto" w:sz="4" w:space="0"/>
              <w:right w:val="single" w:color="auto" w:sz="4" w:space="0"/>
            </w:tcBorders>
          </w:tcPr>
          <w:p w14:paraId="23DA9209">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权重</w:t>
            </w:r>
          </w:p>
        </w:tc>
        <w:tc>
          <w:tcPr>
            <w:tcW w:w="1088" w:type="dxa"/>
            <w:tcBorders>
              <w:top w:val="single" w:color="auto" w:sz="4" w:space="0"/>
              <w:left w:val="single" w:color="auto" w:sz="4" w:space="0"/>
              <w:bottom w:val="single" w:color="auto" w:sz="4" w:space="0"/>
              <w:right w:val="single" w:color="auto" w:sz="4" w:space="0"/>
            </w:tcBorders>
          </w:tcPr>
          <w:p w14:paraId="4D05DEED">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评分方式</w:t>
            </w:r>
          </w:p>
        </w:tc>
        <w:tc>
          <w:tcPr>
            <w:tcW w:w="4437" w:type="dxa"/>
            <w:tcBorders>
              <w:top w:val="single" w:color="auto" w:sz="4" w:space="0"/>
              <w:left w:val="single" w:color="auto" w:sz="4" w:space="0"/>
              <w:bottom w:val="single" w:color="auto" w:sz="4" w:space="0"/>
              <w:right w:val="single" w:color="auto" w:sz="4" w:space="0"/>
            </w:tcBorders>
          </w:tcPr>
          <w:p w14:paraId="745498FB">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评分准则</w:t>
            </w:r>
          </w:p>
        </w:tc>
      </w:tr>
      <w:tr w14:paraId="40A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04FA6FC4">
            <w:pPr>
              <w:pStyle w:val="12"/>
              <w:spacing w:line="360" w:lineRule="exact"/>
              <w:rPr>
                <w:rFonts w:hint="eastAsia" w:ascii="宋体" w:hAnsi="宋体" w:eastAsia="宋体" w:cs="宋体"/>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14:paraId="70242976">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1</w:t>
            </w:r>
          </w:p>
        </w:tc>
        <w:tc>
          <w:tcPr>
            <w:tcW w:w="1287" w:type="dxa"/>
            <w:tcBorders>
              <w:top w:val="single" w:color="auto" w:sz="4" w:space="0"/>
              <w:left w:val="single" w:color="auto" w:sz="4" w:space="0"/>
              <w:bottom w:val="single" w:color="auto" w:sz="4" w:space="0"/>
              <w:right w:val="single" w:color="auto" w:sz="4" w:space="0"/>
            </w:tcBorders>
            <w:vAlign w:val="center"/>
          </w:tcPr>
          <w:p w14:paraId="5CA775E8">
            <w:pPr>
              <w:pStyle w:val="12"/>
              <w:spacing w:line="360" w:lineRule="exact"/>
              <w:rPr>
                <w:rFonts w:hint="eastAsia" w:ascii="宋体" w:hAnsi="宋体" w:eastAsia="宋体" w:cs="宋体"/>
                <w:sz w:val="24"/>
                <w:szCs w:val="24"/>
                <w:lang w:eastAsia="zh-CN"/>
              </w:rPr>
            </w:pPr>
            <w:r>
              <w:rPr>
                <w:rFonts w:hint="eastAsia" w:ascii="宋体" w:hAnsi="宋体" w:eastAsia="宋体" w:cs="宋体"/>
                <w:color w:val="000000"/>
                <w:sz w:val="24"/>
                <w:szCs w:val="24"/>
              </w:rPr>
              <w:t>项目人员配置情况</w:t>
            </w:r>
          </w:p>
        </w:tc>
        <w:tc>
          <w:tcPr>
            <w:tcW w:w="675" w:type="dxa"/>
            <w:tcBorders>
              <w:top w:val="single" w:color="auto" w:sz="4" w:space="0"/>
              <w:left w:val="single" w:color="auto" w:sz="4" w:space="0"/>
              <w:bottom w:val="single" w:color="auto" w:sz="4" w:space="0"/>
              <w:right w:val="single" w:color="auto" w:sz="4" w:space="0"/>
            </w:tcBorders>
            <w:vAlign w:val="center"/>
          </w:tcPr>
          <w:p w14:paraId="092B8FB4">
            <w:pPr>
              <w:pStyle w:val="12"/>
              <w:spacing w:line="36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088" w:type="dxa"/>
            <w:tcBorders>
              <w:top w:val="single" w:color="auto" w:sz="4" w:space="0"/>
              <w:left w:val="single" w:color="auto" w:sz="4" w:space="0"/>
              <w:bottom w:val="single" w:color="auto" w:sz="4" w:space="0"/>
              <w:right w:val="single" w:color="auto" w:sz="4" w:space="0"/>
            </w:tcBorders>
            <w:vAlign w:val="center"/>
          </w:tcPr>
          <w:p w14:paraId="79E3DD90">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42ACED3F">
            <w:pPr>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（一）评审内容：</w:t>
            </w:r>
          </w:p>
          <w:p w14:paraId="7F166213">
            <w:pPr>
              <w:spacing w:line="3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 本项目要求版画、书籍装帧相关专业本科学位或以上，满足得5分。</w:t>
            </w:r>
          </w:p>
          <w:p w14:paraId="55553F6B">
            <w:pPr>
              <w:pStyle w:val="12"/>
              <w:spacing w:line="360" w:lineRule="exact"/>
              <w:rPr>
                <w:rFonts w:hint="eastAsia" w:ascii="宋体" w:hAnsi="宋体" w:eastAsia="宋体" w:cs="宋体"/>
                <w:sz w:val="24"/>
                <w:szCs w:val="24"/>
              </w:rPr>
            </w:pPr>
            <w:r>
              <w:rPr>
                <w:rFonts w:hint="eastAsia" w:ascii="宋体" w:hAnsi="宋体" w:eastAsia="宋体" w:cs="宋体"/>
                <w:color w:val="000000"/>
                <w:sz w:val="24"/>
                <w:szCs w:val="24"/>
              </w:rPr>
              <w:t>2.具备儿童文学插画设计、绘本创作或设计或纸上作品创作教学经验的，满足得3分</w:t>
            </w:r>
          </w:p>
        </w:tc>
      </w:tr>
      <w:tr w14:paraId="0D8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F7BBA32">
            <w:pPr>
              <w:pStyle w:val="12"/>
              <w:spacing w:line="360" w:lineRule="exact"/>
              <w:rPr>
                <w:rFonts w:hint="eastAsia" w:ascii="宋体" w:hAnsi="宋体" w:eastAsia="宋体" w:cs="宋体"/>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14:paraId="4D6E1412">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2</w:t>
            </w:r>
          </w:p>
        </w:tc>
        <w:tc>
          <w:tcPr>
            <w:tcW w:w="1287" w:type="dxa"/>
            <w:tcBorders>
              <w:top w:val="single" w:color="auto" w:sz="4" w:space="0"/>
              <w:left w:val="single" w:color="auto" w:sz="4" w:space="0"/>
              <w:bottom w:val="single" w:color="auto" w:sz="4" w:space="0"/>
              <w:right w:val="single" w:color="auto" w:sz="4" w:space="0"/>
            </w:tcBorders>
            <w:vAlign w:val="center"/>
          </w:tcPr>
          <w:p w14:paraId="5880C3EC">
            <w:pPr>
              <w:pStyle w:val="12"/>
              <w:spacing w:line="360" w:lineRule="exact"/>
              <w:rPr>
                <w:rFonts w:hint="eastAsia" w:ascii="宋体" w:hAnsi="宋体" w:eastAsia="宋体" w:cs="宋体"/>
                <w:sz w:val="24"/>
                <w:szCs w:val="24"/>
              </w:rPr>
            </w:pPr>
            <w:r>
              <w:rPr>
                <w:rFonts w:hint="eastAsia" w:ascii="宋体" w:hAnsi="宋体" w:eastAsia="宋体" w:cs="宋体"/>
                <w:color w:val="000000"/>
                <w:sz w:val="24"/>
                <w:szCs w:val="24"/>
              </w:rPr>
              <w:t>同类项目业绩情况</w:t>
            </w:r>
          </w:p>
        </w:tc>
        <w:tc>
          <w:tcPr>
            <w:tcW w:w="675" w:type="dxa"/>
            <w:tcBorders>
              <w:top w:val="single" w:color="auto" w:sz="4" w:space="0"/>
              <w:left w:val="single" w:color="auto" w:sz="4" w:space="0"/>
              <w:bottom w:val="single" w:color="auto" w:sz="4" w:space="0"/>
              <w:right w:val="single" w:color="auto" w:sz="4" w:space="0"/>
            </w:tcBorders>
            <w:vAlign w:val="center"/>
          </w:tcPr>
          <w:p w14:paraId="10F2DA86">
            <w:pPr>
              <w:pStyle w:val="12"/>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088" w:type="dxa"/>
            <w:tcBorders>
              <w:top w:val="single" w:color="auto" w:sz="4" w:space="0"/>
              <w:left w:val="single" w:color="auto" w:sz="4" w:space="0"/>
              <w:bottom w:val="single" w:color="auto" w:sz="4" w:space="0"/>
              <w:right w:val="single" w:color="auto" w:sz="4" w:space="0"/>
            </w:tcBorders>
            <w:vAlign w:val="center"/>
          </w:tcPr>
          <w:p w14:paraId="68B160A3">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517A4F3F">
            <w:pPr>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（一）评分内容：</w:t>
            </w:r>
          </w:p>
          <w:p w14:paraId="5C3EFD0D">
            <w:pPr>
              <w:spacing w:line="3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考察自2022年1月1日至投标截止之日（合同签订时间为准），投标人儿童文学插画设计、绘本创作或设计或纸上作品创作项目经验项目业绩，每提供一个项目得2分，最多得12分。</w:t>
            </w:r>
          </w:p>
          <w:p w14:paraId="777EBB67">
            <w:pPr>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（二）评分依据：</w:t>
            </w:r>
          </w:p>
          <w:p w14:paraId="1290A672">
            <w:pPr>
              <w:pStyle w:val="12"/>
              <w:spacing w:line="360" w:lineRule="exact"/>
              <w:rPr>
                <w:rFonts w:hint="eastAsia" w:ascii="宋体" w:hAnsi="宋体" w:eastAsia="宋体" w:cs="宋体"/>
                <w:sz w:val="24"/>
                <w:szCs w:val="24"/>
              </w:rPr>
            </w:pPr>
            <w:r>
              <w:rPr>
                <w:rFonts w:hint="eastAsia" w:ascii="宋体" w:hAnsi="宋体" w:eastAsia="宋体" w:cs="宋体"/>
                <w:color w:val="000000"/>
                <w:sz w:val="24"/>
                <w:szCs w:val="24"/>
              </w:rPr>
              <w:t>提供合同关键页复印件（含签订合同双方的单位名称、主要服务内容、合同项目名称与含签订合同双方的落款盖章、签订日期的关键页），通过合同关键页无法判断是否得分的，还需同时提供能证明得分的其它证明资料，如项目策划案或合同采购人出具的证明文件等。未提供或提供不清晰的不得分。</w:t>
            </w:r>
          </w:p>
        </w:tc>
      </w:tr>
      <w:tr w14:paraId="4F7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539C051">
            <w:pPr>
              <w:pStyle w:val="12"/>
              <w:spacing w:line="360" w:lineRule="exact"/>
              <w:rPr>
                <w:rFonts w:hint="eastAsia" w:ascii="宋体" w:hAnsi="宋体" w:eastAsia="宋体" w:cs="宋体"/>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14:paraId="74A6A3E6">
            <w:pPr>
              <w:pStyle w:val="12"/>
              <w:spacing w:line="360" w:lineRule="exact"/>
              <w:rPr>
                <w:rFonts w:hint="eastAsia" w:ascii="宋体" w:hAnsi="宋体" w:eastAsia="宋体" w:cs="宋体"/>
                <w:sz w:val="24"/>
                <w:szCs w:val="24"/>
                <w:lang w:eastAsia="zh-CN"/>
              </w:rPr>
            </w:pPr>
            <w:r>
              <w:rPr>
                <w:rFonts w:hint="eastAsia" w:ascii="宋体" w:hAnsi="宋体" w:eastAsia="宋体" w:cs="宋体"/>
                <w:sz w:val="24"/>
                <w:szCs w:val="24"/>
              </w:rPr>
              <w:t>3</w:t>
            </w:r>
          </w:p>
        </w:tc>
        <w:tc>
          <w:tcPr>
            <w:tcW w:w="1287" w:type="dxa"/>
            <w:tcBorders>
              <w:top w:val="single" w:color="auto" w:sz="4" w:space="0"/>
              <w:left w:val="single" w:color="auto" w:sz="4" w:space="0"/>
              <w:bottom w:val="single" w:color="auto" w:sz="4" w:space="0"/>
              <w:right w:val="single" w:color="auto" w:sz="4" w:space="0"/>
            </w:tcBorders>
            <w:vAlign w:val="center"/>
          </w:tcPr>
          <w:p w14:paraId="795944BF">
            <w:pPr>
              <w:pStyle w:val="12"/>
              <w:spacing w:line="360" w:lineRule="exact"/>
              <w:rPr>
                <w:rFonts w:hint="eastAsia" w:ascii="宋体" w:hAnsi="宋体" w:eastAsia="宋体" w:cs="宋体"/>
                <w:sz w:val="24"/>
                <w:szCs w:val="24"/>
              </w:rPr>
            </w:pPr>
            <w:r>
              <w:rPr>
                <w:rFonts w:hint="eastAsia" w:ascii="宋体" w:hAnsi="宋体" w:eastAsia="宋体" w:cs="宋体"/>
                <w:color w:val="000000"/>
                <w:sz w:val="24"/>
                <w:szCs w:val="24"/>
              </w:rPr>
              <w:t>获奖情况</w:t>
            </w:r>
          </w:p>
        </w:tc>
        <w:tc>
          <w:tcPr>
            <w:tcW w:w="675" w:type="dxa"/>
            <w:tcBorders>
              <w:top w:val="single" w:color="auto" w:sz="4" w:space="0"/>
              <w:left w:val="single" w:color="auto" w:sz="4" w:space="0"/>
              <w:bottom w:val="single" w:color="auto" w:sz="4" w:space="0"/>
              <w:right w:val="single" w:color="auto" w:sz="4" w:space="0"/>
            </w:tcBorders>
            <w:vAlign w:val="center"/>
          </w:tcPr>
          <w:p w14:paraId="0F9A86EB">
            <w:pPr>
              <w:pStyle w:val="12"/>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088" w:type="dxa"/>
            <w:tcBorders>
              <w:top w:val="single" w:color="auto" w:sz="4" w:space="0"/>
              <w:left w:val="single" w:color="auto" w:sz="4" w:space="0"/>
              <w:bottom w:val="single" w:color="auto" w:sz="4" w:space="0"/>
              <w:right w:val="single" w:color="auto" w:sz="4" w:space="0"/>
            </w:tcBorders>
            <w:vAlign w:val="center"/>
          </w:tcPr>
          <w:p w14:paraId="224D7AFB">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5EDA4F5B">
            <w:pPr>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（一）评分内容：</w:t>
            </w:r>
          </w:p>
          <w:p w14:paraId="78233238">
            <w:pPr>
              <w:spacing w:line="3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考察投标人自20</w:t>
            </w:r>
            <w:r>
              <w:rPr>
                <w:rFonts w:hint="eastAsia" w:ascii="宋体" w:hAnsi="宋体" w:eastAsia="宋体" w:cs="宋体"/>
                <w:color w:val="000000"/>
                <w:sz w:val="24"/>
                <w:szCs w:val="24"/>
                <w:lang w:val="en-US" w:eastAsia="zh-CN"/>
              </w:rPr>
              <w:t>22</w:t>
            </w:r>
            <w:r>
              <w:rPr>
                <w:rFonts w:hint="eastAsia" w:ascii="宋体" w:hAnsi="宋体" w:eastAsia="宋体" w:cs="宋体"/>
                <w:color w:val="000000"/>
                <w:sz w:val="24"/>
                <w:szCs w:val="24"/>
              </w:rPr>
              <w:t>年1月1日（以奖项颁发时间为准）以来获得的儿童文学插画</w:t>
            </w:r>
            <w:bookmarkStart w:id="22" w:name="_GoBack"/>
            <w:bookmarkEnd w:id="22"/>
            <w:r>
              <w:rPr>
                <w:rFonts w:hint="eastAsia" w:ascii="宋体" w:hAnsi="宋体" w:eastAsia="宋体" w:cs="宋体"/>
                <w:color w:val="000000"/>
                <w:sz w:val="24"/>
                <w:szCs w:val="24"/>
              </w:rPr>
              <w:t>设计、绘本创作或设计或纸上作品创作相关荣誉或奖项：</w:t>
            </w:r>
          </w:p>
          <w:p w14:paraId="794A7837">
            <w:pPr>
              <w:pStyle w:val="30"/>
              <w:numPr>
                <w:ilvl w:val="0"/>
                <w:numId w:val="5"/>
              </w:numPr>
              <w:spacing w:line="360" w:lineRule="exact"/>
              <w:ind w:lef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每提供一个国际规模荣誉或奖项得10分；</w:t>
            </w:r>
          </w:p>
          <w:p w14:paraId="38F2C925">
            <w:pPr>
              <w:pStyle w:val="30"/>
              <w:numPr>
                <w:ilvl w:val="0"/>
                <w:numId w:val="5"/>
              </w:numPr>
              <w:spacing w:line="360" w:lineRule="exact"/>
              <w:ind w:lef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每提供一个国家规模荣誉或奖项得5分；</w:t>
            </w:r>
          </w:p>
          <w:p w14:paraId="551B7153">
            <w:pPr>
              <w:pStyle w:val="30"/>
              <w:numPr>
                <w:ilvl w:val="0"/>
                <w:numId w:val="5"/>
              </w:numPr>
              <w:spacing w:line="360" w:lineRule="exact"/>
              <w:ind w:left="0"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每提供一个省级、副省级或市级规模荣誉或奖项2分；</w:t>
            </w:r>
          </w:p>
          <w:p w14:paraId="18D751AD">
            <w:pPr>
              <w:spacing w:line="3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以上三个类别累计得分，最高得15分。</w:t>
            </w:r>
          </w:p>
          <w:p w14:paraId="17650921">
            <w:pPr>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（二）评分依据：</w:t>
            </w:r>
          </w:p>
          <w:p w14:paraId="0E9AA7AF">
            <w:pPr>
              <w:pStyle w:val="12"/>
              <w:spacing w:line="360" w:lineRule="exact"/>
              <w:rPr>
                <w:rFonts w:hint="eastAsia" w:ascii="宋体" w:hAnsi="宋体" w:eastAsia="宋体" w:cs="宋体"/>
                <w:sz w:val="24"/>
                <w:szCs w:val="24"/>
              </w:rPr>
            </w:pPr>
            <w:r>
              <w:rPr>
                <w:rFonts w:hint="eastAsia" w:ascii="宋体" w:hAnsi="宋体" w:eastAsia="宋体" w:cs="宋体"/>
                <w:color w:val="000000"/>
                <w:sz w:val="24"/>
                <w:szCs w:val="24"/>
              </w:rPr>
              <w:t>要求提供奖项照片或获奖（荣誉）或官方网站截图（及其公示附件（如有））证书等证明材料复印件作为得分依据；</w:t>
            </w:r>
          </w:p>
        </w:tc>
      </w:tr>
      <w:tr w14:paraId="21A7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DE8D39E">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4</w:t>
            </w:r>
          </w:p>
        </w:tc>
        <w:tc>
          <w:tcPr>
            <w:tcW w:w="2830" w:type="dxa"/>
            <w:gridSpan w:val="3"/>
            <w:tcBorders>
              <w:top w:val="single" w:color="auto" w:sz="4" w:space="0"/>
              <w:left w:val="single" w:color="auto" w:sz="4" w:space="0"/>
              <w:bottom w:val="single" w:color="auto" w:sz="4" w:space="0"/>
            </w:tcBorders>
          </w:tcPr>
          <w:p w14:paraId="6509D384">
            <w:pPr>
              <w:pStyle w:val="12"/>
              <w:spacing w:line="360" w:lineRule="exact"/>
              <w:jc w:val="center"/>
              <w:rPr>
                <w:rFonts w:hint="eastAsia" w:ascii="宋体" w:hAnsi="宋体" w:eastAsia="宋体" w:cs="宋体"/>
                <w:sz w:val="24"/>
                <w:szCs w:val="24"/>
              </w:rPr>
            </w:pPr>
            <w:r>
              <w:rPr>
                <w:rFonts w:hint="eastAsia" w:ascii="宋体" w:hAnsi="宋体" w:eastAsia="宋体" w:cs="宋体"/>
                <w:sz w:val="24"/>
                <w:szCs w:val="24"/>
              </w:rPr>
              <w:t>诚信情况</w:t>
            </w:r>
          </w:p>
        </w:tc>
        <w:tc>
          <w:tcPr>
            <w:tcW w:w="5525" w:type="dxa"/>
            <w:gridSpan w:val="2"/>
            <w:tcBorders>
              <w:top w:val="single" w:color="auto" w:sz="4" w:space="0"/>
              <w:left w:val="single" w:color="auto" w:sz="4" w:space="0"/>
              <w:bottom w:val="single" w:color="auto" w:sz="4" w:space="0"/>
              <w:right w:val="single" w:color="auto" w:sz="4" w:space="0"/>
            </w:tcBorders>
            <w:vAlign w:val="center"/>
          </w:tcPr>
          <w:p w14:paraId="12D212BC">
            <w:pPr>
              <w:pStyle w:val="12"/>
              <w:spacing w:line="36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r>
      <w:tr w14:paraId="2F7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F1443B7">
            <w:pPr>
              <w:pStyle w:val="12"/>
              <w:spacing w:line="360" w:lineRule="exact"/>
              <w:rPr>
                <w:rFonts w:hint="eastAsia" w:ascii="宋体" w:hAnsi="宋体" w:eastAsia="宋体" w:cs="宋体"/>
                <w:sz w:val="24"/>
                <w:szCs w:val="24"/>
              </w:rPr>
            </w:pPr>
          </w:p>
        </w:tc>
        <w:tc>
          <w:tcPr>
            <w:tcW w:w="868" w:type="dxa"/>
            <w:tcBorders>
              <w:top w:val="single" w:color="auto" w:sz="4" w:space="0"/>
              <w:left w:val="single" w:color="auto" w:sz="4" w:space="0"/>
              <w:bottom w:val="single" w:color="auto" w:sz="4" w:space="0"/>
              <w:right w:val="single" w:color="auto" w:sz="4" w:space="0"/>
            </w:tcBorders>
          </w:tcPr>
          <w:p w14:paraId="14F64AC3">
            <w:pPr>
              <w:pStyle w:val="12"/>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87" w:type="dxa"/>
            <w:tcBorders>
              <w:top w:val="single" w:color="auto" w:sz="4" w:space="0"/>
              <w:left w:val="single" w:color="auto" w:sz="4" w:space="0"/>
              <w:bottom w:val="single" w:color="auto" w:sz="4" w:space="0"/>
              <w:right w:val="single" w:color="auto" w:sz="4" w:space="0"/>
            </w:tcBorders>
          </w:tcPr>
          <w:p w14:paraId="3F751CA2">
            <w:pPr>
              <w:pStyle w:val="12"/>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评分因素</w:t>
            </w:r>
          </w:p>
        </w:tc>
        <w:tc>
          <w:tcPr>
            <w:tcW w:w="675" w:type="dxa"/>
            <w:tcBorders>
              <w:top w:val="single" w:color="auto" w:sz="4" w:space="0"/>
              <w:left w:val="single" w:color="auto" w:sz="4" w:space="0"/>
              <w:bottom w:val="single" w:color="auto" w:sz="4" w:space="0"/>
              <w:right w:val="single" w:color="auto" w:sz="4" w:space="0"/>
            </w:tcBorders>
          </w:tcPr>
          <w:p w14:paraId="49840DAD">
            <w:pPr>
              <w:pStyle w:val="12"/>
              <w:spacing w:line="360" w:lineRule="exact"/>
              <w:jc w:val="center"/>
              <w:rPr>
                <w:rFonts w:hint="eastAsia" w:ascii="宋体" w:hAnsi="宋体" w:eastAsia="宋体" w:cs="宋体"/>
                <w:sz w:val="24"/>
                <w:szCs w:val="24"/>
              </w:rPr>
            </w:pPr>
            <w:r>
              <w:rPr>
                <w:rFonts w:hint="eastAsia" w:ascii="宋体" w:hAnsi="宋体" w:eastAsia="宋体" w:cs="宋体"/>
                <w:sz w:val="24"/>
                <w:szCs w:val="24"/>
              </w:rPr>
              <w:t>权重</w:t>
            </w:r>
          </w:p>
        </w:tc>
        <w:tc>
          <w:tcPr>
            <w:tcW w:w="1088" w:type="dxa"/>
            <w:tcBorders>
              <w:top w:val="single" w:color="auto" w:sz="4" w:space="0"/>
              <w:left w:val="single" w:color="auto" w:sz="4" w:space="0"/>
              <w:bottom w:val="single" w:color="auto" w:sz="4" w:space="0"/>
              <w:right w:val="single" w:color="auto" w:sz="4" w:space="0"/>
            </w:tcBorders>
          </w:tcPr>
          <w:p w14:paraId="07FC10CD">
            <w:pPr>
              <w:pStyle w:val="12"/>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评分方式</w:t>
            </w:r>
          </w:p>
        </w:tc>
        <w:tc>
          <w:tcPr>
            <w:tcW w:w="4437" w:type="dxa"/>
            <w:tcBorders>
              <w:top w:val="single" w:color="auto" w:sz="4" w:space="0"/>
              <w:left w:val="single" w:color="auto" w:sz="4" w:space="0"/>
              <w:bottom w:val="single" w:color="auto" w:sz="4" w:space="0"/>
              <w:right w:val="single" w:color="auto" w:sz="4" w:space="0"/>
            </w:tcBorders>
          </w:tcPr>
          <w:p w14:paraId="027F960B">
            <w:pPr>
              <w:pStyle w:val="12"/>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评分准则</w:t>
            </w:r>
          </w:p>
        </w:tc>
      </w:tr>
      <w:tr w14:paraId="556A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82CD4BA">
            <w:pPr>
              <w:pStyle w:val="12"/>
              <w:spacing w:line="360" w:lineRule="exact"/>
              <w:rPr>
                <w:rFonts w:hint="eastAsia" w:ascii="宋体" w:hAnsi="宋体" w:eastAsia="宋体" w:cs="宋体"/>
                <w:sz w:val="24"/>
                <w:szCs w:val="24"/>
              </w:rPr>
            </w:pPr>
          </w:p>
        </w:tc>
        <w:tc>
          <w:tcPr>
            <w:tcW w:w="868" w:type="dxa"/>
            <w:tcBorders>
              <w:top w:val="single" w:color="auto" w:sz="4" w:space="0"/>
              <w:left w:val="single" w:color="auto" w:sz="4" w:space="0"/>
              <w:bottom w:val="single" w:color="auto" w:sz="4" w:space="0"/>
              <w:right w:val="single" w:color="auto" w:sz="4" w:space="0"/>
            </w:tcBorders>
            <w:vAlign w:val="center"/>
          </w:tcPr>
          <w:p w14:paraId="661BC79C">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1</w:t>
            </w:r>
          </w:p>
        </w:tc>
        <w:tc>
          <w:tcPr>
            <w:tcW w:w="1287" w:type="dxa"/>
            <w:tcBorders>
              <w:top w:val="single" w:color="auto" w:sz="4" w:space="0"/>
              <w:left w:val="single" w:color="auto" w:sz="4" w:space="0"/>
              <w:bottom w:val="single" w:color="auto" w:sz="4" w:space="0"/>
              <w:right w:val="single" w:color="auto" w:sz="4" w:space="0"/>
            </w:tcBorders>
            <w:vAlign w:val="center"/>
          </w:tcPr>
          <w:p w14:paraId="527FB787">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诚信评价</w:t>
            </w:r>
          </w:p>
        </w:tc>
        <w:tc>
          <w:tcPr>
            <w:tcW w:w="675" w:type="dxa"/>
            <w:tcBorders>
              <w:top w:val="single" w:color="auto" w:sz="4" w:space="0"/>
              <w:left w:val="single" w:color="auto" w:sz="4" w:space="0"/>
              <w:bottom w:val="single" w:color="auto" w:sz="4" w:space="0"/>
              <w:right w:val="single" w:color="auto" w:sz="4" w:space="0"/>
            </w:tcBorders>
            <w:vAlign w:val="center"/>
          </w:tcPr>
          <w:p w14:paraId="50CCBF14">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5</w:t>
            </w:r>
          </w:p>
        </w:tc>
        <w:tc>
          <w:tcPr>
            <w:tcW w:w="1088" w:type="dxa"/>
            <w:tcBorders>
              <w:top w:val="single" w:color="auto" w:sz="4" w:space="0"/>
              <w:left w:val="single" w:color="auto" w:sz="4" w:space="0"/>
              <w:bottom w:val="single" w:color="auto" w:sz="4" w:space="0"/>
              <w:right w:val="single" w:color="auto" w:sz="4" w:space="0"/>
            </w:tcBorders>
            <w:vAlign w:val="center"/>
          </w:tcPr>
          <w:p w14:paraId="1AD4E9A4">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专家打分</w:t>
            </w:r>
          </w:p>
        </w:tc>
        <w:tc>
          <w:tcPr>
            <w:tcW w:w="4437" w:type="dxa"/>
            <w:tcBorders>
              <w:top w:val="single" w:color="auto" w:sz="4" w:space="0"/>
              <w:left w:val="single" w:color="auto" w:sz="4" w:space="0"/>
              <w:bottom w:val="single" w:color="auto" w:sz="4" w:space="0"/>
              <w:right w:val="single" w:color="auto" w:sz="4" w:space="0"/>
            </w:tcBorders>
          </w:tcPr>
          <w:p w14:paraId="4117BD3E">
            <w:pPr>
              <w:pStyle w:val="12"/>
              <w:spacing w:line="360" w:lineRule="exact"/>
              <w:rPr>
                <w:rFonts w:hint="eastAsia" w:ascii="宋体" w:hAnsi="宋体" w:eastAsia="宋体" w:cs="宋体"/>
                <w:sz w:val="24"/>
                <w:szCs w:val="24"/>
              </w:rPr>
            </w:pPr>
            <w:r>
              <w:rPr>
                <w:rFonts w:hint="eastAsia" w:ascii="宋体" w:hAnsi="宋体" w:eastAsia="宋体" w:cs="宋体"/>
                <w:sz w:val="24"/>
                <w:szCs w:val="24"/>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w:t>
            </w:r>
            <w:r>
              <w:rPr>
                <w:rFonts w:hint="eastAsia" w:ascii="宋体" w:hAnsi="宋体" w:eastAsia="宋体" w:cs="宋体"/>
                <w:sz w:val="24"/>
                <w:szCs w:val="24"/>
                <w:lang w:val="en-US" w:eastAsia="zh-CN"/>
              </w:rPr>
              <w:t>5</w:t>
            </w:r>
            <w:r>
              <w:rPr>
                <w:rFonts w:hint="eastAsia" w:ascii="宋体" w:hAnsi="宋体" w:eastAsia="宋体" w:cs="宋体"/>
                <w:sz w:val="24"/>
                <w:szCs w:val="24"/>
              </w:rPr>
              <w:t>分。（采购</w:t>
            </w:r>
            <w:r>
              <w:rPr>
                <w:rFonts w:hint="eastAsia" w:ascii="宋体" w:hAnsi="宋体" w:eastAsia="宋体" w:cs="宋体"/>
                <w:sz w:val="24"/>
                <w:szCs w:val="24"/>
                <w:lang w:eastAsia="zh-CN"/>
              </w:rPr>
              <w:t>办</w:t>
            </w:r>
            <w:r>
              <w:rPr>
                <w:rFonts w:hint="eastAsia" w:ascii="宋体" w:hAnsi="宋体" w:eastAsia="宋体" w:cs="宋体"/>
                <w:sz w:val="24"/>
                <w:szCs w:val="24"/>
              </w:rPr>
              <w:t>通过“信用中国”、“中国政府采购网”、“深圳市政府采购监管网”以及市、区财政部门认定的其他渠道查询供应商信用信息，投标人无需提供证明材料。）</w:t>
            </w:r>
          </w:p>
        </w:tc>
      </w:tr>
    </w:tbl>
    <w:p w14:paraId="37CB1355">
      <w:pPr>
        <w:pStyle w:val="12"/>
        <w:spacing w:line="360" w:lineRule="exact"/>
        <w:rPr>
          <w:rFonts w:hint="eastAsia" w:ascii="宋体" w:hAnsi="宋体" w:eastAsia="宋体" w:cs="宋体"/>
          <w:sz w:val="24"/>
          <w:szCs w:val="24"/>
        </w:rPr>
      </w:pPr>
      <w:bookmarkStart w:id="0" w:name="InsertEnd"/>
      <w:bookmarkEnd w:id="0"/>
    </w:p>
    <w:p w14:paraId="38B30510">
      <w:pPr>
        <w:pStyle w:val="12"/>
        <w:spacing w:line="360" w:lineRule="exact"/>
        <w:rPr>
          <w:rFonts w:hint="eastAsia" w:ascii="宋体" w:hAnsi="宋体"/>
          <w:sz w:val="22"/>
          <w:szCs w:val="22"/>
        </w:rPr>
      </w:pPr>
      <w:r>
        <w:rPr>
          <w:rFonts w:hint="eastAsia" w:ascii="宋体" w:hAnsi="宋体"/>
          <w:sz w:val="22"/>
          <w:szCs w:val="22"/>
        </w:rPr>
        <w:t>说明：</w:t>
      </w:r>
    </w:p>
    <w:p w14:paraId="697C1AFD">
      <w:pPr>
        <w:pStyle w:val="12"/>
        <w:spacing w:line="360" w:lineRule="exact"/>
        <w:rPr>
          <w:rFonts w:hint="eastAsia" w:ascii="宋体" w:hAnsi="宋体"/>
          <w:sz w:val="22"/>
          <w:szCs w:val="22"/>
        </w:rPr>
      </w:pPr>
      <w:r>
        <w:rPr>
          <w:rFonts w:hint="eastAsia" w:ascii="宋体" w:hAnsi="宋体"/>
          <w:sz w:val="22"/>
          <w:szCs w:val="22"/>
        </w:rPr>
        <w:t>1、本评分表中每一栏的得分最高不得超过该项评审指标的分值。</w:t>
      </w:r>
    </w:p>
    <w:p w14:paraId="28227611">
      <w:pPr>
        <w:pStyle w:val="12"/>
        <w:spacing w:line="360" w:lineRule="exact"/>
        <w:rPr>
          <w:rFonts w:hint="eastAsia" w:ascii="宋体" w:hAnsi="宋体"/>
          <w:sz w:val="22"/>
          <w:szCs w:val="22"/>
        </w:rPr>
      </w:pPr>
      <w:r>
        <w:rPr>
          <w:rFonts w:hint="eastAsia" w:ascii="宋体" w:hAnsi="宋体"/>
          <w:sz w:val="22"/>
          <w:szCs w:val="22"/>
        </w:rPr>
        <w:t>2、表中要求提供相关计分证明文件的内容，投标文件中须明确加以说明，未按要求提供相关文件或说明不清楚的按不符合要求处理。</w:t>
      </w:r>
    </w:p>
    <w:p w14:paraId="1DF9DE39">
      <w:pPr>
        <w:pStyle w:val="12"/>
        <w:spacing w:line="360" w:lineRule="exact"/>
        <w:rPr>
          <w:rFonts w:hint="eastAsia" w:ascii="宋体" w:hAnsi="宋体"/>
          <w:sz w:val="22"/>
          <w:szCs w:val="22"/>
        </w:rPr>
      </w:pPr>
    </w:p>
    <w:p w14:paraId="700E954F">
      <w:pPr>
        <w:pStyle w:val="12"/>
        <w:spacing w:line="360" w:lineRule="exact"/>
        <w:rPr>
          <w:rFonts w:hint="eastAsia" w:ascii="宋体" w:hAnsi="宋体"/>
          <w:sz w:val="22"/>
          <w:szCs w:val="22"/>
        </w:rPr>
      </w:pPr>
    </w:p>
    <w:p w14:paraId="2D23721C">
      <w:pPr>
        <w:spacing w:after="78"/>
        <w:jc w:val="left"/>
        <w:outlineLvl w:val="0"/>
        <w:rPr>
          <w:rFonts w:hint="eastAsia" w:ascii="宋体" w:hAnsi="宋体" w:eastAsia="宋体" w:cs="宋体"/>
          <w:color w:val="auto"/>
          <w:sz w:val="21"/>
          <w:szCs w:val="21"/>
        </w:rPr>
      </w:pPr>
    </w:p>
    <w:p w14:paraId="65288AE7">
      <w:pPr>
        <w:spacing w:after="78"/>
        <w:jc w:val="left"/>
        <w:outlineLvl w:val="0"/>
        <w:rPr>
          <w:rFonts w:hint="eastAsia" w:ascii="宋体" w:hAnsi="宋体" w:eastAsia="宋体" w:cs="宋体"/>
          <w:color w:val="auto"/>
          <w:sz w:val="21"/>
          <w:szCs w:val="21"/>
        </w:rPr>
      </w:pPr>
    </w:p>
    <w:p w14:paraId="276F4ACD">
      <w:pPr>
        <w:spacing w:after="78"/>
        <w:jc w:val="left"/>
        <w:outlineLvl w:val="0"/>
        <w:rPr>
          <w:rFonts w:hint="eastAsia" w:ascii="宋体" w:hAnsi="宋体" w:eastAsia="宋体" w:cs="宋体"/>
          <w:color w:val="auto"/>
          <w:sz w:val="21"/>
          <w:szCs w:val="21"/>
        </w:rPr>
      </w:pPr>
    </w:p>
    <w:p w14:paraId="71A9FF26">
      <w:pPr>
        <w:spacing w:after="78"/>
        <w:jc w:val="left"/>
        <w:outlineLvl w:val="0"/>
        <w:rPr>
          <w:rFonts w:hint="eastAsia" w:ascii="宋体" w:hAnsi="宋体" w:eastAsia="宋体" w:cs="宋体"/>
          <w:color w:val="auto"/>
          <w:sz w:val="21"/>
          <w:szCs w:val="21"/>
        </w:rPr>
      </w:pPr>
    </w:p>
    <w:p w14:paraId="5F4698AE">
      <w:pPr>
        <w:spacing w:after="78"/>
        <w:jc w:val="left"/>
        <w:outlineLvl w:val="0"/>
        <w:rPr>
          <w:rFonts w:hint="eastAsia" w:ascii="宋体" w:hAnsi="宋体" w:eastAsia="宋体" w:cs="宋体"/>
          <w:color w:val="auto"/>
          <w:sz w:val="21"/>
          <w:szCs w:val="21"/>
        </w:rPr>
      </w:pPr>
    </w:p>
    <w:p w14:paraId="4DB8CB61">
      <w:pPr>
        <w:spacing w:after="78"/>
        <w:jc w:val="left"/>
        <w:outlineLvl w:val="0"/>
        <w:rPr>
          <w:rFonts w:hint="eastAsia" w:ascii="宋体" w:hAnsi="宋体" w:eastAsia="宋体" w:cs="宋体"/>
          <w:color w:val="auto"/>
          <w:sz w:val="21"/>
          <w:szCs w:val="21"/>
        </w:rPr>
      </w:pPr>
    </w:p>
    <w:p w14:paraId="3EBED385">
      <w:pPr>
        <w:spacing w:after="78"/>
        <w:jc w:val="left"/>
        <w:outlineLvl w:val="0"/>
        <w:rPr>
          <w:rFonts w:hint="eastAsia" w:ascii="宋体" w:hAnsi="宋体" w:eastAsia="宋体" w:cs="宋体"/>
          <w:color w:val="auto"/>
          <w:sz w:val="21"/>
          <w:szCs w:val="21"/>
        </w:rPr>
      </w:pPr>
    </w:p>
    <w:p w14:paraId="36E06CA0">
      <w:pPr>
        <w:spacing w:after="78"/>
        <w:jc w:val="left"/>
        <w:outlineLvl w:val="0"/>
        <w:rPr>
          <w:rFonts w:hint="eastAsia" w:ascii="宋体" w:hAnsi="宋体" w:eastAsia="宋体" w:cs="宋体"/>
          <w:color w:val="auto"/>
          <w:sz w:val="21"/>
          <w:szCs w:val="21"/>
        </w:rPr>
      </w:pPr>
    </w:p>
    <w:p w14:paraId="0ED1E68C">
      <w:pPr>
        <w:spacing w:after="78"/>
        <w:jc w:val="left"/>
        <w:outlineLvl w:val="0"/>
        <w:rPr>
          <w:rFonts w:hint="eastAsia" w:ascii="宋体" w:hAnsi="宋体" w:eastAsia="宋体" w:cs="宋体"/>
          <w:color w:val="auto"/>
          <w:sz w:val="21"/>
          <w:szCs w:val="21"/>
        </w:rPr>
      </w:pPr>
    </w:p>
    <w:p w14:paraId="41B6CE74">
      <w:pPr>
        <w:spacing w:after="78"/>
        <w:jc w:val="left"/>
        <w:outlineLvl w:val="0"/>
        <w:rPr>
          <w:rFonts w:hint="eastAsia" w:ascii="宋体" w:hAnsi="宋体" w:eastAsia="宋体" w:cs="宋体"/>
          <w:color w:val="auto"/>
          <w:sz w:val="21"/>
          <w:szCs w:val="21"/>
        </w:rPr>
      </w:pPr>
    </w:p>
    <w:p w14:paraId="649F8109">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14EC6C79">
      <w:pPr>
        <w:pStyle w:val="22"/>
        <w:rPr>
          <w:rFonts w:hint="eastAsia" w:ascii="宋体" w:hAnsi="宋体" w:eastAsia="宋体" w:cs="宋体"/>
          <w:sz w:val="21"/>
          <w:szCs w:val="21"/>
        </w:rPr>
      </w:pPr>
    </w:p>
    <w:p w14:paraId="2F3F69D0">
      <w:pPr>
        <w:spacing w:after="78"/>
        <w:jc w:val="left"/>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项目：总预算</w:t>
      </w:r>
      <w:r>
        <w:rPr>
          <w:rFonts w:hint="eastAsia" w:ascii="宋体" w:hAnsi="宋体" w:cs="宋体"/>
          <w:b/>
          <w:bCs/>
          <w:color w:val="auto"/>
          <w:sz w:val="32"/>
          <w:szCs w:val="32"/>
          <w:lang w:val="en-US" w:eastAsia="zh-CN"/>
        </w:rPr>
        <w:t>10</w:t>
      </w:r>
      <w:r>
        <w:rPr>
          <w:rFonts w:hint="eastAsia" w:ascii="宋体" w:hAnsi="宋体" w:eastAsia="宋体" w:cs="宋体"/>
          <w:b/>
          <w:bCs/>
          <w:color w:val="auto"/>
          <w:sz w:val="32"/>
          <w:szCs w:val="32"/>
        </w:rPr>
        <w:t>万元</w:t>
      </w:r>
    </w:p>
    <w:tbl>
      <w:tblPr>
        <w:tblStyle w:val="15"/>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02B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vAlign w:val="top"/>
          </w:tcPr>
          <w:p w14:paraId="6666733F">
            <w:pPr>
              <w:spacing w:after="78"/>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14:paraId="7A92CBFB">
            <w:pPr>
              <w:spacing w:after="78"/>
              <w:jc w:val="center"/>
              <w:rPr>
                <w:rFonts w:hint="eastAsia" w:ascii="宋体" w:hAnsi="宋体" w:eastAsia="宋体" w:cs="宋体"/>
                <w:color w:val="000000"/>
                <w:sz w:val="24"/>
                <w:szCs w:val="24"/>
                <w:lang w:val="en-US" w:eastAsia="zh-CN"/>
              </w:rPr>
            </w:pPr>
            <w:r>
              <w:rPr>
                <w:rFonts w:hint="eastAsia" w:ascii="宋体" w:hAnsi="宋体" w:eastAsia="宋体" w:cs="宋体"/>
                <w:sz w:val="24"/>
                <w:szCs w:val="24"/>
              </w:rPr>
              <w:t>儿童医疗辅导项目设计及制作</w:t>
            </w:r>
            <w:r>
              <w:rPr>
                <w:rFonts w:hint="eastAsia" w:ascii="宋体" w:hAnsi="宋体" w:eastAsia="宋体" w:cs="宋体"/>
                <w:sz w:val="24"/>
                <w:szCs w:val="24"/>
                <w:lang w:eastAsia="zh-CN"/>
              </w:rPr>
              <w:t>服务</w:t>
            </w:r>
          </w:p>
        </w:tc>
      </w:tr>
      <w:tr w14:paraId="2140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top"/>
          </w:tcPr>
          <w:p w14:paraId="2A1A456E">
            <w:pPr>
              <w:spacing w:after="78"/>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用途</w:t>
            </w:r>
          </w:p>
        </w:tc>
        <w:tc>
          <w:tcPr>
            <w:tcW w:w="7750" w:type="dxa"/>
            <w:tcBorders>
              <w:top w:val="single" w:color="auto" w:sz="4" w:space="0"/>
              <w:left w:val="single" w:color="auto" w:sz="4" w:space="0"/>
              <w:bottom w:val="single" w:color="auto" w:sz="4" w:space="0"/>
              <w:right w:val="single" w:color="auto" w:sz="4" w:space="0"/>
            </w:tcBorders>
            <w:shd w:val="clear" w:color="auto" w:fill="auto"/>
            <w:vAlign w:val="center"/>
          </w:tcPr>
          <w:p w14:paraId="54CEDCEF">
            <w:pPr>
              <w:spacing w:after="78" w:line="360" w:lineRule="auto"/>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rPr>
              <w:t>用于“白血病儿童治疗全流程及全周期的沉浸式场景互动立体机关游戏包”的设计、制作等服务</w:t>
            </w:r>
          </w:p>
        </w:tc>
      </w:tr>
      <w:tr w14:paraId="70D0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top"/>
          </w:tcPr>
          <w:p w14:paraId="76251874">
            <w:pPr>
              <w:spacing w:after="78" w:line="360" w:lineRule="auto"/>
              <w:rPr>
                <w:rFonts w:hint="eastAsia" w:ascii="宋体" w:hAnsi="宋体" w:eastAsia="宋体" w:cs="宋体"/>
                <w:sz w:val="24"/>
                <w:szCs w:val="24"/>
              </w:rPr>
            </w:pPr>
            <w:r>
              <w:rPr>
                <w:rFonts w:hint="eastAsia" w:ascii="宋体" w:hAnsi="宋体" w:eastAsia="宋体" w:cs="宋体"/>
                <w:sz w:val="24"/>
                <w:szCs w:val="24"/>
              </w:rPr>
              <w:t>服务内容</w:t>
            </w:r>
          </w:p>
        </w:tc>
        <w:tc>
          <w:tcPr>
            <w:tcW w:w="7750" w:type="dxa"/>
            <w:tcBorders>
              <w:top w:val="single" w:color="auto" w:sz="4" w:space="0"/>
              <w:left w:val="single" w:color="auto" w:sz="4" w:space="0"/>
              <w:bottom w:val="single" w:color="auto" w:sz="4" w:space="0"/>
              <w:right w:val="single" w:color="auto" w:sz="4" w:space="0"/>
            </w:tcBorders>
            <w:vAlign w:val="center"/>
          </w:tcPr>
          <w:p w14:paraId="436CAF38">
            <w:pPr>
              <w:pStyle w:val="30"/>
              <w:numPr>
                <w:numId w:val="0"/>
              </w:numPr>
              <w:spacing w:after="78"/>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白血病儿童治疗全流程及全周期的方案策划（立体绘本须含不少于4个医疗场景如护士站、病房、游戏空间、治疗操作室等；以及不少于6个与治疗有关的互动游戏，如入院适应、骨穿、腰穿、输液、升白针、培门冬、用药、日常护理等）</w:t>
            </w:r>
            <w:r>
              <w:rPr>
                <w:rFonts w:hint="eastAsia" w:ascii="宋体" w:hAnsi="宋体" w:eastAsia="宋体" w:cs="宋体"/>
                <w:color w:val="000000"/>
                <w:sz w:val="24"/>
                <w:szCs w:val="24"/>
                <w:lang w:eastAsia="zh-CN"/>
              </w:rPr>
              <w:t>；</w:t>
            </w:r>
          </w:p>
          <w:p w14:paraId="3B8AD6E1">
            <w:pPr>
              <w:pStyle w:val="30"/>
              <w:numPr>
                <w:numId w:val="0"/>
              </w:numPr>
              <w:spacing w:after="78"/>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立体绘本（含绘本文案、排版、插画等）和相关游戏物料的设计</w:t>
            </w:r>
            <w:r>
              <w:rPr>
                <w:rFonts w:hint="eastAsia" w:ascii="宋体" w:hAnsi="宋体" w:eastAsia="宋体" w:cs="宋体"/>
                <w:color w:val="000000"/>
                <w:sz w:val="24"/>
                <w:szCs w:val="24"/>
                <w:lang w:eastAsia="zh-CN"/>
              </w:rPr>
              <w:t>；</w:t>
            </w:r>
          </w:p>
          <w:p w14:paraId="58623FEB">
            <w:pPr>
              <w:pStyle w:val="30"/>
              <w:numPr>
                <w:numId w:val="0"/>
              </w:numPr>
              <w:spacing w:after="78"/>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印制立体绘本和游戏物料的样品和成品（不少于100 套）</w:t>
            </w:r>
            <w:r>
              <w:rPr>
                <w:rFonts w:hint="eastAsia" w:ascii="宋体" w:hAnsi="宋体" w:eastAsia="宋体" w:cs="宋体"/>
                <w:color w:val="000000"/>
                <w:sz w:val="24"/>
                <w:szCs w:val="24"/>
                <w:lang w:eastAsia="zh-CN"/>
              </w:rPr>
              <w:t>；</w:t>
            </w:r>
          </w:p>
          <w:p w14:paraId="20C080B1">
            <w:pPr>
              <w:spacing w:after="78" w:line="360" w:lineRule="auto"/>
              <w:jc w:val="left"/>
              <w:rPr>
                <w:rFonts w:hint="eastAsia" w:ascii="宋体" w:hAnsi="宋体" w:eastAsia="宋体" w:cs="宋体"/>
                <w:sz w:val="24"/>
                <w:szCs w:val="24"/>
                <w:lang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项目策划、设计、印制、修改、完善、迭代、落地全流程参与</w:t>
            </w:r>
            <w:r>
              <w:rPr>
                <w:rFonts w:hint="eastAsia" w:ascii="宋体" w:hAnsi="宋体" w:eastAsia="宋体" w:cs="宋体"/>
                <w:color w:val="000000"/>
                <w:sz w:val="24"/>
                <w:szCs w:val="24"/>
                <w:lang w:eastAsia="zh-CN"/>
              </w:rPr>
              <w:t>。</w:t>
            </w:r>
          </w:p>
        </w:tc>
      </w:tr>
      <w:tr w14:paraId="3409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7B1A59A8">
            <w:pPr>
              <w:spacing w:after="78" w:line="360" w:lineRule="auto"/>
              <w:rPr>
                <w:rFonts w:hint="eastAsia" w:ascii="宋体" w:hAnsi="宋体" w:eastAsia="宋体" w:cs="宋体"/>
                <w:sz w:val="24"/>
                <w:szCs w:val="24"/>
              </w:rPr>
            </w:pPr>
            <w:r>
              <w:rPr>
                <w:rFonts w:hint="eastAsia" w:ascii="宋体" w:hAnsi="宋体" w:eastAsia="宋体" w:cs="宋体"/>
                <w:sz w:val="24"/>
                <w:szCs w:val="24"/>
              </w:rPr>
              <w:t>商务参数</w:t>
            </w:r>
          </w:p>
        </w:tc>
        <w:tc>
          <w:tcPr>
            <w:tcW w:w="7750" w:type="dxa"/>
            <w:tcBorders>
              <w:top w:val="single" w:color="auto" w:sz="4" w:space="0"/>
              <w:left w:val="single" w:color="auto" w:sz="4" w:space="0"/>
              <w:bottom w:val="single" w:color="auto" w:sz="4" w:space="0"/>
              <w:right w:val="single" w:color="auto" w:sz="4" w:space="0"/>
            </w:tcBorders>
            <w:vAlign w:val="top"/>
          </w:tcPr>
          <w:tbl>
            <w:tblPr>
              <w:tblStyle w:val="15"/>
              <w:tblW w:w="7766" w:type="dxa"/>
              <w:jc w:val="center"/>
              <w:tblLayout w:type="fixed"/>
              <w:tblCellMar>
                <w:top w:w="0" w:type="dxa"/>
                <w:left w:w="108" w:type="dxa"/>
                <w:bottom w:w="0" w:type="dxa"/>
                <w:right w:w="108" w:type="dxa"/>
              </w:tblCellMar>
            </w:tblPr>
            <w:tblGrid>
              <w:gridCol w:w="7766"/>
            </w:tblGrid>
            <w:tr w14:paraId="337C574B">
              <w:tblPrEx>
                <w:tblCellMar>
                  <w:top w:w="0" w:type="dxa"/>
                  <w:left w:w="108" w:type="dxa"/>
                  <w:bottom w:w="0" w:type="dxa"/>
                  <w:right w:w="108" w:type="dxa"/>
                </w:tblCellMar>
              </w:tblPrEx>
              <w:trPr>
                <w:trHeight w:val="2538" w:hRule="atLeast"/>
                <w:jc w:val="center"/>
              </w:trPr>
              <w:tc>
                <w:tcPr>
                  <w:tcW w:w="7766" w:type="dxa"/>
                </w:tcPr>
                <w:p w14:paraId="09CBFE69">
                  <w:pPr>
                    <w:spacing w:after="120"/>
                    <w:ind w:right="353" w:rightChars="168" w:firstLine="420"/>
                    <w:rPr>
                      <w:rFonts w:hint="eastAsia" w:ascii="宋体" w:hAnsi="宋体" w:eastAsia="宋体" w:cs="宋体"/>
                      <w:b/>
                      <w:bCs/>
                      <w:sz w:val="24"/>
                      <w:szCs w:val="24"/>
                    </w:rPr>
                  </w:pPr>
                  <w:r>
                    <w:rPr>
                      <w:rFonts w:hint="eastAsia" w:ascii="宋体" w:hAnsi="宋体" w:eastAsia="宋体" w:cs="宋体"/>
                      <w:b/>
                      <w:bCs/>
                      <w:sz w:val="24"/>
                      <w:szCs w:val="24"/>
                    </w:rPr>
                    <w:t>一、服务期限</w:t>
                  </w:r>
                </w:p>
                <w:p w14:paraId="71EBB192">
                  <w:pPr>
                    <w:spacing w:after="120"/>
                    <w:ind w:right="353" w:rightChars="168" w:firstLine="420"/>
                    <w:rPr>
                      <w:rFonts w:hint="eastAsia" w:ascii="宋体" w:hAnsi="宋体" w:eastAsia="宋体" w:cs="宋体"/>
                      <w:sz w:val="24"/>
                      <w:szCs w:val="24"/>
                    </w:rPr>
                  </w:pPr>
                  <w:r>
                    <w:rPr>
                      <w:rFonts w:hint="eastAsia" w:ascii="宋体" w:hAnsi="宋体" w:eastAsia="宋体" w:cs="宋体"/>
                      <w:sz w:val="24"/>
                      <w:szCs w:val="24"/>
                    </w:rPr>
                    <w:t>合同有效期为自合同签订之日起</w:t>
                  </w:r>
                  <w:r>
                    <w:rPr>
                      <w:rFonts w:hint="eastAsia" w:ascii="宋体" w:hAnsi="宋体" w:eastAsia="宋体" w:cs="宋体"/>
                      <w:sz w:val="24"/>
                      <w:szCs w:val="24"/>
                      <w:lang w:eastAsia="zh-CN"/>
                    </w:rPr>
                    <w:t>至</w:t>
                  </w:r>
                  <w:r>
                    <w:rPr>
                      <w:rFonts w:hint="eastAsia" w:ascii="宋体" w:hAnsi="宋体" w:eastAsia="宋体" w:cs="宋体"/>
                      <w:sz w:val="24"/>
                      <w:szCs w:val="24"/>
                    </w:rPr>
                    <w:t>项目结项。</w:t>
                  </w:r>
                </w:p>
                <w:p w14:paraId="7A082D6A">
                  <w:pPr>
                    <w:spacing w:after="120"/>
                    <w:ind w:right="353" w:rightChars="168" w:firstLine="420"/>
                    <w:rPr>
                      <w:rFonts w:hint="eastAsia" w:ascii="宋体" w:hAnsi="宋体" w:eastAsia="宋体" w:cs="宋体"/>
                      <w:b/>
                      <w:bCs/>
                      <w:sz w:val="24"/>
                      <w:szCs w:val="24"/>
                    </w:rPr>
                  </w:pPr>
                  <w:r>
                    <w:rPr>
                      <w:rFonts w:hint="eastAsia" w:ascii="宋体" w:hAnsi="宋体" w:eastAsia="宋体" w:cs="宋体"/>
                      <w:b/>
                      <w:bCs/>
                      <w:sz w:val="24"/>
                      <w:szCs w:val="24"/>
                    </w:rPr>
                    <w:t>二、支付方式</w:t>
                  </w:r>
                </w:p>
                <w:p w14:paraId="66CE3744">
                  <w:pPr>
                    <w:pStyle w:val="21"/>
                    <w:rPr>
                      <w:rFonts w:hint="eastAsia" w:ascii="宋体" w:hAnsi="宋体" w:eastAsia="宋体" w:cs="宋体"/>
                      <w:sz w:val="24"/>
                      <w:szCs w:val="24"/>
                      <w:lang w:val="en-US" w:eastAsia="zh-CN"/>
                    </w:rPr>
                  </w:pPr>
                  <w:r>
                    <w:rPr>
                      <w:rFonts w:hint="eastAsia" w:ascii="宋体" w:hAnsi="宋体" w:eastAsia="宋体" w:cs="宋体"/>
                      <w:sz w:val="24"/>
                      <w:szCs w:val="24"/>
                    </w:rPr>
                    <w:t>合同签订后1</w:t>
                  </w:r>
                  <w:r>
                    <w:rPr>
                      <w:rFonts w:hint="eastAsia" w:ascii="宋体" w:hAnsi="宋体" w:eastAsia="宋体" w:cs="宋体"/>
                      <w:sz w:val="24"/>
                      <w:szCs w:val="24"/>
                      <w:lang w:val="en-US" w:eastAsia="zh-CN"/>
                    </w:rPr>
                    <w:t>0</w:t>
                  </w:r>
                  <w:r>
                    <w:rPr>
                      <w:rFonts w:hint="eastAsia" w:ascii="宋体" w:hAnsi="宋体" w:eastAsia="宋体" w:cs="宋体"/>
                      <w:sz w:val="24"/>
                      <w:szCs w:val="24"/>
                    </w:rPr>
                    <w:t>个工作日内，甲方以转账的方式向乙方支付合同总</w:t>
                  </w:r>
                  <w:r>
                    <w:rPr>
                      <w:rFonts w:hint="eastAsia" w:ascii="宋体" w:hAnsi="宋体" w:eastAsia="宋体" w:cs="宋体"/>
                      <w:sz w:val="24"/>
                      <w:szCs w:val="24"/>
                      <w:lang w:eastAsia="zh-CN"/>
                    </w:rPr>
                    <w:t>额</w:t>
                  </w:r>
                  <w:r>
                    <w:rPr>
                      <w:rFonts w:hint="eastAsia" w:ascii="宋体" w:hAnsi="宋体" w:eastAsia="宋体" w:cs="宋体"/>
                      <w:sz w:val="24"/>
                      <w:szCs w:val="24"/>
                    </w:rPr>
                    <w:t>的30%；甲方收到乙方提供的策划方案</w:t>
                  </w:r>
                  <w:r>
                    <w:rPr>
                      <w:rFonts w:hint="eastAsia" w:ascii="宋体" w:hAnsi="宋体" w:eastAsia="宋体" w:cs="宋体"/>
                      <w:sz w:val="24"/>
                      <w:szCs w:val="24"/>
                      <w:lang w:eastAsia="zh-CN"/>
                    </w:rPr>
                    <w:t>并验收合格</w:t>
                  </w:r>
                  <w:r>
                    <w:rPr>
                      <w:rFonts w:hint="eastAsia" w:ascii="宋体" w:hAnsi="宋体" w:eastAsia="宋体" w:cs="宋体"/>
                      <w:sz w:val="24"/>
                      <w:szCs w:val="24"/>
                    </w:rPr>
                    <w:t>后，甲方向乙方支付合同总价的 40%；甲方收到乙方提供的游戏包（含立体绘本和相关物料）成品</w:t>
                  </w:r>
                  <w:r>
                    <w:rPr>
                      <w:rFonts w:hint="eastAsia" w:ascii="宋体" w:hAnsi="宋体" w:eastAsia="宋体" w:cs="宋体"/>
                      <w:sz w:val="24"/>
                      <w:szCs w:val="24"/>
                      <w:lang w:eastAsia="zh-CN"/>
                    </w:rPr>
                    <w:t>并验收合格</w:t>
                  </w:r>
                  <w:r>
                    <w:rPr>
                      <w:rFonts w:hint="eastAsia" w:ascii="宋体" w:hAnsi="宋体" w:eastAsia="宋体" w:cs="宋体"/>
                      <w:sz w:val="24"/>
                      <w:szCs w:val="24"/>
                    </w:rPr>
                    <w:t>后，</w:t>
                  </w:r>
                  <w:r>
                    <w:rPr>
                      <w:rFonts w:hint="eastAsia" w:ascii="宋体" w:hAnsi="宋体" w:eastAsia="宋体" w:cs="宋体"/>
                      <w:sz w:val="24"/>
                      <w:szCs w:val="24"/>
                      <w:lang w:eastAsia="zh-CN"/>
                    </w:rPr>
                    <w:t>支付</w:t>
                  </w:r>
                  <w:r>
                    <w:rPr>
                      <w:rFonts w:hint="eastAsia" w:ascii="宋体" w:hAnsi="宋体" w:eastAsia="宋体" w:cs="宋体"/>
                      <w:sz w:val="24"/>
                      <w:szCs w:val="24"/>
                    </w:rPr>
                    <w:t>剩余合同款项</w:t>
                  </w:r>
                  <w:r>
                    <w:rPr>
                      <w:rFonts w:hint="eastAsia" w:ascii="宋体" w:hAnsi="宋体" w:eastAsia="宋体" w:cs="宋体"/>
                      <w:sz w:val="24"/>
                      <w:szCs w:val="24"/>
                      <w:lang w:val="en-US" w:eastAsia="zh-CN"/>
                    </w:rPr>
                    <w:t>30%</w:t>
                  </w:r>
                  <w:r>
                    <w:rPr>
                      <w:rFonts w:hint="eastAsia" w:ascii="宋体" w:hAnsi="宋体" w:eastAsia="宋体" w:cs="宋体"/>
                      <w:sz w:val="24"/>
                      <w:szCs w:val="24"/>
                    </w:rPr>
                    <w:t>。至此，合同总价款全部支付完毕。</w:t>
                  </w:r>
                </w:p>
              </w:tc>
            </w:tr>
          </w:tbl>
          <w:p w14:paraId="25AB42DA">
            <w:pPr>
              <w:spacing w:after="78" w:line="360" w:lineRule="auto"/>
              <w:rPr>
                <w:rFonts w:hint="eastAsia" w:ascii="宋体" w:hAnsi="宋体" w:eastAsia="宋体" w:cs="宋体"/>
                <w:sz w:val="24"/>
                <w:szCs w:val="24"/>
                <w:lang w:val="en-US" w:eastAsia="zh-CN"/>
              </w:rPr>
            </w:pPr>
          </w:p>
        </w:tc>
      </w:tr>
      <w:tr w14:paraId="096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195344BC">
            <w:pPr>
              <w:spacing w:after="78" w:line="360" w:lineRule="auto"/>
              <w:rPr>
                <w:rFonts w:hint="eastAsia" w:ascii="宋体" w:hAnsi="宋体" w:eastAsia="宋体" w:cs="宋体"/>
                <w:sz w:val="24"/>
                <w:szCs w:val="24"/>
              </w:rPr>
            </w:pPr>
            <w:r>
              <w:rPr>
                <w:rFonts w:hint="eastAsia" w:ascii="宋体" w:hAnsi="宋体" w:eastAsia="宋体" w:cs="宋体"/>
                <w:sz w:val="24"/>
                <w:szCs w:val="24"/>
              </w:rPr>
              <w:t>技术参数</w:t>
            </w:r>
          </w:p>
        </w:tc>
        <w:tc>
          <w:tcPr>
            <w:tcW w:w="7750" w:type="dxa"/>
            <w:tcBorders>
              <w:top w:val="single" w:color="auto" w:sz="4" w:space="0"/>
              <w:left w:val="single" w:color="auto" w:sz="4" w:space="0"/>
              <w:bottom w:val="single" w:color="auto" w:sz="4" w:space="0"/>
              <w:right w:val="single" w:color="auto" w:sz="4" w:space="0"/>
            </w:tcBorders>
            <w:vAlign w:val="top"/>
          </w:tcPr>
          <w:p w14:paraId="67BA2A25">
            <w:pPr>
              <w:numPr>
                <w:ilvl w:val="0"/>
                <w:numId w:val="6"/>
              </w:numPr>
              <w:tabs>
                <w:tab w:val="left" w:pos="-720"/>
              </w:tabs>
              <w:suppressAutoHyphens/>
              <w:spacing w:after="78"/>
              <w:rPr>
                <w:rFonts w:hint="eastAsia" w:ascii="宋体" w:hAnsi="宋体" w:eastAsia="宋体" w:cs="宋体"/>
                <w:sz w:val="24"/>
                <w:szCs w:val="24"/>
              </w:rPr>
            </w:pPr>
            <w:r>
              <w:rPr>
                <w:rFonts w:hint="eastAsia" w:ascii="宋体" w:hAnsi="宋体" w:eastAsia="宋体" w:cs="宋体"/>
                <w:sz w:val="24"/>
                <w:szCs w:val="24"/>
              </w:rPr>
              <w:t>实施方案：需要较高的完善程度，并且能满足服务需求；</w:t>
            </w:r>
          </w:p>
          <w:p w14:paraId="6BEFBCB5">
            <w:pPr>
              <w:numPr>
                <w:ilvl w:val="0"/>
                <w:numId w:val="6"/>
              </w:numPr>
              <w:tabs>
                <w:tab w:val="left" w:pos="-720"/>
              </w:tabs>
              <w:suppressAutoHyphens/>
              <w:spacing w:after="78"/>
              <w:rPr>
                <w:rFonts w:hint="eastAsia" w:ascii="宋体" w:hAnsi="宋体" w:eastAsia="宋体" w:cs="宋体"/>
                <w:sz w:val="24"/>
                <w:szCs w:val="24"/>
              </w:rPr>
            </w:pPr>
            <w:r>
              <w:rPr>
                <w:rFonts w:hint="eastAsia" w:ascii="宋体" w:hAnsi="宋体" w:eastAsia="宋体" w:cs="宋体"/>
                <w:sz w:val="24"/>
                <w:szCs w:val="24"/>
              </w:rPr>
              <w:t>投标文件：对项目的质量保障措施应科学合理可行；对项目完成的服务承诺内容，能保障按招标文件服务内容提供有关的服务；对违约承诺内容，若出现违约现象，投标人承诺承担相应违约责任；</w:t>
            </w:r>
          </w:p>
          <w:p w14:paraId="672761D7">
            <w:pPr>
              <w:numPr>
                <w:ilvl w:val="0"/>
                <w:numId w:val="6"/>
              </w:numPr>
              <w:tabs>
                <w:tab w:val="left" w:pos="-720"/>
              </w:tabs>
              <w:suppressAutoHyphens/>
              <w:spacing w:after="78"/>
              <w:rPr>
                <w:rFonts w:hint="eastAsia" w:ascii="宋体" w:hAnsi="宋体" w:eastAsia="宋体" w:cs="宋体"/>
                <w:sz w:val="24"/>
                <w:szCs w:val="24"/>
              </w:rPr>
            </w:pPr>
            <w:r>
              <w:rPr>
                <w:rFonts w:hint="eastAsia" w:ascii="宋体" w:hAnsi="宋体" w:eastAsia="宋体" w:cs="宋体"/>
                <w:sz w:val="24"/>
                <w:szCs w:val="24"/>
              </w:rPr>
              <w:t>项目配置人员符合招标文件人员配置要求（须提供具体方案及相应承诺）；</w:t>
            </w:r>
          </w:p>
          <w:p w14:paraId="2FF6DD5C">
            <w:pPr>
              <w:pStyle w:val="21"/>
              <w:spacing w:line="440" w:lineRule="exact"/>
              <w:rPr>
                <w:rFonts w:hint="eastAsia" w:ascii="宋体" w:hAnsi="宋体" w:eastAsia="宋体" w:cs="宋体"/>
                <w:sz w:val="24"/>
                <w:szCs w:val="24"/>
              </w:rPr>
            </w:pPr>
            <w:r>
              <w:rPr>
                <w:rFonts w:hint="eastAsia" w:ascii="宋体" w:hAnsi="宋体" w:eastAsia="宋体" w:cs="宋体"/>
                <w:sz w:val="24"/>
                <w:szCs w:val="24"/>
              </w:rPr>
              <w:t>投标文件编制质量需合格。</w:t>
            </w:r>
          </w:p>
          <w:p w14:paraId="44353D1D">
            <w:pPr>
              <w:spacing w:after="78" w:line="360" w:lineRule="auto"/>
              <w:rPr>
                <w:rFonts w:hint="eastAsia" w:ascii="宋体" w:hAnsi="宋体" w:eastAsia="宋体" w:cs="宋体"/>
                <w:sz w:val="24"/>
                <w:szCs w:val="24"/>
              </w:rPr>
            </w:pPr>
          </w:p>
        </w:tc>
      </w:tr>
    </w:tbl>
    <w:p w14:paraId="47FA9FF4">
      <w:pPr>
        <w:spacing w:after="78" w:line="360" w:lineRule="auto"/>
        <w:rPr>
          <w:rFonts w:hint="eastAsia" w:ascii="宋体" w:hAnsi="宋体" w:eastAsia="宋体" w:cs="宋体"/>
          <w:sz w:val="24"/>
          <w:szCs w:val="24"/>
        </w:rPr>
      </w:pPr>
    </w:p>
    <w:p w14:paraId="1C252828">
      <w:pPr>
        <w:rPr>
          <w:rFonts w:hint="eastAsia"/>
        </w:rPr>
      </w:pPr>
    </w:p>
    <w:p w14:paraId="04B49B8C">
      <w:pPr>
        <w:rPr>
          <w:rFonts w:hint="eastAsia"/>
        </w:rPr>
      </w:pPr>
    </w:p>
    <w:p w14:paraId="21954029">
      <w:pPr>
        <w:rPr>
          <w:rFonts w:hint="eastAsia"/>
        </w:rPr>
      </w:pPr>
      <w:r>
        <w:rPr>
          <w:rFonts w:hint="eastAsia"/>
        </w:rPr>
        <w:br w:type="page"/>
      </w:r>
    </w:p>
    <w:p w14:paraId="2E3CBCF5">
      <w:pPr>
        <w:rPr>
          <w:rFonts w:hint="eastAsia"/>
        </w:rPr>
      </w:pPr>
    </w:p>
    <w:p w14:paraId="7B357A97">
      <w:pPr>
        <w:rPr>
          <w:rFonts w:hint="eastAsia"/>
        </w:rPr>
      </w:pPr>
    </w:p>
    <w:p w14:paraId="5A813BFB">
      <w:pPr>
        <w:rPr>
          <w:rFonts w:hint="eastAsia"/>
        </w:rPr>
      </w:pPr>
    </w:p>
    <w:p w14:paraId="3D87853D">
      <w:pPr>
        <w:rPr>
          <w:rFonts w:hint="eastAsia"/>
        </w:rPr>
      </w:pPr>
    </w:p>
    <w:p w14:paraId="1B909835">
      <w:pPr>
        <w:rPr>
          <w:rFonts w:hint="eastAsia"/>
        </w:rPr>
      </w:pPr>
    </w:p>
    <w:p w14:paraId="7472A73C">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25</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4FB79BDE">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E1D783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5"/>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投标价</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元/人</w:t>
            </w: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2"/>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5"/>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6C123FDC">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1074903"/>
      <w:bookmarkStart w:id="8" w:name="_Toc10005247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73521707"/>
      <w:bookmarkStart w:id="11" w:name="_Toc101074904"/>
      <w:bookmarkStart w:id="12" w:name="_Toc73521619"/>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101074905"/>
      <w:bookmarkStart w:id="14" w:name="_Toc73521708"/>
      <w:bookmarkStart w:id="15" w:name="_Toc73521620"/>
      <w:bookmarkStart w:id="16" w:name="_Toc100052475"/>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997946"/>
      <w:bookmarkStart w:id="19" w:name="_Toc201401658"/>
      <w:bookmarkStart w:id="20" w:name="_Toc201742861"/>
      <w:bookmarkStart w:id="21" w:name="_Toc201743116"/>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2"/>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2"/>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2"/>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2"/>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2"/>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2"/>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2"/>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2"/>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6E7253F2">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7"/>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7"/>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7"/>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7"/>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7"/>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7"/>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7"/>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7"/>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7"/>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7"/>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62B9CF79">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6ABFE140">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1BB25FA7"/>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10"/>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10"/>
      <w:framePr w:wrap="around" w:vAnchor="text" w:hAnchor="page" w:x="8278" w:y="-31"/>
      <w:rPr>
        <w:rStyle w:val="19"/>
      </w:rPr>
    </w:pPr>
    <w:r>
      <w:fldChar w:fldCharType="begin"/>
    </w:r>
    <w:r>
      <w:rPr>
        <w:rStyle w:val="19"/>
      </w:rPr>
      <w:instrText xml:space="preserve">PAGE  </w:instrText>
    </w:r>
    <w:r>
      <w:fldChar w:fldCharType="separate"/>
    </w:r>
    <w:r>
      <w:rPr>
        <w:rStyle w:val="19"/>
      </w:rPr>
      <w:t>14</w:t>
    </w:r>
    <w:r>
      <w:fldChar w:fldCharType="end"/>
    </w:r>
  </w:p>
  <w:p w14:paraId="53D826DF">
    <w:pPr>
      <w:pStyle w:val="10"/>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10"/>
      <w:framePr w:wrap="around" w:vAnchor="text" w:hAnchor="margin" w:xAlign="center" w:y="1"/>
      <w:rPr>
        <w:rStyle w:val="19"/>
      </w:rPr>
    </w:pPr>
    <w:r>
      <w:fldChar w:fldCharType="begin"/>
    </w:r>
    <w:r>
      <w:rPr>
        <w:rStyle w:val="19"/>
      </w:rPr>
      <w:instrText xml:space="preserve">PAGE  </w:instrText>
    </w:r>
    <w:r>
      <w:fldChar w:fldCharType="end"/>
    </w:r>
  </w:p>
  <w:p w14:paraId="11A44BCD">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11"/>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59A1F"/>
    <w:multiLevelType w:val="singleLevel"/>
    <w:tmpl w:val="B9F59A1F"/>
    <w:lvl w:ilvl="0" w:tentative="0">
      <w:start w:val="1"/>
      <w:numFmt w:val="chineseCounting"/>
      <w:suff w:val="nothing"/>
      <w:lvlText w:val="（%1）"/>
      <w:lvlJc w:val="left"/>
      <w:rPr>
        <w:rFonts w:hint="eastAsia"/>
      </w:rPr>
    </w:lvl>
  </w:abstractNum>
  <w:abstractNum w:abstractNumId="1">
    <w:nsid w:val="E3E6D7E7"/>
    <w:multiLevelType w:val="singleLevel"/>
    <w:tmpl w:val="E3E6D7E7"/>
    <w:lvl w:ilvl="0" w:tentative="0">
      <w:start w:val="1"/>
      <w:numFmt w:val="decimal"/>
      <w:suff w:val="space"/>
      <w:lvlText w:val="%1."/>
      <w:lvlJc w:val="left"/>
    </w:lvl>
  </w:abstractNum>
  <w:abstractNum w:abstractNumId="2">
    <w:nsid w:val="FEF7BC82"/>
    <w:multiLevelType w:val="singleLevel"/>
    <w:tmpl w:val="FEF7BC82"/>
    <w:lvl w:ilvl="0" w:tentative="0">
      <w:start w:val="1"/>
      <w:numFmt w:val="chineseCounting"/>
      <w:suff w:val="nothing"/>
      <w:lvlText w:val="（%1）"/>
      <w:lvlJc w:val="left"/>
      <w:rPr>
        <w:rFonts w:hint="eastAsia"/>
      </w:rPr>
    </w:lvl>
  </w:abstractNum>
  <w:abstractNum w:abstractNumId="3">
    <w:nsid w:val="FFEB858C"/>
    <w:multiLevelType w:val="multilevel"/>
    <w:tmpl w:val="FFEB858C"/>
    <w:lvl w:ilvl="0" w:tentative="0">
      <w:start w:val="1"/>
      <w:numFmt w:val="decimal"/>
      <w:suff w:val="space"/>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FFFFF141"/>
    <w:multiLevelType w:val="singleLevel"/>
    <w:tmpl w:val="FFFFF141"/>
    <w:lvl w:ilvl="0" w:tentative="0">
      <w:start w:val="1"/>
      <w:numFmt w:val="chineseCounting"/>
      <w:suff w:val="nothing"/>
      <w:lvlText w:val="（%1）"/>
      <w:lvlJc w:val="left"/>
      <w:rPr>
        <w:rFonts w:hint="eastAsia"/>
      </w:rPr>
    </w:lvl>
  </w:abstractNum>
  <w:abstractNum w:abstractNumId="5">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FDFB098"/>
    <w:multiLevelType w:val="singleLevel"/>
    <w:tmpl w:val="6FDFB098"/>
    <w:lvl w:ilvl="0" w:tentative="0">
      <w:start w:val="1"/>
      <w:numFmt w:val="chineseCounting"/>
      <w:suff w:val="nothing"/>
      <w:lvlText w:val="（%1）"/>
      <w:lvlJc w:val="left"/>
      <w:rPr>
        <w:rFonts w:hint="eastAsia"/>
      </w:rPr>
    </w:lvl>
  </w:abstractNum>
  <w:num w:numId="1">
    <w:abstractNumId w:val="6"/>
  </w:num>
  <w:num w:numId="2">
    <w:abstractNumId w:val="4"/>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906D10"/>
    <w:rsid w:val="11EC5E17"/>
    <w:rsid w:val="121432F4"/>
    <w:rsid w:val="12DA64AD"/>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E040BC"/>
    <w:rsid w:val="20152CE5"/>
    <w:rsid w:val="204801C9"/>
    <w:rsid w:val="20743678"/>
    <w:rsid w:val="20CD2385"/>
    <w:rsid w:val="20F304B0"/>
    <w:rsid w:val="21916F90"/>
    <w:rsid w:val="22314524"/>
    <w:rsid w:val="228C71CA"/>
    <w:rsid w:val="22DE11E6"/>
    <w:rsid w:val="249C6AFD"/>
    <w:rsid w:val="25D450BA"/>
    <w:rsid w:val="25D56523"/>
    <w:rsid w:val="26E116DC"/>
    <w:rsid w:val="277B4CFD"/>
    <w:rsid w:val="27A41160"/>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4F1494"/>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255B92"/>
    <w:rsid w:val="4B315FE3"/>
    <w:rsid w:val="4B693D86"/>
    <w:rsid w:val="4B8F40E0"/>
    <w:rsid w:val="4BC36005"/>
    <w:rsid w:val="4CA37BED"/>
    <w:rsid w:val="4CEC6D3D"/>
    <w:rsid w:val="4DE74B53"/>
    <w:rsid w:val="4E7019D8"/>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AD09BC"/>
    <w:rsid w:val="5CDD77D2"/>
    <w:rsid w:val="5D514298"/>
    <w:rsid w:val="5E954ECC"/>
    <w:rsid w:val="5F2430A4"/>
    <w:rsid w:val="5F444430"/>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011696"/>
    <w:rsid w:val="6EBC525F"/>
    <w:rsid w:val="6ECE40FC"/>
    <w:rsid w:val="6EED19D9"/>
    <w:rsid w:val="6EEE2197"/>
    <w:rsid w:val="6EEF7E4F"/>
    <w:rsid w:val="6F2D12A0"/>
    <w:rsid w:val="70F03E4F"/>
    <w:rsid w:val="712D573D"/>
    <w:rsid w:val="71DA2A97"/>
    <w:rsid w:val="72BB566D"/>
    <w:rsid w:val="72FE0135"/>
    <w:rsid w:val="73021E25"/>
    <w:rsid w:val="733B0CC7"/>
    <w:rsid w:val="75017925"/>
    <w:rsid w:val="75BF5C57"/>
    <w:rsid w:val="76287E23"/>
    <w:rsid w:val="76437394"/>
    <w:rsid w:val="798D0372"/>
    <w:rsid w:val="79A732D1"/>
    <w:rsid w:val="79BA4A36"/>
    <w:rsid w:val="7AD6416D"/>
    <w:rsid w:val="7B616DAE"/>
    <w:rsid w:val="7BCD7517"/>
    <w:rsid w:val="7BFA4470"/>
    <w:rsid w:val="7C0039D3"/>
    <w:rsid w:val="7C6C6D2C"/>
    <w:rsid w:val="7C7163B3"/>
    <w:rsid w:val="7D45640A"/>
    <w:rsid w:val="7DE6504F"/>
    <w:rsid w:val="7DEC76CD"/>
    <w:rsid w:val="7F1523DA"/>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autoRedefine/>
    <w:qFormat/>
    <w:uiPriority w:val="0"/>
    <w:pPr>
      <w:spacing w:before="240" w:after="240"/>
      <w:outlineLvl w:val="2"/>
    </w:pPr>
    <w:rPr>
      <w:b/>
      <w:sz w:val="24"/>
    </w:rPr>
  </w:style>
  <w:style w:type="character" w:default="1" w:styleId="17">
    <w:name w:val="Default Paragraph Font"/>
    <w:autoRedefine/>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rPr>
      <w:rFonts w:asciiTheme="minorHAnsi" w:hAnsiTheme="minorHAnsi" w:eastAsiaTheme="minorEastAsia" w:cstheme="minorBidi"/>
      <w:szCs w:val="24"/>
    </w:rPr>
  </w:style>
  <w:style w:type="paragraph" w:styleId="6">
    <w:name w:val="Body Text"/>
    <w:basedOn w:val="1"/>
    <w:next w:val="1"/>
    <w:qFormat/>
    <w:uiPriority w:val="0"/>
    <w:pPr>
      <w:spacing w:after="120"/>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4"/>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8"/>
    <w:qFormat/>
    <w:uiPriority w:val="99"/>
    <w:pPr>
      <w:tabs>
        <w:tab w:val="center" w:pos="4153"/>
        <w:tab w:val="right" w:pos="8306"/>
      </w:tabs>
      <w:snapToGrid w:val="0"/>
      <w:jc w:val="left"/>
    </w:pPr>
    <w:rPr>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unhideWhenUsed/>
    <w:qFormat/>
    <w:uiPriority w:val="99"/>
    <w:pPr>
      <w:spacing w:line="360" w:lineRule="auto"/>
    </w:pPr>
    <w:rPr>
      <w:sz w:val="24"/>
    </w:rPr>
  </w:style>
  <w:style w:type="paragraph" w:styleId="1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4">
    <w:name w:val="Normal (Web)"/>
    <w:basedOn w:val="1"/>
    <w:qFormat/>
    <w:uiPriority w:val="0"/>
    <w:pPr>
      <w:spacing w:before="100" w:beforeAutospacing="1" w:after="100" w:afterAutospacing="1"/>
      <w:jc w:val="left"/>
    </w:pPr>
    <w:rPr>
      <w:kern w:val="0"/>
      <w:sz w:val="24"/>
      <w:szCs w:val="20"/>
    </w:rPr>
  </w:style>
  <w:style w:type="table" w:styleId="16">
    <w:name w:val="Table Grid"/>
    <w:basedOn w:val="1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semiHidden/>
    <w:qFormat/>
    <w:uiPriority w:val="0"/>
  </w:style>
  <w:style w:type="character" w:styleId="20">
    <w:name w:val="Hyperlink"/>
    <w:basedOn w:val="17"/>
    <w:qFormat/>
    <w:uiPriority w:val="0"/>
    <w:rPr>
      <w:color w:val="0000FF"/>
      <w:u w:val="single"/>
    </w:rPr>
  </w:style>
  <w:style w:type="paragraph" w:customStyle="1" w:styleId="21">
    <w:name w:val="样式 行距: 1.5 倍行距 首行缩进:  2 字符"/>
    <w:basedOn w:val="1"/>
    <w:qFormat/>
    <w:uiPriority w:val="0"/>
    <w:pPr>
      <w:adjustRightInd w:val="0"/>
      <w:snapToGrid w:val="0"/>
      <w:spacing w:line="460" w:lineRule="exact"/>
    </w:pPr>
  </w:style>
  <w:style w:type="paragraph" w:customStyle="1" w:styleId="22">
    <w:name w:val="表格文字"/>
    <w:basedOn w:val="1"/>
    <w:qFormat/>
    <w:uiPriority w:val="0"/>
    <w:pPr>
      <w:spacing w:before="25" w:after="25"/>
    </w:pPr>
    <w:rPr>
      <w:bCs/>
      <w:spacing w:val="10"/>
      <w:sz w:val="24"/>
    </w:rPr>
  </w:style>
  <w:style w:type="character" w:customStyle="1" w:styleId="23">
    <w:name w:val="标题 3 Char"/>
    <w:basedOn w:val="17"/>
    <w:link w:val="4"/>
    <w:qFormat/>
    <w:uiPriority w:val="0"/>
    <w:rPr>
      <w:b/>
      <w:kern w:val="2"/>
      <w:sz w:val="24"/>
    </w:rPr>
  </w:style>
  <w:style w:type="character" w:customStyle="1" w:styleId="24">
    <w:name w:val="纯文本 Char"/>
    <w:basedOn w:val="17"/>
    <w:link w:val="8"/>
    <w:qFormat/>
    <w:uiPriority w:val="0"/>
    <w:rPr>
      <w:rFonts w:ascii="宋体" w:hAnsi="Courier New" w:cs="Courier New"/>
      <w:kern w:val="2"/>
      <w:sz w:val="21"/>
      <w:szCs w:val="21"/>
    </w:rPr>
  </w:style>
  <w:style w:type="paragraph" w:customStyle="1" w:styleId="25">
    <w:name w:val="Char"/>
    <w:basedOn w:val="1"/>
    <w:qFormat/>
    <w:uiPriority w:val="0"/>
    <w:rPr>
      <w:rFonts w:ascii="仿宋_GB2312" w:eastAsia="仿宋_GB2312"/>
      <w:b/>
      <w:sz w:val="32"/>
      <w:szCs w:val="32"/>
    </w:rPr>
  </w:style>
  <w:style w:type="paragraph" w:customStyle="1" w:styleId="26">
    <w:name w:val="样式 (西文) 宋体 行距: 1.5 倍行距"/>
    <w:basedOn w:val="1"/>
    <w:qFormat/>
    <w:uiPriority w:val="0"/>
    <w:pPr>
      <w:spacing w:line="360" w:lineRule="auto"/>
    </w:pPr>
    <w:rPr>
      <w:rFonts w:ascii="宋体" w:hAnsi="宋体" w:cs="宋体"/>
    </w:rPr>
  </w:style>
  <w:style w:type="character" w:customStyle="1" w:styleId="27">
    <w:name w:val="页眉 Char"/>
    <w:basedOn w:val="17"/>
    <w:link w:val="11"/>
    <w:qFormat/>
    <w:uiPriority w:val="0"/>
    <w:rPr>
      <w:kern w:val="2"/>
      <w:sz w:val="18"/>
      <w:szCs w:val="18"/>
    </w:rPr>
  </w:style>
  <w:style w:type="character" w:customStyle="1" w:styleId="28">
    <w:name w:val="页脚 Char"/>
    <w:basedOn w:val="17"/>
    <w:link w:val="10"/>
    <w:qFormat/>
    <w:uiPriority w:val="99"/>
    <w:rPr>
      <w:kern w:val="2"/>
      <w:sz w:val="18"/>
      <w:szCs w:val="18"/>
    </w:rPr>
  </w:style>
  <w:style w:type="character" w:customStyle="1" w:styleId="29">
    <w:name w:val="标题 2 Char"/>
    <w:basedOn w:val="17"/>
    <w:link w:val="3"/>
    <w:semiHidden/>
    <w:qFormat/>
    <w:uiPriority w:val="0"/>
    <w:rPr>
      <w:rFonts w:asciiTheme="majorHAnsi" w:hAnsiTheme="majorHAnsi" w:eastAsiaTheme="majorEastAsia" w:cstheme="majorBidi"/>
      <w:b/>
      <w:bCs/>
      <w:kern w:val="2"/>
      <w:sz w:val="32"/>
      <w:szCs w:val="32"/>
    </w:rPr>
  </w:style>
  <w:style w:type="paragraph" w:customStyle="1" w:styleId="30">
    <w:name w:val="List Paragraph"/>
    <w:basedOn w:val="1"/>
    <w:qFormat/>
    <w:uiPriority w:val="34"/>
    <w:pPr>
      <w:ind w:firstLine="420" w:firstLineChars="200"/>
    </w:pPr>
    <w:rPr>
      <w:rFonts w:ascii="Calibri" w:hAnsi="Calibri"/>
      <w:szCs w:val="22"/>
    </w:rPr>
  </w:style>
  <w:style w:type="character" w:customStyle="1" w:styleId="31">
    <w:name w:val="标题 1 Char"/>
    <w:basedOn w:val="17"/>
    <w:link w:val="2"/>
    <w:qFormat/>
    <w:uiPriority w:val="0"/>
    <w:rPr>
      <w:b/>
      <w:bCs/>
      <w:kern w:val="44"/>
      <w:sz w:val="44"/>
      <w:szCs w:val="44"/>
    </w:rPr>
  </w:style>
  <w:style w:type="paragraph" w:customStyle="1" w:styleId="32">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3">
    <w:name w:val="_Style 1"/>
    <w:basedOn w:val="1"/>
    <w:qFormat/>
    <w:uiPriority w:val="34"/>
    <w:pPr>
      <w:ind w:firstLine="420" w:firstLineChars="200"/>
    </w:pPr>
  </w:style>
  <w:style w:type="paragraph" w:customStyle="1" w:styleId="34">
    <w:name w:val="样式3"/>
    <w:basedOn w:val="1"/>
    <w:qFormat/>
    <w:uiPriority w:val="0"/>
    <w:pPr>
      <w:spacing w:line="0" w:lineRule="atLeast"/>
      <w:outlineLvl w:val="0"/>
    </w:pPr>
    <w:rPr>
      <w:rFonts w:ascii="宋体" w:hAnsi="Courier New"/>
      <w:sz w:val="28"/>
      <w:szCs w:val="24"/>
    </w:rPr>
  </w:style>
  <w:style w:type="paragraph" w:customStyle="1" w:styleId="35">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6">
    <w:name w:val="招标文件样式2"/>
    <w:basedOn w:val="1"/>
    <w:qFormat/>
    <w:uiPriority w:val="99"/>
    <w:pPr>
      <w:jc w:val="center"/>
      <w:outlineLvl w:val="0"/>
    </w:pPr>
    <w:rPr>
      <w:rFonts w:ascii="宋体" w:hAnsi="宋体"/>
      <w:b/>
      <w:sz w:val="28"/>
      <w:szCs w:val="28"/>
    </w:rPr>
  </w:style>
  <w:style w:type="paragraph" w:customStyle="1" w:styleId="37">
    <w:name w:val="列出段落1"/>
    <w:basedOn w:val="1"/>
    <w:qFormat/>
    <w:uiPriority w:val="99"/>
    <w:pPr>
      <w:ind w:firstLine="420" w:firstLineChars="200"/>
    </w:pPr>
  </w:style>
  <w:style w:type="paragraph" w:customStyle="1" w:styleId="38">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9">
    <w:name w:val="List Paragraph1"/>
    <w:basedOn w:val="1"/>
    <w:autoRedefine/>
    <w:qFormat/>
    <w:uiPriority w:val="99"/>
    <w:pPr>
      <w:ind w:firstLine="420" w:firstLineChars="200"/>
    </w:pPr>
  </w:style>
  <w:style w:type="paragraph" w:customStyle="1" w:styleId="40">
    <w:name w:val="msolistparagraph"/>
    <w:basedOn w:val="1"/>
    <w:autoRedefine/>
    <w:qFormat/>
    <w:uiPriority w:val="0"/>
    <w:pPr>
      <w:adjustRightInd w:val="0"/>
      <w:snapToGrid w:val="0"/>
      <w:ind w:firstLine="420" w:firstLineChars="200"/>
    </w:pPr>
    <w:rPr>
      <w:sz w:val="28"/>
      <w:szCs w:val="24"/>
    </w:rPr>
  </w:style>
  <w:style w:type="character" w:customStyle="1" w:styleId="41">
    <w:name w:val="font31"/>
    <w:basedOn w:val="17"/>
    <w:autoRedefine/>
    <w:qFormat/>
    <w:uiPriority w:val="0"/>
    <w:rPr>
      <w:rFonts w:hint="eastAsia" w:ascii="宋体" w:hAnsi="宋体" w:eastAsia="宋体" w:cs="Times New Roman"/>
      <w:color w:val="000000"/>
      <w:sz w:val="20"/>
      <w:szCs w:val="20"/>
      <w:u w:val="none"/>
    </w:rPr>
  </w:style>
  <w:style w:type="character" w:customStyle="1" w:styleId="42">
    <w:name w:val="font21"/>
    <w:basedOn w:val="17"/>
    <w:qFormat/>
    <w:uiPriority w:val="0"/>
    <w:rPr>
      <w:rFonts w:hint="eastAsia" w:ascii="宋体" w:hAnsi="宋体" w:eastAsia="宋体" w:cs="宋体"/>
      <w:color w:val="000000"/>
      <w:sz w:val="18"/>
      <w:szCs w:val="18"/>
      <w:u w:val="none"/>
    </w:rPr>
  </w:style>
  <w:style w:type="paragraph" w:customStyle="1" w:styleId="43">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4">
    <w:name w:val="正文文本1"/>
    <w:basedOn w:val="1"/>
    <w:qFormat/>
    <w:uiPriority w:val="0"/>
    <w:pPr>
      <w:spacing w:line="360" w:lineRule="auto"/>
    </w:pPr>
    <w:rPr>
      <w:b/>
      <w:bCs/>
      <w:sz w:val="24"/>
      <w:szCs w:val="24"/>
    </w:rPr>
  </w:style>
  <w:style w:type="paragraph" w:customStyle="1" w:styleId="45">
    <w:name w:val="Table Text"/>
    <w:basedOn w:val="1"/>
    <w:qFormat/>
    <w:uiPriority w:val="0"/>
    <w:rPr>
      <w:rFonts w:ascii="宋体" w:hAnsi="宋体" w:eastAsia="宋体" w:cs="宋体"/>
      <w:sz w:val="20"/>
      <w:szCs w:val="20"/>
      <w:lang w:val="en-US" w:eastAsia="en-US" w:bidi="ar-SA"/>
    </w:rPr>
  </w:style>
  <w:style w:type="table" w:customStyle="1" w:styleId="46">
    <w:name w:val="Table Normal"/>
    <w:qFormat/>
    <w:uiPriority w:val="0"/>
    <w:tblPr>
      <w:tblCellMar>
        <w:top w:w="0" w:type="dxa"/>
        <w:left w:w="0" w:type="dxa"/>
        <w:bottom w:w="0" w:type="dxa"/>
        <w:right w:w="0" w:type="dxa"/>
      </w:tblCellMar>
    </w:tblPr>
  </w:style>
  <w:style w:type="paragraph" w:customStyle="1" w:styleId="47">
    <w:name w:val="￥正文"/>
    <w:basedOn w:val="1"/>
    <w:qFormat/>
    <w:uiPriority w:val="0"/>
    <w:pPr>
      <w:tabs>
        <w:tab w:val="left" w:pos="426"/>
      </w:tabs>
      <w:ind w:firstLine="200" w:firstLineChars="200"/>
    </w:pPr>
    <w:rPr>
      <w:rFonts w:ascii="Calibri" w:hAnsi="Calibri" w:eastAsiaTheme="minorEastAsia"/>
      <w:sz w:val="24"/>
    </w:rPr>
  </w:style>
  <w:style w:type="paragraph" w:customStyle="1" w:styleId="48">
    <w:name w:val="Table Paragraph"/>
    <w:basedOn w:val="1"/>
    <w:qFormat/>
    <w:uiPriority w:val="1"/>
    <w:pPr>
      <w:jc w:val="left"/>
    </w:pPr>
    <w:rPr>
      <w:rFonts w:ascii="等线" w:hAnsi="等线" w:eastAsia="等线"/>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5607</Words>
  <Characters>5700</Characters>
  <Lines>48</Lines>
  <Paragraphs>13</Paragraphs>
  <TotalTime>7</TotalTime>
  <ScaleCrop>false</ScaleCrop>
  <LinksUpToDate>false</LinksUpToDate>
  <CharactersWithSpaces>6759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2024-12-04T23:44:00Z</cp:lastPrinted>
  <dcterms:modified xsi:type="dcterms:W3CDTF">2025-03-04T08:19:19Z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A521FBDC2A7E4899A522CA9E47EF1BA4_12</vt:lpwstr>
  </property>
  <property fmtid="{D5CDD505-2E9C-101B-9397-08002B2CF9AE}" pid="4" name="KSOTemplateDocerSaveRecord">
    <vt:lpwstr>eyJoZGlkIjoiMGNjYmY0NDQ3OWE4YmY2NzJlYTA4MDM0NjNhNzdkMzYiLCJ1c2VySWQiOiI1Mzc0MjMyMDUifQ==</vt:lpwstr>
  </property>
</Properties>
</file>