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94"/>
        <w:gridCol w:w="1366"/>
        <w:gridCol w:w="40"/>
        <w:gridCol w:w="416"/>
        <w:gridCol w:w="1154"/>
        <w:gridCol w:w="4132"/>
      </w:tblGrid>
      <w:tr w14:paraId="741B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D5FD499">
            <w:pPr>
              <w:jc w:val="center"/>
              <w:rPr>
                <w:rFonts w:ascii="宋体" w:hAnsi="宋体"/>
                <w:b/>
                <w:color w:val="auto"/>
                <w:szCs w:val="21"/>
              </w:rPr>
            </w:pPr>
            <w:r>
              <w:rPr>
                <w:rFonts w:hint="eastAsia" w:ascii="宋体" w:hAnsi="宋体"/>
                <w:b/>
                <w:color w:val="auto"/>
                <w:szCs w:val="21"/>
              </w:rPr>
              <w:t>序号</w:t>
            </w:r>
          </w:p>
        </w:tc>
        <w:tc>
          <w:tcPr>
            <w:tcW w:w="2616" w:type="dxa"/>
            <w:gridSpan w:val="4"/>
            <w:tcBorders>
              <w:top w:val="single" w:color="auto" w:sz="4" w:space="0"/>
              <w:left w:val="single" w:color="auto" w:sz="4" w:space="0"/>
              <w:bottom w:val="single" w:color="auto" w:sz="4" w:space="0"/>
              <w:right w:val="single" w:color="auto" w:sz="4" w:space="0"/>
            </w:tcBorders>
          </w:tcPr>
          <w:p w14:paraId="5924D991">
            <w:pPr>
              <w:jc w:val="center"/>
              <w:rPr>
                <w:rFonts w:ascii="宋体" w:hAnsi="宋体"/>
                <w:b/>
                <w:color w:val="auto"/>
                <w:szCs w:val="21"/>
              </w:rPr>
            </w:pPr>
            <w:r>
              <w:rPr>
                <w:rFonts w:hint="eastAsia" w:ascii="宋体" w:hAnsi="宋体"/>
                <w:b/>
                <w:color w:val="auto"/>
                <w:szCs w:val="21"/>
              </w:rPr>
              <w:t>评分项</w:t>
            </w:r>
          </w:p>
        </w:tc>
        <w:tc>
          <w:tcPr>
            <w:tcW w:w="5286" w:type="dxa"/>
            <w:gridSpan w:val="2"/>
            <w:tcBorders>
              <w:top w:val="single" w:color="auto" w:sz="4" w:space="0"/>
              <w:left w:val="single" w:color="auto" w:sz="4" w:space="0"/>
              <w:bottom w:val="single" w:color="auto" w:sz="4" w:space="0"/>
              <w:right w:val="single" w:color="auto" w:sz="4" w:space="0"/>
            </w:tcBorders>
          </w:tcPr>
          <w:p w14:paraId="7638824A">
            <w:pPr>
              <w:jc w:val="center"/>
              <w:rPr>
                <w:rFonts w:ascii="宋体" w:hAnsi="宋体"/>
                <w:b/>
                <w:color w:val="auto"/>
                <w:szCs w:val="21"/>
              </w:rPr>
            </w:pPr>
            <w:r>
              <w:rPr>
                <w:rFonts w:hint="eastAsia" w:ascii="宋体" w:hAnsi="宋体"/>
                <w:b/>
                <w:color w:val="auto"/>
                <w:szCs w:val="21"/>
              </w:rPr>
              <w:t>权重</w:t>
            </w:r>
          </w:p>
        </w:tc>
      </w:tr>
      <w:tr w14:paraId="338A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2138DA20">
            <w:pPr>
              <w:jc w:val="center"/>
              <w:rPr>
                <w:rFonts w:ascii="宋体" w:hAnsi="宋体"/>
                <w:b/>
                <w:szCs w:val="21"/>
              </w:rPr>
            </w:pPr>
            <w:r>
              <w:rPr>
                <w:rFonts w:ascii="宋体" w:hAnsi="宋体"/>
                <w:b/>
                <w:szCs w:val="21"/>
              </w:rPr>
              <w:t>1</w:t>
            </w:r>
          </w:p>
        </w:tc>
        <w:tc>
          <w:tcPr>
            <w:tcW w:w="2616" w:type="dxa"/>
            <w:gridSpan w:val="4"/>
            <w:tcBorders>
              <w:top w:val="single" w:color="auto" w:sz="4" w:space="0"/>
              <w:left w:val="single" w:color="auto" w:sz="4" w:space="0"/>
              <w:bottom w:val="single" w:color="auto" w:sz="4" w:space="0"/>
              <w:right w:val="single" w:color="auto" w:sz="4" w:space="0"/>
            </w:tcBorders>
          </w:tcPr>
          <w:p w14:paraId="1E217A64">
            <w:pPr>
              <w:jc w:val="center"/>
              <w:rPr>
                <w:rFonts w:ascii="宋体" w:hAnsi="宋体"/>
                <w:b/>
                <w:szCs w:val="21"/>
              </w:rPr>
            </w:pPr>
            <w:r>
              <w:rPr>
                <w:rFonts w:hint="eastAsia" w:ascii="宋体" w:hAnsi="宋体"/>
                <w:b/>
                <w:szCs w:val="21"/>
              </w:rPr>
              <w:t>价格部分</w:t>
            </w:r>
          </w:p>
        </w:tc>
        <w:tc>
          <w:tcPr>
            <w:tcW w:w="5286" w:type="dxa"/>
            <w:gridSpan w:val="2"/>
            <w:tcBorders>
              <w:top w:val="single" w:color="auto" w:sz="4" w:space="0"/>
              <w:left w:val="single" w:color="auto" w:sz="4" w:space="0"/>
              <w:bottom w:val="single" w:color="auto" w:sz="4" w:space="0"/>
              <w:right w:val="single" w:color="auto" w:sz="4" w:space="0"/>
            </w:tcBorders>
          </w:tcPr>
          <w:p w14:paraId="2E70A2DB">
            <w:pPr>
              <w:jc w:val="center"/>
              <w:rPr>
                <w:rFonts w:hint="default" w:ascii="宋体" w:hAnsi="宋体" w:eastAsia="宋体"/>
                <w:b/>
                <w:szCs w:val="21"/>
                <w:lang w:val="en-US" w:eastAsia="zh-CN"/>
              </w:rPr>
            </w:pPr>
            <w:r>
              <w:rPr>
                <w:rFonts w:hint="eastAsia" w:ascii="宋体" w:hAnsi="宋体"/>
                <w:b/>
                <w:szCs w:val="21"/>
                <w:lang w:val="en-US" w:eastAsia="zh-CN"/>
              </w:rPr>
              <w:t>10</w:t>
            </w:r>
          </w:p>
        </w:tc>
      </w:tr>
      <w:tr w14:paraId="03A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33CFB25E">
            <w:pPr>
              <w:jc w:val="center"/>
              <w:rPr>
                <w:rFonts w:ascii="宋体" w:hAnsi="宋体"/>
                <w:b/>
                <w:szCs w:val="21"/>
              </w:rPr>
            </w:pPr>
            <w:r>
              <w:rPr>
                <w:rFonts w:ascii="宋体" w:hAnsi="宋体"/>
                <w:b/>
                <w:szCs w:val="21"/>
              </w:rPr>
              <w:t>2</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41970D67">
            <w:pPr>
              <w:jc w:val="center"/>
              <w:rPr>
                <w:rFonts w:ascii="宋体" w:hAnsi="宋体"/>
                <w:b/>
                <w:szCs w:val="21"/>
              </w:rPr>
            </w:pPr>
            <w:r>
              <w:rPr>
                <w:rFonts w:hint="eastAsia" w:ascii="宋体" w:hAnsi="宋体"/>
                <w:b/>
                <w:szCs w:val="21"/>
              </w:rPr>
              <w:t>技术部分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33BB4B16">
            <w:pPr>
              <w:jc w:val="center"/>
              <w:rPr>
                <w:rFonts w:hint="default" w:ascii="宋体" w:hAnsi="宋体" w:eastAsia="宋体"/>
                <w:b/>
                <w:szCs w:val="21"/>
                <w:lang w:val="en-US" w:eastAsia="zh-CN"/>
              </w:rPr>
            </w:pPr>
            <w:r>
              <w:rPr>
                <w:rFonts w:hint="eastAsia" w:ascii="宋体" w:hAnsi="宋体"/>
                <w:b/>
                <w:szCs w:val="21"/>
                <w:lang w:val="en-US" w:eastAsia="zh-CN"/>
              </w:rPr>
              <w:t>55</w:t>
            </w:r>
          </w:p>
        </w:tc>
      </w:tr>
      <w:tr w14:paraId="4286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top"/>
          </w:tcPr>
          <w:p w14:paraId="49EA5FA8">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095387A2">
            <w:pPr>
              <w:jc w:val="center"/>
              <w:rPr>
                <w:rFonts w:ascii="宋体" w:hAnsi="宋体"/>
                <w:szCs w:val="21"/>
              </w:rPr>
            </w:pPr>
            <w:r>
              <w:rPr>
                <w:rFonts w:hint="eastAsia" w:ascii="宋体" w:hAnsi="宋体"/>
                <w:szCs w:val="21"/>
              </w:rPr>
              <w:t>序号</w:t>
            </w:r>
          </w:p>
        </w:tc>
        <w:tc>
          <w:tcPr>
            <w:tcW w:w="1366" w:type="dxa"/>
            <w:tcBorders>
              <w:top w:val="single" w:color="auto" w:sz="4" w:space="0"/>
              <w:left w:val="single" w:color="auto" w:sz="4" w:space="0"/>
              <w:bottom w:val="single" w:color="auto" w:sz="4" w:space="0"/>
              <w:right w:val="single" w:color="auto" w:sz="4" w:space="0"/>
            </w:tcBorders>
            <w:vAlign w:val="top"/>
          </w:tcPr>
          <w:p w14:paraId="42F06918">
            <w:pPr>
              <w:jc w:val="center"/>
              <w:rPr>
                <w:rFonts w:ascii="宋体" w:hAnsi="宋体"/>
                <w:szCs w:val="21"/>
              </w:rPr>
            </w:pPr>
            <w:r>
              <w:rPr>
                <w:rFonts w:hint="eastAsia" w:ascii="宋体" w:hAnsi="宋体"/>
                <w:szCs w:val="21"/>
              </w:rPr>
              <w:t>评分因素</w:t>
            </w:r>
          </w:p>
        </w:tc>
        <w:tc>
          <w:tcPr>
            <w:tcW w:w="456" w:type="dxa"/>
            <w:gridSpan w:val="2"/>
            <w:tcBorders>
              <w:top w:val="single" w:color="auto" w:sz="4" w:space="0"/>
              <w:left w:val="single" w:color="auto" w:sz="4" w:space="0"/>
              <w:bottom w:val="single" w:color="auto" w:sz="4" w:space="0"/>
              <w:right w:val="single" w:color="auto" w:sz="4" w:space="0"/>
            </w:tcBorders>
            <w:vAlign w:val="top"/>
          </w:tcPr>
          <w:p w14:paraId="7366D08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4C502FC7">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16423534">
            <w:pPr>
              <w:jc w:val="center"/>
              <w:rPr>
                <w:rFonts w:ascii="宋体" w:hAnsi="宋体"/>
                <w:szCs w:val="21"/>
              </w:rPr>
            </w:pPr>
            <w:r>
              <w:rPr>
                <w:rFonts w:hint="eastAsia" w:ascii="宋体" w:hAnsi="宋体"/>
                <w:szCs w:val="21"/>
              </w:rPr>
              <w:t>评分准则</w:t>
            </w:r>
          </w:p>
        </w:tc>
      </w:tr>
      <w:tr w14:paraId="5B9B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C7AB382">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33D827B">
            <w:pPr>
              <w:jc w:val="center"/>
              <w:rPr>
                <w:rFonts w:ascii="宋体" w:hAnsi="宋体" w:cs="仿宋"/>
                <w:szCs w:val="21"/>
              </w:rPr>
            </w:pPr>
            <w:r>
              <w:rPr>
                <w:rFonts w:ascii="宋体" w:hAnsi="宋体" w:cs="仿宋"/>
                <w:szCs w:val="21"/>
              </w:rPr>
              <w:t>1</w:t>
            </w:r>
          </w:p>
        </w:tc>
        <w:tc>
          <w:tcPr>
            <w:tcW w:w="1366" w:type="dxa"/>
            <w:tcBorders>
              <w:top w:val="single" w:color="auto" w:sz="4" w:space="0"/>
              <w:left w:val="single" w:color="auto" w:sz="4" w:space="0"/>
              <w:bottom w:val="single" w:color="auto" w:sz="4" w:space="0"/>
              <w:right w:val="single" w:color="auto" w:sz="4" w:space="0"/>
            </w:tcBorders>
            <w:vAlign w:val="center"/>
          </w:tcPr>
          <w:p w14:paraId="3E3BD958">
            <w:pPr>
              <w:widowControl/>
              <w:jc w:val="center"/>
              <w:rPr>
                <w:rFonts w:hint="default" w:ascii="宋体" w:hAnsi="宋体" w:eastAsia="宋体" w:cs="仿宋"/>
                <w:szCs w:val="21"/>
                <w:lang w:val="en-US" w:eastAsia="zh-CN"/>
              </w:rPr>
            </w:pPr>
            <w:r>
              <w:rPr>
                <w:rFonts w:hint="default" w:ascii="Times New Roman" w:hAnsi="Times New Roman" w:eastAsia="宋体" w:cs="Times New Roman"/>
                <w:kern w:val="2"/>
                <w:sz w:val="21"/>
                <w:szCs w:val="21"/>
              </w:rPr>
              <w:t>实施方案</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87310AD">
            <w:pPr>
              <w:widowControl/>
              <w:jc w:val="center"/>
            </w:pPr>
            <w:r>
              <w:rPr>
                <w:rFonts w:hint="eastAsia" w:ascii="宋体" w:hAnsi="宋体" w:cs="仿宋"/>
                <w:szCs w:val="21"/>
                <w:lang w:val="en-US" w:eastAsia="zh-CN"/>
              </w:rPr>
              <w:t>10</w:t>
            </w:r>
          </w:p>
        </w:tc>
        <w:tc>
          <w:tcPr>
            <w:tcW w:w="1154" w:type="dxa"/>
            <w:tcBorders>
              <w:top w:val="single" w:color="auto" w:sz="4" w:space="0"/>
              <w:left w:val="single" w:color="auto" w:sz="4" w:space="0"/>
              <w:bottom w:val="single" w:color="auto" w:sz="4" w:space="0"/>
              <w:right w:val="single" w:color="auto" w:sz="4" w:space="0"/>
            </w:tcBorders>
            <w:vAlign w:val="center"/>
          </w:tcPr>
          <w:p w14:paraId="34402AE3">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7E207D73">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（一）评分内容：</w:t>
            </w:r>
          </w:p>
          <w:p w14:paraId="436B03DF">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根据招标文件的需求，考察投标人对项目背景、项目工作要求、服务内容方案的响应情况进行评审，包括以下内容：</w:t>
            </w:r>
          </w:p>
          <w:p w14:paraId="0044DC24">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1.项目背景；</w:t>
            </w:r>
          </w:p>
          <w:p w14:paraId="78DC8B24">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2.项目工作要求；</w:t>
            </w:r>
          </w:p>
          <w:p w14:paraId="6CC1FACF">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3.服务内容；</w:t>
            </w:r>
          </w:p>
          <w:p w14:paraId="79F5DEBF">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4.</w:t>
            </w:r>
            <w:r>
              <w:rPr>
                <w:rFonts w:hint="eastAsia" w:ascii="Times New Roman" w:cs="Times New Roman"/>
                <w:kern w:val="0"/>
                <w:sz w:val="21"/>
                <w:szCs w:val="21"/>
                <w:lang w:val="en-US" w:eastAsia="zh-CN"/>
              </w:rPr>
              <w:t>应急预案</w:t>
            </w:r>
            <w:r>
              <w:rPr>
                <w:rFonts w:hint="eastAsia" w:ascii="Times New Roman" w:hAnsi="Times New Roman" w:eastAsia="宋体" w:cs="Times New Roman"/>
                <w:kern w:val="0"/>
                <w:sz w:val="21"/>
                <w:szCs w:val="21"/>
                <w:lang w:eastAsia="zh-CN"/>
              </w:rPr>
              <w:t>。</w:t>
            </w:r>
          </w:p>
          <w:p w14:paraId="26365066">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2D595FD4">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投标人提供以上任意一项内容，即可得</w:t>
            </w:r>
            <w:r>
              <w:rPr>
                <w:rFonts w:hint="eastAsia" w:ascii="Times New Roman" w:hAnsi="Times New Roman" w:eastAsia="宋体" w:cs="Times New Roman"/>
                <w:kern w:val="2"/>
                <w:sz w:val="21"/>
                <w:szCs w:val="21"/>
                <w:lang w:val="en-US" w:eastAsia="zh-CN"/>
              </w:rPr>
              <w:t>1%</w:t>
            </w:r>
            <w:r>
              <w:rPr>
                <w:rFonts w:hint="default" w:ascii="Times New Roman" w:hAnsi="Times New Roman" w:eastAsia="宋体" w:cs="Times New Roman"/>
                <w:kern w:val="2"/>
                <w:sz w:val="21"/>
                <w:szCs w:val="21"/>
              </w:rPr>
              <w:t>分，全部提供的得</w:t>
            </w: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分。</w:t>
            </w:r>
          </w:p>
          <w:p w14:paraId="4A1F2BD3">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rPr>
              <w:t>在此基础上，按照下列要求进行加分：</w:t>
            </w:r>
          </w:p>
          <w:p w14:paraId="3EDDD56A">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（1）评审为优：方案合理完整细致，针对性强，描述清晰度高，加</w:t>
            </w:r>
            <w:r>
              <w:rPr>
                <w:rFonts w:hint="eastAsia" w:ascii="Times New Roman" w:hAnsi="Times New Roman" w:eastAsia="宋体" w:cs="Times New Roman"/>
                <w:kern w:val="0"/>
                <w:sz w:val="21"/>
                <w:szCs w:val="21"/>
                <w:lang w:val="en-US" w:eastAsia="zh-CN"/>
              </w:rPr>
              <w:t>6</w:t>
            </w:r>
            <w:r>
              <w:rPr>
                <w:rFonts w:hint="default" w:ascii="Times New Roman" w:hAnsi="Times New Roman" w:eastAsia="宋体" w:cs="Times New Roman"/>
                <w:kern w:val="0"/>
                <w:sz w:val="21"/>
                <w:szCs w:val="21"/>
              </w:rPr>
              <w:t>分；</w:t>
            </w:r>
          </w:p>
          <w:p w14:paraId="428BED6A">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（2）评审为良：方案比较合理完整，具有一定针对性，描述清晰，加3分；</w:t>
            </w:r>
          </w:p>
          <w:p w14:paraId="60000977">
            <w:pPr>
              <w:widowControl/>
              <w:shd w:val="clear" w:color="auto" w:fill="auto"/>
              <w:tabs>
                <w:tab w:val="left" w:pos="426"/>
              </w:tabs>
              <w:adjustRightInd/>
              <w:snapToGrid/>
              <w:spacing w:line="240" w:lineRule="auto"/>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（3）评审为中：方案合理性一般，部分方案具有针对性，描述清晰，加2分；</w:t>
            </w:r>
          </w:p>
          <w:p w14:paraId="49020CEF">
            <w:pPr>
              <w:widowControl/>
              <w:jc w:val="left"/>
              <w:rPr>
                <w:rFonts w:ascii="宋体" w:hAnsi="宋体" w:cs="仿宋"/>
                <w:szCs w:val="21"/>
              </w:rPr>
            </w:pPr>
            <w:r>
              <w:rPr>
                <w:rFonts w:hint="default" w:ascii="Times New Roman" w:hAnsi="Times New Roman" w:eastAsia="宋体" w:cs="Times New Roman"/>
                <w:kern w:val="0"/>
                <w:sz w:val="21"/>
                <w:szCs w:val="21"/>
              </w:rPr>
              <w:t>（4）评审为差：方案但缺乏针对性，描述不清的不加分。</w:t>
            </w:r>
          </w:p>
        </w:tc>
      </w:tr>
      <w:tr w14:paraId="46D4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4FCCDDD">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7946CF20">
            <w:pPr>
              <w:jc w:val="center"/>
              <w:rPr>
                <w:rFonts w:ascii="宋体" w:hAnsi="宋体" w:cs="仿宋"/>
                <w:szCs w:val="21"/>
              </w:rPr>
            </w:pPr>
            <w:r>
              <w:rPr>
                <w:rFonts w:ascii="宋体" w:hAnsi="宋体" w:cs="仿宋"/>
                <w:szCs w:val="21"/>
              </w:rPr>
              <w:t>2</w:t>
            </w:r>
          </w:p>
        </w:tc>
        <w:tc>
          <w:tcPr>
            <w:tcW w:w="1366" w:type="dxa"/>
            <w:tcBorders>
              <w:top w:val="single" w:color="auto" w:sz="4" w:space="0"/>
              <w:left w:val="single" w:color="auto" w:sz="4" w:space="0"/>
              <w:bottom w:val="single" w:color="auto" w:sz="4" w:space="0"/>
              <w:right w:val="single" w:color="auto" w:sz="4" w:space="0"/>
            </w:tcBorders>
            <w:vAlign w:val="center"/>
          </w:tcPr>
          <w:p w14:paraId="5FB7EDE8">
            <w:pPr>
              <w:widowControl/>
              <w:spacing w:line="300" w:lineRule="atLeast"/>
              <w:jc w:val="center"/>
              <w:rPr>
                <w:rFonts w:hint="default" w:ascii="宋体" w:hAnsi="宋体" w:eastAsia="宋体" w:cs="仿宋"/>
                <w:szCs w:val="21"/>
                <w:lang w:val="en-US" w:eastAsia="zh-CN"/>
              </w:rPr>
            </w:pPr>
            <w:r>
              <w:rPr>
                <w:rFonts w:hint="default" w:ascii="Times New Roman" w:hAnsi="Times New Roman" w:eastAsia="宋体" w:cs="Times New Roman"/>
                <w:bCs/>
                <w:kern w:val="2"/>
                <w:sz w:val="21"/>
                <w:szCs w:val="21"/>
              </w:rPr>
              <w:t>无人机技术功能情况</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40CF1A1C">
            <w:pPr>
              <w:widowControl/>
              <w:spacing w:line="300" w:lineRule="atLeast"/>
              <w:jc w:val="center"/>
              <w:rPr>
                <w:rFonts w:hint="default"/>
                <w:lang w:val="en-US"/>
              </w:rPr>
            </w:pPr>
            <w:r>
              <w:rPr>
                <w:rFonts w:hint="eastAsia" w:ascii="宋体" w:hAnsi="宋体" w:cs="仿宋"/>
                <w:szCs w:val="21"/>
                <w:lang w:val="en-US" w:eastAsia="zh-CN"/>
              </w:rPr>
              <w:t>27</w:t>
            </w:r>
          </w:p>
        </w:tc>
        <w:tc>
          <w:tcPr>
            <w:tcW w:w="1154" w:type="dxa"/>
            <w:tcBorders>
              <w:top w:val="single" w:color="auto" w:sz="4" w:space="0"/>
              <w:left w:val="single" w:color="auto" w:sz="4" w:space="0"/>
              <w:bottom w:val="single" w:color="auto" w:sz="4" w:space="0"/>
              <w:right w:val="single" w:color="auto" w:sz="4" w:space="0"/>
            </w:tcBorders>
            <w:vAlign w:val="center"/>
          </w:tcPr>
          <w:p w14:paraId="6B22F058">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40116155">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5357AF9E">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考察投标人提供的无人机的技术功能情况：</w:t>
            </w:r>
          </w:p>
          <w:p w14:paraId="3098A837">
            <w:pPr>
              <w:keepNext w:val="0"/>
              <w:keepLines w:val="0"/>
              <w:widowControl/>
              <w:numPr>
                <w:ilvl w:val="0"/>
                <w:numId w:val="1"/>
              </w:numPr>
              <w:suppressLineNumbers w:val="0"/>
              <w:tabs>
                <w:tab w:val="left" w:pos="426"/>
              </w:tabs>
              <w:jc w:val="both"/>
              <w:rPr>
                <w:rFonts w:hint="default" w:ascii="Times New Roman" w:cs="Times New Roman"/>
                <w:bCs/>
                <w:kern w:val="2"/>
                <w:sz w:val="21"/>
                <w:szCs w:val="21"/>
                <w:lang w:val="en-US" w:eastAsia="zh-CN"/>
              </w:rPr>
            </w:pPr>
            <w:r>
              <w:rPr>
                <w:rFonts w:hint="eastAsia" w:ascii="Times New Roman" w:cs="Times New Roman"/>
                <w:bCs/>
                <w:kern w:val="2"/>
                <w:sz w:val="21"/>
                <w:szCs w:val="21"/>
                <w:lang w:val="en-US" w:eastAsia="zh-CN"/>
              </w:rPr>
              <w:t>无人机</w:t>
            </w:r>
            <w:r>
              <w:rPr>
                <w:rFonts w:hint="default" w:ascii="Times New Roman" w:hAnsi="Times New Roman" w:eastAsia="宋体" w:cs="Times New Roman"/>
                <w:bCs/>
                <w:kern w:val="2"/>
                <w:sz w:val="21"/>
                <w:szCs w:val="21"/>
                <w:lang w:val="en-US" w:eastAsia="zh-CN"/>
              </w:rPr>
              <w:t>技术要求满足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中的最大起飞全重不超过 25 千克，且空机重量不超过 15 千克；</w:t>
            </w:r>
          </w:p>
          <w:p w14:paraId="5CD1D2A4">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所采用无人机型号需通过中国民用航空局严格的风险评估与运行验证流程，且必须明确列于《特定类无人机试运行批准函》之中；</w:t>
            </w:r>
          </w:p>
          <w:p w14:paraId="3E499B4B">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w:t>
            </w:r>
            <w:r>
              <w:rPr>
                <w:rFonts w:hint="default" w:ascii="Times New Roman" w:hAnsi="Times New Roman" w:eastAsia="宋体" w:cs="Times New Roman"/>
                <w:bCs/>
                <w:kern w:val="2"/>
                <w:sz w:val="21"/>
                <w:szCs w:val="21"/>
              </w:rPr>
              <w:t>最</w:t>
            </w:r>
            <w:r>
              <w:rPr>
                <w:rFonts w:hint="eastAsia" w:ascii="Times New Roman" w:cs="Times New Roman"/>
                <w:bCs/>
                <w:kern w:val="2"/>
                <w:sz w:val="21"/>
                <w:szCs w:val="21"/>
                <w:lang w:val="en-US" w:eastAsia="zh-CN"/>
              </w:rPr>
              <w:t>大</w:t>
            </w:r>
            <w:r>
              <w:rPr>
                <w:rFonts w:hint="default" w:ascii="Times New Roman" w:hAnsi="Times New Roman" w:eastAsia="宋体" w:cs="Times New Roman"/>
                <w:bCs/>
                <w:kern w:val="2"/>
                <w:sz w:val="21"/>
                <w:szCs w:val="21"/>
              </w:rPr>
              <w:t>载重量：≥</w:t>
            </w:r>
            <w:r>
              <w:rPr>
                <w:rFonts w:hint="eastAsia" w:ascii="Times New Roman" w:cs="Times New Roman"/>
                <w:bCs/>
                <w:kern w:val="2"/>
                <w:sz w:val="21"/>
                <w:szCs w:val="21"/>
                <w:lang w:val="en-US" w:eastAsia="zh-CN"/>
              </w:rPr>
              <w:t>4公斤</w:t>
            </w:r>
            <w:r>
              <w:rPr>
                <w:rFonts w:hint="default" w:ascii="Times New Roman" w:hAnsi="Times New Roman" w:eastAsia="宋体" w:cs="Times New Roman"/>
                <w:bCs/>
                <w:kern w:val="2"/>
                <w:sz w:val="21"/>
                <w:szCs w:val="21"/>
              </w:rPr>
              <w:t>；</w:t>
            </w:r>
          </w:p>
          <w:p w14:paraId="27C17E2F">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无人机抗风等级：≥6级</w:t>
            </w:r>
            <w:r>
              <w:rPr>
                <w:rFonts w:hint="default" w:ascii="Times New Roman" w:hAnsi="Times New Roman" w:eastAsia="宋体" w:cs="Times New Roman"/>
                <w:bCs/>
                <w:kern w:val="2"/>
                <w:sz w:val="21"/>
                <w:szCs w:val="21"/>
              </w:rPr>
              <w:t>；</w:t>
            </w:r>
          </w:p>
          <w:p w14:paraId="44563C8C">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满载飞行距离≥10公里；</w:t>
            </w:r>
          </w:p>
          <w:p w14:paraId="47166CDF">
            <w:pPr>
              <w:keepNext w:val="0"/>
              <w:keepLines w:val="0"/>
              <w:widowControl/>
              <w:numPr>
                <w:ilvl w:val="0"/>
                <w:numId w:val="1"/>
              </w:numPr>
              <w:suppressLineNumbers w:val="0"/>
              <w:tabs>
                <w:tab w:val="left" w:pos="426"/>
              </w:tabs>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无人机噪音水平</w:t>
            </w:r>
            <w:r>
              <w:rPr>
                <w:rFonts w:hint="default" w:ascii="Times New Roman" w:hAnsi="Times New Roman" w:eastAsia="宋体" w:cs="Times New Roman"/>
                <w:bCs/>
                <w:kern w:val="2"/>
                <w:sz w:val="21"/>
                <w:szCs w:val="21"/>
              </w:rPr>
              <w:t>：在环境背景噪声&lt;45dB(A)时，飞行工作噪声应&lt;60dB(A)</w:t>
            </w:r>
            <w:r>
              <w:rPr>
                <w:rFonts w:hint="eastAsia" w:ascii="Times New Roman" w:cs="Times New Roman"/>
                <w:bCs/>
                <w:kern w:val="2"/>
                <w:sz w:val="21"/>
                <w:szCs w:val="21"/>
                <w:lang w:eastAsia="zh-CN"/>
              </w:rPr>
              <w:t>。</w:t>
            </w:r>
          </w:p>
          <w:p w14:paraId="52360BE7">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以上1-</w:t>
            </w:r>
            <w:r>
              <w:rPr>
                <w:rFonts w:hint="eastAsia" w:ascii="Times New Roman" w:cs="Times New Roman"/>
                <w:bCs/>
                <w:kern w:val="2"/>
                <w:sz w:val="21"/>
                <w:szCs w:val="21"/>
                <w:lang w:val="en-US" w:eastAsia="zh-CN"/>
              </w:rPr>
              <w:t>6</w:t>
            </w:r>
            <w:r>
              <w:rPr>
                <w:rFonts w:hint="default" w:ascii="Times New Roman" w:hAnsi="Times New Roman" w:eastAsia="宋体" w:cs="Times New Roman"/>
                <w:bCs/>
                <w:kern w:val="2"/>
                <w:sz w:val="21"/>
                <w:szCs w:val="21"/>
              </w:rPr>
              <w:t>项全部满足得</w:t>
            </w:r>
            <w:r>
              <w:rPr>
                <w:rFonts w:hint="eastAsia" w:ascii="Times New Roman" w:hAnsi="Times New Roman" w:eastAsia="宋体" w:cs="Times New Roman"/>
                <w:bCs/>
                <w:kern w:val="2"/>
                <w:sz w:val="21"/>
                <w:szCs w:val="21"/>
                <w:lang w:val="en-US" w:eastAsia="zh-CN"/>
              </w:rPr>
              <w:t>27</w:t>
            </w:r>
            <w:r>
              <w:rPr>
                <w:rFonts w:hint="default" w:ascii="Times New Roman" w:hAnsi="Times New Roman" w:eastAsia="宋体" w:cs="Times New Roman"/>
                <w:bCs/>
                <w:kern w:val="2"/>
                <w:sz w:val="21"/>
                <w:szCs w:val="21"/>
              </w:rPr>
              <w:t>分，每负偏离一项扣</w:t>
            </w:r>
            <w:r>
              <w:rPr>
                <w:rFonts w:hint="eastAsia" w:ascii="Times New Roman" w:cs="Times New Roman"/>
                <w:bCs/>
                <w:kern w:val="2"/>
                <w:sz w:val="21"/>
                <w:szCs w:val="21"/>
                <w:lang w:val="en-US" w:eastAsia="zh-CN"/>
              </w:rPr>
              <w:t>5</w:t>
            </w:r>
            <w:r>
              <w:rPr>
                <w:rFonts w:hint="default" w:ascii="Times New Roman" w:hAnsi="Times New Roman" w:eastAsia="宋体" w:cs="Times New Roman"/>
                <w:bCs/>
                <w:kern w:val="2"/>
                <w:sz w:val="21"/>
                <w:szCs w:val="21"/>
              </w:rPr>
              <w:t>分，扣完为止。</w:t>
            </w:r>
          </w:p>
          <w:p w14:paraId="1946717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（二）评分依据：</w:t>
            </w:r>
          </w:p>
          <w:p w14:paraId="23DC567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w:t>
            </w:r>
            <w:r>
              <w:rPr>
                <w:rFonts w:hint="default" w:ascii="Times New Roman" w:hAnsi="Times New Roman" w:eastAsia="宋体" w:cs="Times New Roman"/>
                <w:bCs/>
                <w:kern w:val="2"/>
                <w:sz w:val="21"/>
                <w:szCs w:val="21"/>
              </w:rPr>
              <w:t>提供由具备CMA资质或CMA和CNAS资质的第三方检测机构出具的检测报告；</w:t>
            </w:r>
          </w:p>
          <w:p w14:paraId="1D164AAC">
            <w:pPr>
              <w:widowControl w:val="0"/>
              <w:tabs>
                <w:tab w:val="left" w:pos="426"/>
              </w:tabs>
              <w:spacing w:line="360" w:lineRule="auto"/>
              <w:jc w:val="both"/>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w:t>
            </w:r>
            <w:r>
              <w:rPr>
                <w:rFonts w:hint="eastAsia" w:ascii="Times New Roman" w:hAnsi="Times New Roman" w:eastAsia="宋体"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提供</w:t>
            </w:r>
            <w:r>
              <w:rPr>
                <w:rFonts w:hint="eastAsia" w:ascii="Times New Roman" w:cs="Times New Roman"/>
                <w:b w:val="0"/>
                <w:bCs w:val="0"/>
                <w:kern w:val="2"/>
                <w:sz w:val="21"/>
                <w:szCs w:val="21"/>
                <w:lang w:val="en-US" w:eastAsia="zh-CN" w:bidi="ar-SA"/>
              </w:rPr>
              <w:t>所用的无人机机型在</w:t>
            </w:r>
            <w:r>
              <w:rPr>
                <w:rFonts w:hint="eastAsia" w:ascii="Times New Roman" w:cs="Times New Roman"/>
                <w:bCs/>
                <w:kern w:val="2"/>
                <w:sz w:val="21"/>
                <w:szCs w:val="21"/>
                <w:lang w:val="en-US" w:eastAsia="zh-CN"/>
              </w:rPr>
              <w:t>中国民用航空局</w:t>
            </w:r>
            <w:r>
              <w:rPr>
                <w:rFonts w:hint="eastAsia" w:ascii="Times New Roman" w:cs="Times New Roman"/>
                <w:b w:val="0"/>
                <w:bCs w:val="0"/>
                <w:kern w:val="2"/>
                <w:sz w:val="21"/>
                <w:szCs w:val="21"/>
                <w:lang w:val="en-US" w:eastAsia="zh-CN" w:bidi="ar-SA"/>
              </w:rPr>
              <w:t>颁发的</w:t>
            </w:r>
            <w:r>
              <w:rPr>
                <w:rFonts w:hint="eastAsia" w:ascii="Times New Roman" w:cs="Times New Roman"/>
                <w:bCs/>
                <w:kern w:val="2"/>
                <w:sz w:val="21"/>
                <w:szCs w:val="21"/>
                <w:lang w:val="en-US" w:eastAsia="zh-CN"/>
              </w:rPr>
              <w:t>《特定类无人机试运行批准函》中列明证明文件</w:t>
            </w:r>
            <w:r>
              <w:rPr>
                <w:rFonts w:hint="default" w:ascii="Times New Roman" w:hAnsi="Times New Roman" w:eastAsia="宋体" w:cs="Times New Roman"/>
                <w:b w:val="0"/>
                <w:bCs w:val="0"/>
                <w:kern w:val="2"/>
                <w:sz w:val="21"/>
                <w:szCs w:val="21"/>
                <w:lang w:val="en-US" w:eastAsia="zh-CN" w:bidi="ar-SA"/>
              </w:rPr>
              <w:t>；</w:t>
            </w:r>
          </w:p>
          <w:p w14:paraId="1D7EAC70">
            <w:pPr>
              <w:widowControl w:val="0"/>
              <w:shd w:val="clear" w:color="auto" w:fill="auto"/>
              <w:tabs>
                <w:tab w:val="left" w:pos="426"/>
              </w:tabs>
              <w:adjustRightInd/>
              <w:snapToGrid/>
              <w:spacing w:line="240" w:lineRule="auto"/>
              <w:jc w:val="both"/>
              <w:rPr>
                <w:rFonts w:hint="default" w:ascii="Times New Roman" w:hAnsi="Times New Roman" w:eastAsia="宋体" w:cs="Times New Roman"/>
                <w:bCs/>
                <w:kern w:val="2"/>
                <w:sz w:val="21"/>
                <w:szCs w:val="21"/>
                <w:lang w:val="en-US" w:eastAsia="zh-CN"/>
              </w:rPr>
            </w:pPr>
            <w:r>
              <w:rPr>
                <w:rFonts w:hint="default" w:ascii="Times New Roman" w:hAnsi="Times New Roman" w:eastAsia="宋体" w:cs="Times New Roman"/>
                <w:bCs/>
                <w:kern w:val="2"/>
                <w:sz w:val="21"/>
                <w:szCs w:val="21"/>
              </w:rPr>
              <w:t>3</w:t>
            </w:r>
            <w:r>
              <w:rPr>
                <w:rFonts w:hint="eastAsia" w:ascii="Times New Roman" w:hAnsi="Times New Roman" w:eastAsia="宋体" w:cs="Times New Roman"/>
                <w:bCs/>
                <w:kern w:val="2"/>
                <w:sz w:val="21"/>
                <w:szCs w:val="21"/>
                <w:lang w:val="en-US" w:eastAsia="zh-CN"/>
              </w:rPr>
              <w:t>.</w:t>
            </w:r>
            <w:r>
              <w:rPr>
                <w:rFonts w:hint="eastAsia" w:ascii="Times New Roman" w:cs="Times New Roman"/>
                <w:bCs/>
                <w:kern w:val="2"/>
                <w:sz w:val="21"/>
                <w:szCs w:val="21"/>
                <w:lang w:val="en-US" w:eastAsia="zh-CN"/>
              </w:rPr>
              <w:t>提供厂家发布的该无人机用户手册；</w:t>
            </w:r>
          </w:p>
          <w:p w14:paraId="4BBCAA8B">
            <w:pPr>
              <w:widowControl/>
              <w:jc w:val="left"/>
              <w:rPr>
                <w:rFonts w:ascii="宋体" w:hAnsi="宋体" w:cs="仿宋"/>
                <w:szCs w:val="21"/>
              </w:rPr>
            </w:pPr>
            <w:r>
              <w:rPr>
                <w:rFonts w:hint="eastAsia" w:ascii="Times New Roman" w:cs="Times New Roman"/>
                <w:bCs/>
                <w:kern w:val="2"/>
                <w:sz w:val="21"/>
                <w:szCs w:val="21"/>
                <w:lang w:val="en-US" w:eastAsia="zh-CN"/>
              </w:rPr>
              <w:t>4.</w:t>
            </w:r>
            <w:r>
              <w:rPr>
                <w:rFonts w:hint="default" w:ascii="Times New Roman" w:hAnsi="Times New Roman" w:eastAsia="宋体" w:cs="Times New Roman"/>
                <w:bCs/>
                <w:kern w:val="2"/>
                <w:sz w:val="21"/>
                <w:szCs w:val="21"/>
              </w:rPr>
              <w:t>以上证明材料不提供或提供不清晰导致专家无法判断的不得分。</w:t>
            </w:r>
          </w:p>
        </w:tc>
      </w:tr>
      <w:tr w14:paraId="74A1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3F1FE75">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10E752F5">
            <w:pPr>
              <w:jc w:val="center"/>
              <w:rPr>
                <w:rFonts w:ascii="宋体" w:hAnsi="宋体" w:cs="仿宋"/>
                <w:szCs w:val="21"/>
              </w:rPr>
            </w:pPr>
            <w:r>
              <w:rPr>
                <w:rFonts w:ascii="宋体" w:hAnsi="宋体" w:cs="仿宋"/>
                <w:szCs w:val="21"/>
              </w:rPr>
              <w:t>3</w:t>
            </w:r>
          </w:p>
        </w:tc>
        <w:tc>
          <w:tcPr>
            <w:tcW w:w="1366" w:type="dxa"/>
            <w:tcBorders>
              <w:top w:val="single" w:color="auto" w:sz="4" w:space="0"/>
              <w:left w:val="single" w:color="auto" w:sz="4" w:space="0"/>
              <w:bottom w:val="single" w:color="auto" w:sz="4" w:space="0"/>
              <w:right w:val="single" w:color="auto" w:sz="4" w:space="0"/>
            </w:tcBorders>
            <w:vAlign w:val="center"/>
          </w:tcPr>
          <w:p w14:paraId="3B32FED3">
            <w:pPr>
              <w:widowControl/>
              <w:spacing w:line="300" w:lineRule="atLeast"/>
              <w:jc w:val="center"/>
              <w:rPr>
                <w:rFonts w:hint="default" w:ascii="宋体" w:hAnsi="宋体" w:eastAsia="宋体" w:cs="仿宋"/>
                <w:szCs w:val="21"/>
                <w:lang w:val="en-US" w:eastAsia="zh-CN"/>
              </w:rPr>
            </w:pPr>
            <w:r>
              <w:rPr>
                <w:rFonts w:hint="eastAsia" w:ascii="Times New Roman" w:cs="Times New Roman"/>
                <w:bCs/>
                <w:kern w:val="2"/>
                <w:sz w:val="21"/>
                <w:szCs w:val="21"/>
                <w:lang w:val="en-US" w:eastAsia="zh-CN"/>
              </w:rPr>
              <w:t>物流</w:t>
            </w:r>
            <w:r>
              <w:rPr>
                <w:rFonts w:hint="default" w:ascii="Times New Roman" w:hAnsi="Times New Roman" w:eastAsia="宋体" w:cs="Times New Roman"/>
                <w:bCs/>
                <w:kern w:val="2"/>
                <w:sz w:val="21"/>
                <w:szCs w:val="21"/>
              </w:rPr>
              <w:t>无人机远程调度平台的技术功能</w:t>
            </w:r>
            <w:r>
              <w:rPr>
                <w:rFonts w:hint="eastAsia" w:ascii="Times New Roman" w:cs="Times New Roman"/>
                <w:bCs/>
                <w:kern w:val="2"/>
                <w:sz w:val="21"/>
                <w:szCs w:val="21"/>
                <w:lang w:val="en-US" w:eastAsia="zh-CN"/>
              </w:rPr>
              <w:t>情况</w:t>
            </w:r>
          </w:p>
        </w:tc>
        <w:tc>
          <w:tcPr>
            <w:tcW w:w="456" w:type="dxa"/>
            <w:gridSpan w:val="2"/>
            <w:tcBorders>
              <w:top w:val="single" w:color="auto" w:sz="4" w:space="0"/>
              <w:left w:val="single" w:color="auto" w:sz="4" w:space="0"/>
              <w:bottom w:val="single" w:color="auto" w:sz="4" w:space="0"/>
              <w:right w:val="single" w:color="auto" w:sz="4" w:space="0"/>
            </w:tcBorders>
            <w:vAlign w:val="center"/>
          </w:tcPr>
          <w:p w14:paraId="3D7E2CFA">
            <w:pPr>
              <w:widowControl/>
              <w:spacing w:line="300" w:lineRule="atLeast"/>
              <w:jc w:val="center"/>
            </w:pPr>
            <w:r>
              <w:rPr>
                <w:rFonts w:hint="eastAsia" w:ascii="宋体" w:hAnsi="宋体" w:cs="仿宋"/>
                <w:szCs w:val="21"/>
                <w:lang w:val="en-US" w:eastAsia="zh-CN"/>
              </w:rPr>
              <w:t>18</w:t>
            </w:r>
          </w:p>
        </w:tc>
        <w:tc>
          <w:tcPr>
            <w:tcW w:w="1154" w:type="dxa"/>
            <w:tcBorders>
              <w:top w:val="single" w:color="auto" w:sz="4" w:space="0"/>
              <w:left w:val="single" w:color="auto" w:sz="4" w:space="0"/>
              <w:bottom w:val="single" w:color="auto" w:sz="4" w:space="0"/>
              <w:right w:val="single" w:color="auto" w:sz="4" w:space="0"/>
            </w:tcBorders>
            <w:vAlign w:val="center"/>
          </w:tcPr>
          <w:p w14:paraId="3304B0EE">
            <w:pPr>
              <w:jc w:val="center"/>
              <w:rPr>
                <w:rFonts w:hint="default" w:ascii="宋体" w:hAnsi="宋体" w:eastAsia="宋体" w:cs="仿宋"/>
                <w:szCs w:val="21"/>
                <w:lang w:val="en-US" w:eastAsia="zh-CN"/>
              </w:rPr>
            </w:pPr>
            <w:r>
              <w:rPr>
                <w:rFonts w:hint="eastAsia" w:ascii="宋体" w:hAnsi="宋体" w:cs="仿宋"/>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615268E4">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7880B4BB">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考察投标人拟提供的</w:t>
            </w:r>
            <w:r>
              <w:rPr>
                <w:rFonts w:hint="eastAsia" w:ascii="Times New Roman" w:cs="Times New Roman"/>
                <w:bCs/>
                <w:kern w:val="2"/>
                <w:sz w:val="21"/>
                <w:szCs w:val="21"/>
                <w:lang w:val="en-US" w:eastAsia="zh-CN"/>
              </w:rPr>
              <w:t>物流</w:t>
            </w:r>
            <w:r>
              <w:rPr>
                <w:rFonts w:hint="default" w:ascii="Times New Roman" w:hAnsi="Times New Roman" w:eastAsia="宋体" w:cs="Times New Roman"/>
                <w:bCs/>
                <w:kern w:val="2"/>
                <w:sz w:val="21"/>
                <w:szCs w:val="21"/>
              </w:rPr>
              <w:t>无人机远程调度平台的技术功能：</w:t>
            </w:r>
          </w:p>
          <w:p w14:paraId="0EB6380A">
            <w:pPr>
              <w:widowControl w:val="0"/>
              <w:numPr>
                <w:ilvl w:val="0"/>
                <w:numId w:val="2"/>
              </w:numPr>
              <w:shd w:val="clear" w:color="auto" w:fill="auto"/>
              <w:tabs>
                <w:tab w:val="left" w:pos="426"/>
                <w:tab w:val="clear" w:pos="312"/>
              </w:tabs>
              <w:autoSpaceDE w:val="0"/>
              <w:adjustRightInd/>
              <w:snapToGrid/>
              <w:spacing w:line="300" w:lineRule="auto"/>
              <w:jc w:val="both"/>
              <w:rPr>
                <w:rFonts w:hint="eastAsia" w:ascii="Times New Roman" w:cs="Times New Roman"/>
                <w:bCs/>
                <w:kern w:val="2"/>
                <w:sz w:val="21"/>
                <w:szCs w:val="21"/>
                <w:lang w:val="en-US" w:eastAsia="zh-CN"/>
              </w:rPr>
            </w:pPr>
            <w:r>
              <w:rPr>
                <w:rFonts w:hint="eastAsia" w:ascii="Times New Roman" w:cs="Times New Roman"/>
                <w:bCs/>
                <w:kern w:val="2"/>
                <w:sz w:val="21"/>
                <w:szCs w:val="21"/>
                <w:lang w:val="en-US" w:eastAsia="zh-CN"/>
              </w:rPr>
              <w:t>应急处置能力</w:t>
            </w:r>
            <w:r>
              <w:rPr>
                <w:rFonts w:hint="default" w:ascii="Times New Roman" w:hAnsi="Times New Roman" w:eastAsia="宋体" w:cs="Times New Roman"/>
                <w:bCs/>
                <w:kern w:val="2"/>
                <w:sz w:val="21"/>
                <w:szCs w:val="21"/>
              </w:rPr>
              <w:t>：</w:t>
            </w:r>
            <w:r>
              <w:rPr>
                <w:rFonts w:hint="eastAsia" w:ascii="Times New Roman" w:cs="Times New Roman"/>
                <w:bCs/>
                <w:kern w:val="2"/>
                <w:sz w:val="21"/>
                <w:szCs w:val="21"/>
                <w:lang w:val="en-US" w:eastAsia="zh-CN"/>
              </w:rPr>
              <w:t>调度平台</w:t>
            </w:r>
            <w:r>
              <w:rPr>
                <w:rFonts w:hint="default" w:ascii="Times New Roman" w:hAnsi="Times New Roman" w:eastAsia="宋体" w:cs="Times New Roman"/>
                <w:bCs/>
                <w:kern w:val="2"/>
                <w:sz w:val="21"/>
                <w:szCs w:val="21"/>
                <w:lang w:val="en-US" w:eastAsia="zh-CN"/>
              </w:rPr>
              <w:t>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中第4.5.1条：无人机系统应具备应急处置能力，至少包括应急备降、减速飞行、自动返航、紧急悬停、应急迫降、应急停桨等功能；</w:t>
            </w:r>
          </w:p>
          <w:p w14:paraId="4B0CC182">
            <w:pPr>
              <w:widowControl w:val="0"/>
              <w:numPr>
                <w:ilvl w:val="0"/>
                <w:numId w:val="2"/>
              </w:numPr>
              <w:shd w:val="clear" w:color="auto" w:fill="auto"/>
              <w:tabs>
                <w:tab w:val="left" w:pos="426"/>
                <w:tab w:val="clear" w:pos="312"/>
              </w:tabs>
              <w:autoSpaceDE w:val="0"/>
              <w:adjustRightInd/>
              <w:snapToGrid/>
              <w:spacing w:line="300" w:lineRule="auto"/>
              <w:jc w:val="both"/>
              <w:rPr>
                <w:rFonts w:hint="eastAsia" w:ascii="Times New Roman" w:cs="Times New Roman"/>
                <w:bCs/>
                <w:kern w:val="2"/>
                <w:sz w:val="21"/>
                <w:szCs w:val="21"/>
                <w:lang w:val="en-US" w:eastAsia="zh-CN"/>
              </w:rPr>
            </w:pPr>
            <w:r>
              <w:rPr>
                <w:rFonts w:hint="eastAsia" w:ascii="Times New Roman" w:cs="Times New Roman"/>
                <w:bCs/>
                <w:kern w:val="2"/>
                <w:sz w:val="21"/>
                <w:szCs w:val="21"/>
                <w:lang w:val="en-US" w:eastAsia="zh-CN"/>
              </w:rPr>
              <w:t>调度</w:t>
            </w:r>
            <w:r>
              <w:rPr>
                <w:rFonts w:hint="default" w:ascii="Times New Roman" w:hAnsi="Times New Roman" w:eastAsia="宋体" w:cs="Times New Roman"/>
                <w:bCs/>
                <w:kern w:val="2"/>
                <w:sz w:val="21"/>
                <w:szCs w:val="21"/>
              </w:rPr>
              <w:t>平台</w:t>
            </w:r>
            <w:r>
              <w:rPr>
                <w:rFonts w:hint="eastAsia" w:ascii="Times New Roman" w:cs="Times New Roman"/>
                <w:bCs/>
                <w:kern w:val="2"/>
                <w:sz w:val="21"/>
                <w:szCs w:val="21"/>
                <w:lang w:val="en-US" w:eastAsia="zh-CN"/>
              </w:rPr>
              <w:t>可查看无人机飞行中摄像头回传的实时画面；</w:t>
            </w:r>
          </w:p>
          <w:p w14:paraId="2C266BCE">
            <w:pPr>
              <w:widowControl w:val="0"/>
              <w:numPr>
                <w:ilvl w:val="0"/>
                <w:numId w:val="2"/>
              </w:numPr>
              <w:shd w:val="clear" w:color="auto" w:fill="auto"/>
              <w:tabs>
                <w:tab w:val="left" w:pos="426"/>
                <w:tab w:val="clear" w:pos="312"/>
              </w:tabs>
              <w:autoSpaceDE w:val="0"/>
              <w:adjustRightInd/>
              <w:snapToGrid/>
              <w:spacing w:line="300" w:lineRule="auto"/>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调度</w:t>
            </w:r>
            <w:r>
              <w:rPr>
                <w:rFonts w:hint="default" w:ascii="Times New Roman" w:hAnsi="Times New Roman" w:eastAsia="宋体" w:cs="Times New Roman"/>
                <w:bCs/>
                <w:kern w:val="2"/>
                <w:sz w:val="21"/>
                <w:szCs w:val="21"/>
              </w:rPr>
              <w:t>平台</w:t>
            </w:r>
            <w:r>
              <w:rPr>
                <w:rFonts w:hint="eastAsia" w:ascii="Times New Roman" w:cs="Times New Roman"/>
                <w:bCs/>
                <w:kern w:val="2"/>
                <w:sz w:val="21"/>
                <w:szCs w:val="21"/>
                <w:lang w:val="en-US" w:eastAsia="zh-CN"/>
              </w:rPr>
              <w:t>可与无人机医疗温控箱链接，可通过平台实时查看温控箱运输温度数据及历史温度数据导出；</w:t>
            </w:r>
          </w:p>
          <w:p w14:paraId="66C13E2B">
            <w:pPr>
              <w:widowControl w:val="0"/>
              <w:numPr>
                <w:ilvl w:val="0"/>
                <w:numId w:val="2"/>
              </w:numPr>
              <w:shd w:val="clear" w:color="auto" w:fill="auto"/>
              <w:tabs>
                <w:tab w:val="left" w:pos="426"/>
                <w:tab w:val="clear" w:pos="312"/>
              </w:tabs>
              <w:autoSpaceDE w:val="0"/>
              <w:adjustRightInd/>
              <w:snapToGrid/>
              <w:spacing w:line="300" w:lineRule="auto"/>
              <w:jc w:val="both"/>
              <w:rPr>
                <w:rFonts w:hint="default" w:ascii="Times New Roman" w:hAnsi="Times New Roman" w:eastAsia="宋体" w:cs="Times New Roman"/>
                <w:bCs/>
                <w:kern w:val="2"/>
                <w:sz w:val="21"/>
                <w:szCs w:val="21"/>
              </w:rPr>
            </w:pPr>
            <w:r>
              <w:rPr>
                <w:rFonts w:hint="eastAsia" w:ascii="Times New Roman" w:cs="Times New Roman"/>
                <w:bCs/>
                <w:kern w:val="2"/>
                <w:sz w:val="21"/>
                <w:szCs w:val="21"/>
                <w:lang w:val="en-US" w:eastAsia="zh-CN"/>
              </w:rPr>
              <w:t>调度平台已接入气象局实时气象数据，包括实时天气、温度、风力、风向、电离层等；</w:t>
            </w:r>
          </w:p>
          <w:p w14:paraId="1F5EA9D8">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以上1-</w:t>
            </w:r>
            <w:r>
              <w:rPr>
                <w:rFonts w:hint="eastAsia" w:ascii="Times New Roman" w:cs="Times New Roman"/>
                <w:bCs/>
                <w:kern w:val="2"/>
                <w:sz w:val="21"/>
                <w:szCs w:val="21"/>
                <w:lang w:val="en-US" w:eastAsia="zh-CN"/>
              </w:rPr>
              <w:t>4</w:t>
            </w:r>
            <w:r>
              <w:rPr>
                <w:rFonts w:hint="default" w:ascii="Times New Roman" w:hAnsi="Times New Roman" w:eastAsia="宋体" w:cs="Times New Roman"/>
                <w:bCs/>
                <w:kern w:val="2"/>
                <w:sz w:val="21"/>
                <w:szCs w:val="21"/>
              </w:rPr>
              <w:t>项全部满足得</w:t>
            </w:r>
            <w:r>
              <w:rPr>
                <w:rFonts w:hint="eastAsia" w:ascii="Times New Roman" w:hAnsi="Times New Roman" w:eastAsia="宋体" w:cs="Times New Roman"/>
                <w:bCs/>
                <w:kern w:val="2"/>
                <w:sz w:val="21"/>
                <w:szCs w:val="21"/>
                <w:lang w:val="en-US" w:eastAsia="zh-CN"/>
              </w:rPr>
              <w:t>18</w:t>
            </w:r>
            <w:r>
              <w:rPr>
                <w:rFonts w:hint="default" w:ascii="Times New Roman" w:hAnsi="Times New Roman" w:eastAsia="宋体" w:cs="Times New Roman"/>
                <w:bCs/>
                <w:kern w:val="2"/>
                <w:sz w:val="21"/>
                <w:szCs w:val="21"/>
              </w:rPr>
              <w:t>分，每负偏离一项扣</w:t>
            </w:r>
            <w:r>
              <w:rPr>
                <w:rFonts w:hint="eastAsia" w:ascii="Times New Roman" w:cs="Times New Roman"/>
                <w:bCs/>
                <w:kern w:val="2"/>
                <w:sz w:val="21"/>
                <w:szCs w:val="21"/>
                <w:lang w:val="en-US" w:eastAsia="zh-CN"/>
              </w:rPr>
              <w:t>5</w:t>
            </w:r>
            <w:r>
              <w:rPr>
                <w:rFonts w:hint="default" w:ascii="Times New Roman" w:hAnsi="Times New Roman" w:eastAsia="宋体" w:cs="Times New Roman"/>
                <w:bCs/>
                <w:kern w:val="2"/>
                <w:sz w:val="21"/>
                <w:szCs w:val="21"/>
              </w:rPr>
              <w:t>分，扣完为止。</w:t>
            </w:r>
          </w:p>
          <w:p w14:paraId="71566F22">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（二）评分依据：</w:t>
            </w:r>
          </w:p>
          <w:p w14:paraId="502FC037">
            <w:pPr>
              <w:widowControl w:val="0"/>
              <w:shd w:val="clear" w:color="auto" w:fill="auto"/>
              <w:tabs>
                <w:tab w:val="left" w:pos="426"/>
              </w:tabs>
              <w:adjustRightInd/>
              <w:snapToGrid/>
              <w:spacing w:line="300" w:lineRule="auto"/>
              <w:jc w:val="both"/>
              <w:rPr>
                <w:rFonts w:hint="default" w:ascii="Times New Roman" w:cs="Times New Roman"/>
                <w:bCs/>
                <w:kern w:val="2"/>
                <w:sz w:val="21"/>
                <w:szCs w:val="21"/>
                <w:lang w:val="en-US" w:eastAsia="zh-CN"/>
              </w:rPr>
            </w:pPr>
            <w:r>
              <w:rPr>
                <w:rFonts w:hint="default"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w:t>
            </w:r>
            <w:r>
              <w:rPr>
                <w:rFonts w:hint="eastAsia" w:ascii="Times New Roman" w:cs="Times New Roman"/>
                <w:bCs/>
                <w:kern w:val="2"/>
                <w:sz w:val="21"/>
                <w:szCs w:val="21"/>
                <w:lang w:val="en-US" w:eastAsia="zh-CN"/>
              </w:rPr>
              <w:t>提供调度平台报告或截图证明（上述功能需在同一平台内实现全面集成）；</w:t>
            </w:r>
          </w:p>
          <w:p w14:paraId="3BE89F1B">
            <w:pPr>
              <w:widowControl/>
              <w:jc w:val="left"/>
              <w:rPr>
                <w:rFonts w:ascii="宋体" w:hAnsi="宋体" w:eastAsia="宋体" w:cs="仿宋"/>
                <w:kern w:val="2"/>
                <w:sz w:val="21"/>
                <w:szCs w:val="21"/>
                <w:lang w:val="en-US" w:eastAsia="zh-CN" w:bidi="ar-SA"/>
              </w:rPr>
            </w:pPr>
            <w:r>
              <w:rPr>
                <w:rFonts w:hint="eastAsia" w:ascii="Times New Roman" w:cs="Times New Roman"/>
                <w:bCs/>
                <w:kern w:val="2"/>
                <w:sz w:val="21"/>
                <w:szCs w:val="21"/>
                <w:lang w:val="en-US" w:eastAsia="zh-CN"/>
              </w:rPr>
              <w:t>2</w:t>
            </w:r>
            <w:r>
              <w:rPr>
                <w:rFonts w:hint="eastAsia" w:ascii="Times New Roman" w:hAnsi="Times New Roman" w:eastAsia="宋体" w:cs="Times New Roman"/>
                <w:bCs/>
                <w:kern w:val="2"/>
                <w:sz w:val="21"/>
                <w:szCs w:val="21"/>
                <w:lang w:val="en-US" w:eastAsia="zh-CN"/>
              </w:rPr>
              <w:t>.</w:t>
            </w:r>
            <w:r>
              <w:rPr>
                <w:rFonts w:hint="default" w:ascii="Times New Roman" w:hAnsi="Times New Roman" w:eastAsia="宋体" w:cs="Times New Roman"/>
                <w:bCs/>
                <w:kern w:val="2"/>
                <w:sz w:val="21"/>
                <w:szCs w:val="21"/>
              </w:rPr>
              <w:t>以上证明材料不提供或提供不清晰导致专家无法判断的不得分。</w:t>
            </w:r>
          </w:p>
        </w:tc>
      </w:tr>
      <w:tr w14:paraId="75FD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top"/>
          </w:tcPr>
          <w:p w14:paraId="77CB568B">
            <w:pPr>
              <w:jc w:val="center"/>
              <w:rPr>
                <w:rFonts w:ascii="宋体" w:hAnsi="宋体"/>
                <w:b/>
                <w:szCs w:val="21"/>
              </w:rPr>
            </w:pPr>
            <w:r>
              <w:rPr>
                <w:rFonts w:ascii="宋体" w:hAnsi="宋体"/>
                <w:b/>
                <w:szCs w:val="21"/>
              </w:rPr>
              <w:t>3</w:t>
            </w:r>
          </w:p>
        </w:tc>
        <w:tc>
          <w:tcPr>
            <w:tcW w:w="2616" w:type="dxa"/>
            <w:gridSpan w:val="4"/>
            <w:tcBorders>
              <w:top w:val="single" w:color="auto" w:sz="4" w:space="0"/>
              <w:left w:val="single" w:color="auto" w:sz="4" w:space="0"/>
              <w:bottom w:val="single" w:color="auto" w:sz="4" w:space="0"/>
              <w:right w:val="single" w:color="auto" w:sz="4" w:space="0"/>
            </w:tcBorders>
            <w:vAlign w:val="top"/>
          </w:tcPr>
          <w:p w14:paraId="678A53EB">
            <w:pPr>
              <w:jc w:val="center"/>
              <w:rPr>
                <w:rFonts w:ascii="宋体" w:hAnsi="宋体"/>
                <w:b/>
                <w:szCs w:val="21"/>
              </w:rPr>
            </w:pPr>
            <w:r>
              <w:rPr>
                <w:rFonts w:hint="eastAsia" w:ascii="宋体" w:hAnsi="宋体"/>
                <w:b/>
                <w:szCs w:val="21"/>
              </w:rPr>
              <w:t>商务部分</w:t>
            </w:r>
          </w:p>
        </w:tc>
        <w:tc>
          <w:tcPr>
            <w:tcW w:w="5286" w:type="dxa"/>
            <w:gridSpan w:val="2"/>
            <w:tcBorders>
              <w:top w:val="single" w:color="auto" w:sz="4" w:space="0"/>
              <w:left w:val="single" w:color="auto" w:sz="4" w:space="0"/>
              <w:bottom w:val="single" w:color="auto" w:sz="4" w:space="0"/>
              <w:right w:val="single" w:color="auto" w:sz="4" w:space="0"/>
            </w:tcBorders>
            <w:vAlign w:val="top"/>
          </w:tcPr>
          <w:p w14:paraId="46DABE41">
            <w:pPr>
              <w:jc w:val="center"/>
              <w:rPr>
                <w:rFonts w:hint="default" w:ascii="宋体" w:hAnsi="宋体" w:eastAsia="宋体"/>
                <w:b/>
                <w:szCs w:val="21"/>
                <w:lang w:val="en-US" w:eastAsia="zh-CN"/>
              </w:rPr>
            </w:pPr>
            <w:r>
              <w:rPr>
                <w:rFonts w:hint="eastAsia" w:ascii="宋体" w:hAnsi="宋体"/>
                <w:b/>
                <w:szCs w:val="21"/>
                <w:lang w:val="en-US" w:eastAsia="zh-CN"/>
              </w:rPr>
              <w:t>35</w:t>
            </w:r>
          </w:p>
        </w:tc>
      </w:tr>
      <w:tr w14:paraId="12B4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top"/>
          </w:tcPr>
          <w:p w14:paraId="49BDC144">
            <w:pPr>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79A60898">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7B45377A">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217AC6E9">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17544E44">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63EA419A">
            <w:pPr>
              <w:jc w:val="center"/>
              <w:rPr>
                <w:rFonts w:ascii="宋体" w:hAnsi="宋体"/>
                <w:szCs w:val="21"/>
              </w:rPr>
            </w:pPr>
            <w:r>
              <w:rPr>
                <w:rFonts w:hint="eastAsia" w:ascii="宋体" w:hAnsi="宋体"/>
                <w:szCs w:val="21"/>
              </w:rPr>
              <w:t>评分准则</w:t>
            </w:r>
          </w:p>
        </w:tc>
      </w:tr>
      <w:tr w14:paraId="6892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4FAB2B4">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C09FAAA">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48D7FE3A">
            <w:pPr>
              <w:widowControl/>
              <w:spacing w:line="120" w:lineRule="atLeast"/>
              <w:jc w:val="left"/>
              <w:rPr>
                <w:rFonts w:ascii="宋体" w:hAnsi="宋体"/>
                <w:szCs w:val="21"/>
              </w:rPr>
            </w:pPr>
            <w:r>
              <w:rPr>
                <w:rFonts w:hint="default" w:ascii="Times New Roman" w:hAnsi="Times New Roman" w:eastAsia="宋体" w:cs="Times New Roman"/>
                <w:color w:val="000000"/>
                <w:kern w:val="0"/>
                <w:sz w:val="21"/>
                <w:szCs w:val="21"/>
              </w:rPr>
              <w:t>知识产权情况</w:t>
            </w:r>
          </w:p>
        </w:tc>
        <w:tc>
          <w:tcPr>
            <w:tcW w:w="416" w:type="dxa"/>
            <w:tcBorders>
              <w:top w:val="single" w:color="auto" w:sz="4" w:space="0"/>
              <w:left w:val="single" w:color="auto" w:sz="4" w:space="0"/>
              <w:bottom w:val="single" w:color="auto" w:sz="4" w:space="0"/>
              <w:right w:val="single" w:color="auto" w:sz="4" w:space="0"/>
            </w:tcBorders>
            <w:vAlign w:val="center"/>
          </w:tcPr>
          <w:p w14:paraId="55AB3D99">
            <w:pPr>
              <w:widowControl/>
              <w:spacing w:line="120" w:lineRule="atLeast"/>
              <w:jc w:val="center"/>
              <w:rPr>
                <w:rFonts w:hint="eastAsia" w:eastAsia="宋体"/>
                <w:lang w:eastAsia="zh-CN"/>
              </w:rPr>
            </w:pPr>
            <w:r>
              <w:rPr>
                <w:rFonts w:hint="eastAsia" w:ascii="宋体" w:hAnsi="宋体"/>
                <w:szCs w:val="21"/>
                <w:lang w:val="en-US" w:eastAsia="zh-CN"/>
              </w:rPr>
              <w:t>3</w:t>
            </w:r>
          </w:p>
        </w:tc>
        <w:tc>
          <w:tcPr>
            <w:tcW w:w="1154" w:type="dxa"/>
            <w:tcBorders>
              <w:top w:val="single" w:color="auto" w:sz="4" w:space="0"/>
              <w:left w:val="single" w:color="auto" w:sz="4" w:space="0"/>
              <w:bottom w:val="single" w:color="auto" w:sz="4" w:space="0"/>
              <w:right w:val="single" w:color="auto" w:sz="4" w:space="0"/>
            </w:tcBorders>
            <w:vAlign w:val="center"/>
          </w:tcPr>
          <w:p w14:paraId="52BC7161">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3D17A32D">
            <w:pPr>
              <w:widowControl w:val="0"/>
              <w:shd w:val="clear" w:color="auto" w:fill="auto"/>
              <w:tabs>
                <w:tab w:val="left" w:pos="426"/>
              </w:tabs>
              <w:adjustRightInd/>
              <w:snapToGrid/>
              <w:spacing w:line="300" w:lineRule="auto"/>
              <w:jc w:val="both"/>
              <w:rPr>
                <w:rFonts w:hint="default" w:ascii="Times New Roman" w:hAnsi="Times New Roman" w:eastAsia="宋体" w:cs="Times New Roman"/>
                <w:bCs/>
                <w:kern w:val="2"/>
                <w:sz w:val="21"/>
                <w:szCs w:val="21"/>
              </w:rPr>
            </w:pPr>
            <w:r>
              <w:rPr>
                <w:rFonts w:hint="default" w:ascii="Times New Roman" w:hAnsi="Times New Roman" w:eastAsia="宋体" w:cs="Times New Roman"/>
                <w:bCs/>
                <w:kern w:val="2"/>
                <w:sz w:val="21"/>
                <w:szCs w:val="21"/>
              </w:rPr>
              <w:t>（一）评分内容：</w:t>
            </w:r>
          </w:p>
          <w:p w14:paraId="32EDAF42">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w:t>
            </w:r>
            <w:r>
              <w:rPr>
                <w:rFonts w:hint="eastAsia" w:ascii="Times New Roman" w:cs="Times New Roman"/>
                <w:kern w:val="2"/>
                <w:sz w:val="21"/>
                <w:szCs w:val="21"/>
                <w:lang w:val="en-US" w:eastAsia="zh-CN"/>
              </w:rPr>
              <w:t>具有</w:t>
            </w:r>
            <w:r>
              <w:rPr>
                <w:rFonts w:hint="eastAsia" w:ascii="宋体" w:hAnsi="宋体" w:eastAsia="宋体"/>
                <w:color w:val="auto"/>
                <w:sz w:val="21"/>
                <w:szCs w:val="21"/>
              </w:rPr>
              <w:t>无人机相关专利或软著</w:t>
            </w:r>
            <w:r>
              <w:rPr>
                <w:rFonts w:hint="eastAsia" w:ascii="宋体" w:hAnsi="宋体" w:eastAsia="宋体"/>
                <w:color w:val="auto"/>
                <w:sz w:val="21"/>
                <w:szCs w:val="21"/>
                <w:lang w:eastAsia="zh-CN"/>
              </w:rPr>
              <w:t>，</w:t>
            </w:r>
            <w:r>
              <w:rPr>
                <w:rFonts w:hint="default" w:ascii="Times New Roman" w:hAnsi="Times New Roman" w:eastAsia="宋体" w:cs="Times New Roman"/>
                <w:kern w:val="2"/>
                <w:sz w:val="21"/>
                <w:szCs w:val="21"/>
              </w:rPr>
              <w:t>每提供一项得</w:t>
            </w:r>
            <w:r>
              <w:rPr>
                <w:rFonts w:hint="eastAsia" w:ascii="Times New Roman" w:cs="Times New Roman"/>
                <w:kern w:val="2"/>
                <w:sz w:val="21"/>
                <w:szCs w:val="21"/>
                <w:lang w:val="en-US" w:eastAsia="zh-CN"/>
              </w:rPr>
              <w:t>1.5</w:t>
            </w:r>
            <w:r>
              <w:rPr>
                <w:rFonts w:hint="default" w:ascii="Times New Roman" w:hAnsi="Times New Roman" w:eastAsia="宋体" w:cs="Times New Roman"/>
                <w:kern w:val="2"/>
                <w:sz w:val="21"/>
                <w:szCs w:val="21"/>
              </w:rPr>
              <w:t>分，最多得</w:t>
            </w:r>
            <w:r>
              <w:rPr>
                <w:rFonts w:hint="eastAsia" w:ascii="Times New Roman" w:hAnsi="Times New Roman" w:eastAsia="宋体" w:cs="Times New Roman"/>
                <w:kern w:val="2"/>
                <w:sz w:val="21"/>
                <w:szCs w:val="21"/>
                <w:lang w:val="en-US" w:eastAsia="zh-CN"/>
              </w:rPr>
              <w:t>3</w:t>
            </w:r>
            <w:r>
              <w:rPr>
                <w:rFonts w:hint="default" w:ascii="Times New Roman" w:hAnsi="Times New Roman" w:eastAsia="宋体" w:cs="Times New Roman"/>
                <w:kern w:val="2"/>
                <w:sz w:val="21"/>
                <w:szCs w:val="21"/>
              </w:rPr>
              <w:t>分。</w:t>
            </w:r>
          </w:p>
          <w:p w14:paraId="1B2DC537">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0CBF65C2">
            <w:pPr>
              <w:widowControl/>
              <w:shd w:val="clear" w:color="auto" w:fill="auto"/>
              <w:tabs>
                <w:tab w:val="left" w:pos="426"/>
              </w:tabs>
              <w:adjustRightInd/>
              <w:snapToGrid/>
              <w:spacing w:line="240" w:lineRule="auto"/>
              <w:jc w:val="both"/>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证书（著作权人或专利权人为投标人）</w:t>
            </w:r>
            <w:r>
              <w:rPr>
                <w:rFonts w:hint="eastAsia" w:ascii="Times New Roman" w:cs="Times New Roman"/>
                <w:color w:val="000000"/>
                <w:kern w:val="0"/>
                <w:sz w:val="21"/>
                <w:szCs w:val="21"/>
                <w:lang w:val="en-US" w:eastAsia="zh-CN"/>
              </w:rPr>
              <w:t>扫描件</w:t>
            </w:r>
            <w:r>
              <w:rPr>
                <w:rFonts w:hint="default" w:ascii="Times New Roman" w:hAnsi="Times New Roman" w:eastAsia="宋体" w:cs="Times New Roman"/>
                <w:color w:val="000000"/>
                <w:kern w:val="0"/>
                <w:sz w:val="21"/>
                <w:szCs w:val="21"/>
              </w:rPr>
              <w:t>，原件备查；</w:t>
            </w:r>
          </w:p>
          <w:p w14:paraId="12A51C7F">
            <w:pPr>
              <w:widowControl/>
              <w:shd w:val="clear" w:color="auto" w:fill="auto"/>
              <w:tabs>
                <w:tab w:val="left" w:pos="426"/>
              </w:tabs>
              <w:adjustRightInd/>
              <w:snapToGrid/>
              <w:spacing w:line="240" w:lineRule="auto"/>
              <w:jc w:val="both"/>
              <w:textAlignment w:val="center"/>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w:t>
            </w:r>
            <w:r>
              <w:rPr>
                <w:rFonts w:hint="default" w:ascii="Times New Roman" w:hAnsi="Times New Roman" w:eastAsia="宋体" w:cs="Times New Roman"/>
                <w:color w:val="000000"/>
                <w:kern w:val="0"/>
                <w:sz w:val="21"/>
                <w:szCs w:val="21"/>
              </w:rPr>
              <w:t>购买或租赁的提供证书（著作权人或专利权人为出售/出租方）</w:t>
            </w:r>
            <w:r>
              <w:rPr>
                <w:rFonts w:hint="eastAsia" w:ascii="Times New Roman" w:cs="Times New Roman"/>
                <w:color w:val="000000"/>
                <w:kern w:val="0"/>
                <w:sz w:val="21"/>
                <w:szCs w:val="21"/>
                <w:lang w:val="en-US" w:eastAsia="zh-CN"/>
              </w:rPr>
              <w:t>需提供</w:t>
            </w:r>
            <w:r>
              <w:rPr>
                <w:rFonts w:hint="default" w:ascii="Times New Roman" w:hAnsi="Times New Roman" w:eastAsia="宋体" w:cs="Times New Roman"/>
                <w:color w:val="000000"/>
                <w:kern w:val="0"/>
                <w:sz w:val="21"/>
                <w:szCs w:val="21"/>
              </w:rPr>
              <w:t>购买合同（或租赁合同）</w:t>
            </w:r>
            <w:r>
              <w:rPr>
                <w:rFonts w:hint="eastAsia" w:ascii="Times New Roman" w:cs="Times New Roman"/>
                <w:color w:val="000000"/>
                <w:kern w:val="0"/>
                <w:sz w:val="21"/>
                <w:szCs w:val="21"/>
                <w:lang w:eastAsia="zh-CN"/>
              </w:rPr>
              <w:t>；</w:t>
            </w:r>
          </w:p>
          <w:p w14:paraId="04827B41">
            <w:pPr>
              <w:widowControl/>
              <w:spacing w:line="120" w:lineRule="atLeast"/>
              <w:jc w:val="left"/>
              <w:rPr>
                <w:rFonts w:ascii="宋体" w:hAnsi="宋体"/>
                <w:szCs w:val="21"/>
              </w:rPr>
            </w:pPr>
            <w:r>
              <w:rPr>
                <w:rFonts w:hint="eastAsia" w:ascii="Times New Roman" w:hAnsi="Times New Roman" w:eastAsia="宋体" w:cs="Times New Roman"/>
                <w:kern w:val="2"/>
                <w:sz w:val="21"/>
                <w:szCs w:val="21"/>
                <w:lang w:val="en-US" w:eastAsia="zh-CN"/>
              </w:rPr>
              <w:t>3.</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7DF6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989D2E2">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20E647E3">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2AC501E4">
            <w:pPr>
              <w:widowControl/>
              <w:spacing w:line="120" w:lineRule="atLeas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2"/>
                <w:sz w:val="21"/>
                <w:szCs w:val="21"/>
              </w:rPr>
              <w:t>投标人业绩</w:t>
            </w:r>
          </w:p>
        </w:tc>
        <w:tc>
          <w:tcPr>
            <w:tcW w:w="416" w:type="dxa"/>
            <w:tcBorders>
              <w:top w:val="single" w:color="auto" w:sz="4" w:space="0"/>
              <w:left w:val="single" w:color="auto" w:sz="4" w:space="0"/>
              <w:bottom w:val="single" w:color="auto" w:sz="4" w:space="0"/>
              <w:right w:val="single" w:color="auto" w:sz="4" w:space="0"/>
            </w:tcBorders>
            <w:vAlign w:val="center"/>
          </w:tcPr>
          <w:p w14:paraId="704D0100">
            <w:pPr>
              <w:widowControl/>
              <w:spacing w:line="120" w:lineRule="atLeast"/>
              <w:jc w:val="center"/>
              <w:rPr>
                <w:rFonts w:hint="default" w:ascii="宋体" w:hAnsi="宋体"/>
                <w:szCs w:val="21"/>
                <w:lang w:val="en-US" w:eastAsia="zh-CN"/>
              </w:rPr>
            </w:pPr>
            <w:r>
              <w:rPr>
                <w:rFonts w:hint="eastAsia" w:ascii="宋体" w:hAnsi="宋体"/>
                <w:szCs w:val="21"/>
                <w:lang w:val="en-US" w:eastAsia="zh-CN"/>
              </w:rPr>
              <w:t>4</w:t>
            </w:r>
          </w:p>
        </w:tc>
        <w:tc>
          <w:tcPr>
            <w:tcW w:w="1154" w:type="dxa"/>
            <w:tcBorders>
              <w:top w:val="single" w:color="auto" w:sz="4" w:space="0"/>
              <w:left w:val="single" w:color="auto" w:sz="4" w:space="0"/>
              <w:bottom w:val="single" w:color="auto" w:sz="4" w:space="0"/>
              <w:right w:val="single" w:color="auto" w:sz="4" w:space="0"/>
            </w:tcBorders>
            <w:vAlign w:val="center"/>
          </w:tcPr>
          <w:p w14:paraId="356D4F34">
            <w:pPr>
              <w:jc w:val="center"/>
              <w:rPr>
                <w:rFonts w:hint="eastAsia" w:ascii="宋体" w:hAnsi="宋体" w:eastAsia="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579B760F">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（一）评分内容：</w:t>
            </w:r>
          </w:p>
          <w:p w14:paraId="58E5D50B">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自20</w:t>
            </w:r>
            <w:r>
              <w:rPr>
                <w:rFonts w:hint="eastAsia" w:ascii="Times New Roman" w:hAnsi="Times New Roman" w:eastAsia="宋体" w:cs="Times New Roman"/>
                <w:kern w:val="2"/>
                <w:sz w:val="21"/>
                <w:szCs w:val="21"/>
                <w:lang w:val="en-US" w:eastAsia="zh-CN"/>
              </w:rPr>
              <w:t>21</w:t>
            </w:r>
            <w:r>
              <w:rPr>
                <w:rFonts w:hint="default" w:ascii="Times New Roman" w:hAnsi="Times New Roman" w:eastAsia="宋体" w:cs="Times New Roman"/>
                <w:kern w:val="2"/>
                <w:sz w:val="21"/>
                <w:szCs w:val="21"/>
              </w:rPr>
              <w:t>年</w:t>
            </w:r>
            <w:r>
              <w:rPr>
                <w:rFonts w:hint="eastAsia" w:ascii="Times New Roman" w:hAnsi="Times New Roman" w:eastAsia="宋体" w:cs="Times New Roman"/>
                <w:kern w:val="2"/>
                <w:sz w:val="21"/>
                <w:szCs w:val="21"/>
                <w:lang w:val="en-US" w:eastAsia="zh-CN"/>
              </w:rPr>
              <w:t>1</w:t>
            </w:r>
            <w:r>
              <w:rPr>
                <w:rFonts w:hint="default" w:ascii="Times New Roman" w:hAnsi="Times New Roman" w:eastAsia="宋体" w:cs="Times New Roman"/>
                <w:kern w:val="2"/>
                <w:sz w:val="21"/>
                <w:szCs w:val="21"/>
              </w:rPr>
              <w:t>月至</w:t>
            </w:r>
            <w:r>
              <w:rPr>
                <w:rFonts w:hint="eastAsia" w:ascii="Times New Roman" w:hAnsi="Times New Roman" w:eastAsia="宋体" w:cs="Times New Roman"/>
                <w:kern w:val="2"/>
                <w:sz w:val="21"/>
                <w:szCs w:val="21"/>
                <w:lang w:val="en-US" w:eastAsia="zh-CN"/>
              </w:rPr>
              <w:t>本项目招标公告发布之日</w:t>
            </w:r>
            <w:r>
              <w:rPr>
                <w:rFonts w:hint="default" w:ascii="Times New Roman" w:hAnsi="Times New Roman" w:eastAsia="宋体" w:cs="Times New Roman"/>
                <w:kern w:val="2"/>
                <w:sz w:val="21"/>
                <w:szCs w:val="21"/>
              </w:rPr>
              <w:t>前的项目业绩(以合同签订时间为准)）承接过</w:t>
            </w:r>
            <w:r>
              <w:rPr>
                <w:rFonts w:hint="eastAsia" w:ascii="宋体" w:hAnsi="宋体" w:cs="宋体"/>
                <w:kern w:val="0"/>
                <w:szCs w:val="21"/>
              </w:rPr>
              <w:t>无人机</w:t>
            </w:r>
            <w:r>
              <w:rPr>
                <w:rFonts w:hint="eastAsia" w:ascii="宋体" w:hAnsi="宋体" w:cs="宋体"/>
                <w:kern w:val="0"/>
                <w:szCs w:val="21"/>
                <w:lang w:val="en-US" w:eastAsia="zh-CN"/>
              </w:rPr>
              <w:t>医疗</w:t>
            </w:r>
            <w:r>
              <w:rPr>
                <w:rFonts w:hint="eastAsia" w:ascii="宋体" w:hAnsi="宋体" w:cs="宋体"/>
                <w:kern w:val="0"/>
                <w:szCs w:val="21"/>
              </w:rPr>
              <w:t>运输服务</w:t>
            </w:r>
            <w:r>
              <w:rPr>
                <w:rFonts w:hint="default" w:ascii="Times New Roman" w:hAnsi="Times New Roman" w:eastAsia="宋体" w:cs="Times New Roman"/>
                <w:kern w:val="2"/>
                <w:sz w:val="21"/>
                <w:szCs w:val="21"/>
              </w:rPr>
              <w:t>项目业绩，</w:t>
            </w:r>
            <w:r>
              <w:rPr>
                <w:rFonts w:hint="eastAsia" w:ascii="Times New Roman" w:hAnsi="Times New Roman" w:eastAsia="宋体" w:cs="Times New Roman"/>
                <w:kern w:val="2"/>
                <w:sz w:val="21"/>
                <w:szCs w:val="21"/>
                <w:lang w:eastAsia="zh-CN"/>
              </w:rPr>
              <w:t>且证明材料必须体现相关关键内容</w:t>
            </w:r>
            <w:r>
              <w:rPr>
                <w:rFonts w:hint="default" w:ascii="Times New Roman" w:hAnsi="Times New Roman" w:eastAsia="宋体" w:cs="Times New Roman"/>
                <w:kern w:val="2"/>
                <w:sz w:val="21"/>
                <w:szCs w:val="21"/>
              </w:rPr>
              <w:t>，以合同签订时间为准，每提供一个得</w:t>
            </w:r>
            <w:r>
              <w:rPr>
                <w:rFonts w:hint="eastAsia" w:ascii="Times New Roman" w:hAnsi="Times New Roman" w:eastAsia="宋体" w:cs="Times New Roman"/>
                <w:kern w:val="2"/>
                <w:sz w:val="21"/>
                <w:szCs w:val="21"/>
                <w:lang w:val="en-US" w:eastAsia="zh-CN"/>
              </w:rPr>
              <w:t>2</w:t>
            </w:r>
            <w:r>
              <w:rPr>
                <w:rFonts w:hint="default" w:ascii="Times New Roman" w:hAnsi="Times New Roman" w:eastAsia="宋体" w:cs="Times New Roman"/>
                <w:kern w:val="2"/>
                <w:sz w:val="21"/>
                <w:szCs w:val="21"/>
              </w:rPr>
              <w:t>分数，最多得</w:t>
            </w: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分。</w:t>
            </w:r>
          </w:p>
          <w:p w14:paraId="4ECAD4BD">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（二）评分依据：</w:t>
            </w:r>
          </w:p>
          <w:p w14:paraId="352A0EE1">
            <w:pPr>
              <w:widowControl w:val="0"/>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投标人同时提供以下证明材料：</w:t>
            </w:r>
          </w:p>
          <w:p w14:paraId="41C5567A">
            <w:pPr>
              <w:widowControl w:val="0"/>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rPr>
              <w:t>1</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合同关键信息（含签订合同双方的单位名称、合同项目名称、含签订合同双方的盖章、签订日期的关键页）作为得分依据</w:t>
            </w:r>
            <w:r>
              <w:rPr>
                <w:rFonts w:hint="eastAsia" w:ascii="Times New Roman" w:cs="Times New Roman"/>
                <w:kern w:val="2"/>
                <w:sz w:val="21"/>
                <w:szCs w:val="21"/>
                <w:lang w:eastAsia="zh-CN"/>
              </w:rPr>
              <w:t>；</w:t>
            </w:r>
          </w:p>
          <w:p w14:paraId="150D795D">
            <w:pPr>
              <w:widowControl w:val="0"/>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eastAsia="zh-CN"/>
              </w:rPr>
            </w:pPr>
            <w:r>
              <w:rPr>
                <w:rFonts w:hint="eastAsia" w:ascii="Times New Roman" w:cs="Times New Roman"/>
                <w:kern w:val="2"/>
                <w:sz w:val="21"/>
                <w:szCs w:val="21"/>
                <w:lang w:val="en-US" w:eastAsia="zh-CN"/>
              </w:rPr>
              <w:t>2</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通过合同关键信息无法判断是否得分的，还须同时提供能证明得分的其它证明资料，如项目报告或合同甲方出具的证明文件等</w:t>
            </w:r>
            <w:r>
              <w:rPr>
                <w:rFonts w:hint="eastAsia" w:ascii="Times New Roman" w:cs="Times New Roman"/>
                <w:kern w:val="2"/>
                <w:sz w:val="21"/>
                <w:szCs w:val="21"/>
                <w:lang w:eastAsia="zh-CN"/>
              </w:rPr>
              <w:t>；</w:t>
            </w:r>
          </w:p>
          <w:p w14:paraId="76F8BD6D">
            <w:pPr>
              <w:widowControl/>
              <w:spacing w:line="120" w:lineRule="atLeast"/>
              <w:jc w:val="left"/>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3</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102E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E62B591">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018E1C71">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31035CF6">
            <w:pPr>
              <w:widowControl/>
              <w:spacing w:line="120" w:lineRule="atLeast"/>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服务网点</w:t>
            </w:r>
          </w:p>
        </w:tc>
        <w:tc>
          <w:tcPr>
            <w:tcW w:w="416" w:type="dxa"/>
            <w:tcBorders>
              <w:top w:val="single" w:color="auto" w:sz="4" w:space="0"/>
              <w:left w:val="single" w:color="auto" w:sz="4" w:space="0"/>
              <w:bottom w:val="single" w:color="auto" w:sz="4" w:space="0"/>
              <w:right w:val="single" w:color="auto" w:sz="4" w:space="0"/>
            </w:tcBorders>
            <w:vAlign w:val="center"/>
          </w:tcPr>
          <w:p w14:paraId="5E1146E2">
            <w:pPr>
              <w:widowControl/>
              <w:spacing w:line="120" w:lineRule="atLeast"/>
              <w:jc w:val="center"/>
              <w:rPr>
                <w:rFonts w:hint="default" w:ascii="宋体" w:hAnsi="宋体"/>
                <w:szCs w:val="21"/>
                <w:lang w:val="en-US" w:eastAsia="zh-CN"/>
              </w:rPr>
            </w:pPr>
            <w:r>
              <w:rPr>
                <w:rFonts w:hint="eastAsia" w:ascii="宋体" w:hAnsi="宋体"/>
                <w:szCs w:val="21"/>
                <w:lang w:val="en-US" w:eastAsia="zh-CN"/>
              </w:rPr>
              <w:t>1</w:t>
            </w:r>
          </w:p>
        </w:tc>
        <w:tc>
          <w:tcPr>
            <w:tcW w:w="1154" w:type="dxa"/>
            <w:tcBorders>
              <w:top w:val="single" w:color="auto" w:sz="4" w:space="0"/>
              <w:left w:val="single" w:color="auto" w:sz="4" w:space="0"/>
              <w:bottom w:val="single" w:color="auto" w:sz="4" w:space="0"/>
              <w:right w:val="single" w:color="auto" w:sz="4" w:space="0"/>
            </w:tcBorders>
            <w:vAlign w:val="center"/>
          </w:tcPr>
          <w:p w14:paraId="412F2B24">
            <w:pPr>
              <w:jc w:val="center"/>
              <w:rPr>
                <w:rFonts w:hint="eastAsia" w:ascii="宋体" w:hAnsi="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784988AB">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（一）评审内容：</w:t>
            </w:r>
          </w:p>
          <w:p w14:paraId="5378DB4D">
            <w:pPr>
              <w:widowControl w:val="0"/>
              <w:shd w:val="clear" w:color="auto" w:fill="auto"/>
              <w:tabs>
                <w:tab w:val="left" w:pos="426"/>
              </w:tabs>
              <w:adjustRightInd/>
              <w:snapToGrid/>
              <w:spacing w:line="240" w:lineRule="auto"/>
              <w:jc w:val="both"/>
              <w:rPr>
                <w:rFonts w:hint="eastAsia" w:ascii="Times New Roman" w:hAnsi="Times New Roman" w:eastAsia="宋体" w:cs="Times New Roman"/>
                <w:color w:val="000000"/>
                <w:kern w:val="0"/>
                <w:sz w:val="21"/>
                <w:szCs w:val="21"/>
                <w:lang w:eastAsia="zh-CN"/>
              </w:rPr>
            </w:pPr>
            <w:r>
              <w:rPr>
                <w:rFonts w:hint="eastAsia" w:ascii="Times New Roman" w:cs="Times New Roman"/>
                <w:color w:val="000000"/>
                <w:szCs w:val="21"/>
              </w:rPr>
              <w:t>参选单位具有本地（深圳市）服务网点得</w:t>
            </w:r>
            <w:r>
              <w:rPr>
                <w:rFonts w:hint="eastAsia" w:ascii="Times New Roman" w:cs="Times New Roman"/>
                <w:color w:val="000000"/>
                <w:szCs w:val="21"/>
                <w:lang w:val="en-US" w:eastAsia="zh-CN"/>
              </w:rPr>
              <w:t>1</w:t>
            </w:r>
            <w:r>
              <w:rPr>
                <w:rFonts w:hint="eastAsia" w:ascii="Times New Roman" w:cs="Times New Roman"/>
                <w:color w:val="000000"/>
                <w:szCs w:val="21"/>
              </w:rPr>
              <w:t>分</w:t>
            </w:r>
            <w:r>
              <w:rPr>
                <w:rFonts w:hint="eastAsia" w:ascii="Times New Roman" w:cs="Times New Roman"/>
                <w:color w:val="000000"/>
                <w:szCs w:val="21"/>
                <w:lang w:eastAsia="zh-CN"/>
              </w:rPr>
              <w:t>。</w:t>
            </w:r>
          </w:p>
          <w:p w14:paraId="66F32A5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6B2BFAC3">
            <w:pPr>
              <w:widowControl w:val="0"/>
              <w:shd w:val="clear" w:color="auto" w:fill="auto"/>
              <w:tabs>
                <w:tab w:val="left" w:pos="426"/>
              </w:tabs>
              <w:adjustRightInd/>
              <w:snapToGrid/>
              <w:spacing w:line="240" w:lineRule="auto"/>
              <w:jc w:val="both"/>
              <w:rPr>
                <w:rFonts w:hint="eastAsia" w:ascii="Times New Roman" w:eastAsia="宋体" w:cs="Times New Roman"/>
                <w:color w:val="000000"/>
                <w:szCs w:val="21"/>
                <w:lang w:eastAsia="zh-CN"/>
              </w:rPr>
            </w:pPr>
            <w:r>
              <w:rPr>
                <w:rFonts w:hint="default" w:ascii="Times New Roman" w:cs="Times New Roman"/>
                <w:color w:val="000000"/>
                <w:szCs w:val="21"/>
              </w:rPr>
              <w:t>1.参选单位具有本地服务网点要求提供营业执照复印件加盖公章，未提供不得分</w:t>
            </w:r>
            <w:r>
              <w:rPr>
                <w:rFonts w:hint="eastAsia" w:ascii="Times New Roman" w:cs="Times New Roman"/>
                <w:color w:val="000000"/>
                <w:szCs w:val="21"/>
                <w:lang w:eastAsia="zh-CN"/>
              </w:rPr>
              <w:t>；</w:t>
            </w:r>
          </w:p>
          <w:p w14:paraId="7AF6BB64">
            <w:pPr>
              <w:widowControl/>
              <w:spacing w:line="120" w:lineRule="atLeast"/>
              <w:jc w:val="left"/>
              <w:rPr>
                <w:rFonts w:hint="eastAsia" w:ascii="Times New Roman" w:cs="Times New Roman"/>
                <w:kern w:val="2"/>
                <w:sz w:val="21"/>
                <w:szCs w:val="21"/>
                <w:lang w:val="en-US" w:eastAsia="zh-CN"/>
              </w:rPr>
            </w:pPr>
            <w:r>
              <w:rPr>
                <w:rFonts w:hint="default" w:ascii="Times New Roman" w:cs="Times New Roman"/>
                <w:color w:val="000000"/>
                <w:szCs w:val="21"/>
              </w:rPr>
              <w:t>2.</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4E9A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85DE45F">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3A4FFC16">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459207D8">
            <w:pPr>
              <w:widowControl w:val="0"/>
              <w:shd w:val="clear" w:color="auto" w:fill="auto"/>
              <w:tabs>
                <w:tab w:val="left" w:pos="426"/>
              </w:tabs>
              <w:adjustRightInd/>
              <w:snapToGrid/>
              <w:spacing w:line="240" w:lineRule="auto"/>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rPr>
              <w:t>投标人资质及相关认证情况</w:t>
            </w:r>
          </w:p>
          <w:p w14:paraId="3EB32278">
            <w:pPr>
              <w:widowControl w:val="0"/>
              <w:shd w:val="clear" w:color="auto" w:fill="auto"/>
              <w:tabs>
                <w:tab w:val="left" w:pos="426"/>
              </w:tabs>
              <w:adjustRightInd/>
              <w:snapToGrid/>
              <w:spacing w:line="240" w:lineRule="auto"/>
              <w:jc w:val="center"/>
              <w:rPr>
                <w:rFonts w:hint="default" w:ascii="Times New Roman" w:hAnsi="Times New Roman" w:eastAsia="宋体" w:cs="Times New Roman"/>
                <w:kern w:val="2"/>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805C6F8">
            <w:pPr>
              <w:widowControl w:val="0"/>
              <w:shd w:val="clear" w:color="auto" w:fill="auto"/>
              <w:tabs>
                <w:tab w:val="left" w:pos="426"/>
              </w:tabs>
              <w:adjustRightInd/>
              <w:snapToGrid/>
              <w:spacing w:line="240" w:lineRule="auto"/>
              <w:jc w:val="center"/>
              <w:rPr>
                <w:rFonts w:hint="eastAsia" w:ascii="宋体" w:hAnsi="宋体"/>
                <w:szCs w:val="21"/>
                <w:lang w:val="en-US" w:eastAsia="zh-CN"/>
              </w:rPr>
            </w:pPr>
            <w:r>
              <w:rPr>
                <w:rFonts w:hint="eastAsia" w:ascii="Times New Roman" w:cs="Times New Roman"/>
                <w:color w:val="000000"/>
                <w:kern w:val="0"/>
                <w:sz w:val="21"/>
                <w:szCs w:val="21"/>
                <w:lang w:val="en-US" w:eastAsia="zh-CN"/>
              </w:rPr>
              <w:t>7</w:t>
            </w:r>
          </w:p>
        </w:tc>
        <w:tc>
          <w:tcPr>
            <w:tcW w:w="1154" w:type="dxa"/>
            <w:tcBorders>
              <w:top w:val="single" w:color="auto" w:sz="4" w:space="0"/>
              <w:left w:val="single" w:color="auto" w:sz="4" w:space="0"/>
              <w:bottom w:val="single" w:color="auto" w:sz="4" w:space="0"/>
              <w:right w:val="single" w:color="auto" w:sz="4" w:space="0"/>
            </w:tcBorders>
            <w:vAlign w:val="center"/>
          </w:tcPr>
          <w:p w14:paraId="3A4ED203">
            <w:pPr>
              <w:jc w:val="center"/>
              <w:rPr>
                <w:rFonts w:hint="eastAsia" w:ascii="宋体" w:hAnsi="宋体"/>
                <w:szCs w:val="21"/>
                <w:lang w:val="en-US" w:eastAsia="zh-CN"/>
              </w:rPr>
            </w:pPr>
            <w:r>
              <w:rPr>
                <w:rFonts w:hint="eastAsia" w:ascii="宋体" w:hAnsi="宋体"/>
                <w:szCs w:val="21"/>
                <w:lang w:val="en-US" w:eastAsia="zh-CN"/>
              </w:rPr>
              <w:t>专家打分</w:t>
            </w:r>
          </w:p>
        </w:tc>
        <w:tc>
          <w:tcPr>
            <w:tcW w:w="4132" w:type="dxa"/>
            <w:tcBorders>
              <w:top w:val="single" w:color="auto" w:sz="4" w:space="0"/>
              <w:left w:val="single" w:color="auto" w:sz="4" w:space="0"/>
              <w:bottom w:val="single" w:color="auto" w:sz="4" w:space="0"/>
              <w:right w:val="single" w:color="auto" w:sz="4" w:space="0"/>
            </w:tcBorders>
            <w:vAlign w:val="center"/>
          </w:tcPr>
          <w:p w14:paraId="6A091B12">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（一）评审内容：</w:t>
            </w:r>
          </w:p>
          <w:p w14:paraId="59838477">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投标人具有：</w:t>
            </w:r>
          </w:p>
          <w:p w14:paraId="478CFC8A">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lang w:val="en-US" w:eastAsia="zh-CN"/>
              </w:rPr>
            </w:pPr>
            <w:r>
              <w:rPr>
                <w:rFonts w:hint="eastAsia" w:ascii="Times New Roman" w:cs="Times New Roman"/>
                <w:bCs/>
                <w:kern w:val="2"/>
                <w:sz w:val="21"/>
                <w:szCs w:val="21"/>
                <w:lang w:val="en-US" w:eastAsia="zh-CN"/>
              </w:rPr>
              <w:t>取得中国民用航空局《特定类无人机试运行批准函》，或者获得该批准函的企业的本地代理权</w:t>
            </w:r>
            <w:r>
              <w:rPr>
                <w:rFonts w:hint="eastAsia" w:ascii="Times New Roman" w:cs="Times New Roman"/>
                <w:color w:val="000000"/>
                <w:kern w:val="0"/>
                <w:sz w:val="21"/>
                <w:szCs w:val="21"/>
                <w:lang w:val="en-US" w:eastAsia="zh-CN"/>
              </w:rPr>
              <w:t>的得7分。</w:t>
            </w:r>
          </w:p>
          <w:p w14:paraId="04B843C5">
            <w:pPr>
              <w:widowControl w:val="0"/>
              <w:numPr>
                <w:ilvl w:val="0"/>
                <w:numId w:val="3"/>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评分依据：</w:t>
            </w:r>
          </w:p>
          <w:p w14:paraId="21FF73FC">
            <w:pPr>
              <w:widowControl/>
              <w:spacing w:line="120" w:lineRule="atLeast"/>
              <w:jc w:val="left"/>
              <w:rPr>
                <w:rFonts w:hint="eastAsia" w:ascii="Times New Roman" w:cs="Times New Roman"/>
                <w:kern w:val="2"/>
                <w:sz w:val="21"/>
                <w:szCs w:val="21"/>
                <w:lang w:val="en-US" w:eastAsia="zh-CN"/>
              </w:rPr>
            </w:pP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4740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45B0F70">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5210D31">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2DD10064">
            <w:pPr>
              <w:widowControl w:val="0"/>
              <w:shd w:val="clear" w:color="auto" w:fill="auto"/>
              <w:tabs>
                <w:tab w:val="left" w:pos="426"/>
              </w:tabs>
              <w:wordWrap w:val="0"/>
              <w:adjustRightInd/>
              <w:snapToGrid/>
              <w:spacing w:line="240" w:lineRule="auto"/>
              <w:jc w:val="center"/>
              <w:rPr>
                <w:rFonts w:hint="default" w:ascii="Times New Roman" w:hAnsi="Times New Roman" w:eastAsia="宋体" w:cs="Times New Roman"/>
                <w:kern w:val="2"/>
                <w:sz w:val="21"/>
                <w:szCs w:val="21"/>
              </w:rPr>
            </w:pPr>
            <w:r>
              <w:rPr>
                <w:rFonts w:hint="eastAsia" w:ascii="宋体" w:hAnsi="宋体" w:eastAsia="宋体"/>
                <w:color w:val="auto"/>
                <w:sz w:val="21"/>
                <w:szCs w:val="21"/>
              </w:rPr>
              <w:t>拟安排项目负责人情况（仅限1人</w:t>
            </w:r>
            <w:r>
              <w:rPr>
                <w:rFonts w:hint="eastAsia" w:ascii="Times New Roman" w:cs="Times New Roman"/>
                <w:kern w:val="2"/>
                <w:sz w:val="21"/>
                <w:szCs w:val="21"/>
                <w:lang w:val="en-US" w:eastAsia="zh-CN"/>
              </w:rPr>
              <w:t>）</w:t>
            </w:r>
          </w:p>
        </w:tc>
        <w:tc>
          <w:tcPr>
            <w:tcW w:w="416" w:type="dxa"/>
            <w:tcBorders>
              <w:top w:val="single" w:color="auto" w:sz="4" w:space="0"/>
              <w:left w:val="single" w:color="auto" w:sz="4" w:space="0"/>
              <w:bottom w:val="single" w:color="auto" w:sz="4" w:space="0"/>
              <w:right w:val="single" w:color="auto" w:sz="4" w:space="0"/>
            </w:tcBorders>
            <w:vAlign w:val="center"/>
          </w:tcPr>
          <w:p w14:paraId="7D868A99">
            <w:pPr>
              <w:widowControl w:val="0"/>
              <w:shd w:val="clear" w:color="auto" w:fill="auto"/>
              <w:tabs>
                <w:tab w:val="left" w:pos="426"/>
              </w:tabs>
              <w:wordWrap w:val="0"/>
              <w:adjustRightInd/>
              <w:snapToGrid/>
              <w:spacing w:line="240" w:lineRule="auto"/>
              <w:jc w:val="center"/>
              <w:rPr>
                <w:rFonts w:hint="eastAsia" w:ascii="宋体" w:hAnsi="宋体"/>
                <w:szCs w:val="21"/>
                <w:lang w:val="en-US" w:eastAsia="zh-CN"/>
              </w:rPr>
            </w:pPr>
            <w:r>
              <w:rPr>
                <w:rFonts w:hint="eastAsia" w:ascii="Times New Roman" w:cs="Times New Roman"/>
                <w:kern w:val="2"/>
                <w:sz w:val="21"/>
                <w:szCs w:val="21"/>
                <w:lang w:val="en-US" w:eastAsia="zh-CN"/>
              </w:rPr>
              <w:t>9</w:t>
            </w:r>
          </w:p>
        </w:tc>
        <w:tc>
          <w:tcPr>
            <w:tcW w:w="1154" w:type="dxa"/>
            <w:tcBorders>
              <w:top w:val="single" w:color="auto" w:sz="4" w:space="0"/>
              <w:left w:val="single" w:color="auto" w:sz="4" w:space="0"/>
              <w:bottom w:val="single" w:color="auto" w:sz="4" w:space="0"/>
              <w:right w:val="single" w:color="auto" w:sz="4" w:space="0"/>
            </w:tcBorders>
            <w:vAlign w:val="center"/>
          </w:tcPr>
          <w:p w14:paraId="1EE36FFE">
            <w:pPr>
              <w:jc w:val="center"/>
              <w:rPr>
                <w:rFonts w:hint="eastAsia" w:ascii="宋体" w:hAnsi="宋体"/>
                <w:szCs w:val="21"/>
                <w:lang w:val="en-US" w:eastAsia="zh-CN"/>
              </w:rPr>
            </w:pPr>
          </w:p>
        </w:tc>
        <w:tc>
          <w:tcPr>
            <w:tcW w:w="4132" w:type="dxa"/>
            <w:tcBorders>
              <w:top w:val="single" w:color="auto" w:sz="4" w:space="0"/>
              <w:left w:val="single" w:color="auto" w:sz="4" w:space="0"/>
              <w:bottom w:val="single" w:color="auto" w:sz="4" w:space="0"/>
              <w:right w:val="single" w:color="auto" w:sz="4" w:space="0"/>
            </w:tcBorders>
            <w:vAlign w:val="center"/>
          </w:tcPr>
          <w:p w14:paraId="45F763DB">
            <w:pPr>
              <w:widowControl w:val="0"/>
              <w:numPr>
                <w:ilvl w:val="0"/>
                <w:numId w:val="4"/>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评审内容：</w:t>
            </w:r>
          </w:p>
          <w:p w14:paraId="3715E383">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color w:val="000000"/>
                <w:kern w:val="0"/>
                <w:sz w:val="21"/>
                <w:szCs w:val="21"/>
                <w:lang w:eastAsia="zh-CN"/>
              </w:rPr>
            </w:pPr>
            <w:r>
              <w:rPr>
                <w:rFonts w:hint="eastAsia" w:ascii="宋体" w:hAnsi="宋体" w:eastAsia="宋体" w:cs="宋体"/>
                <w:sz w:val="21"/>
                <w:szCs w:val="21"/>
              </w:rPr>
              <w:t>投标人拟安排的项目负责人（仅限一名）情况</w:t>
            </w:r>
            <w:r>
              <w:rPr>
                <w:rFonts w:hint="eastAsia" w:ascii="宋体" w:hAnsi="宋体" w:eastAsia="宋体" w:cs="宋体"/>
                <w:sz w:val="21"/>
                <w:szCs w:val="21"/>
                <w:lang w:eastAsia="zh-CN"/>
              </w:rPr>
              <w:t>：</w:t>
            </w:r>
          </w:p>
          <w:p w14:paraId="6A564C2E">
            <w:pPr>
              <w:widowControl w:val="0"/>
              <w:numPr>
                <w:ilvl w:val="0"/>
                <w:numId w:val="0"/>
              </w:numPr>
              <w:shd w:val="clear" w:color="auto" w:fill="auto"/>
              <w:tabs>
                <w:tab w:val="left" w:pos="426"/>
              </w:tabs>
              <w:adjustRightInd/>
              <w:snapToGrid/>
              <w:spacing w:line="240" w:lineRule="auto"/>
              <w:jc w:val="both"/>
              <w:rPr>
                <w:rFonts w:hint="eastAsia" w:ascii="Times New Roman" w:cs="Times New Roman"/>
                <w:color w:val="000000"/>
                <w:kern w:val="0"/>
                <w:sz w:val="21"/>
                <w:szCs w:val="21"/>
                <w:lang w:val="en-US" w:eastAsia="zh-CN"/>
              </w:rPr>
            </w:pPr>
            <w:r>
              <w:rPr>
                <w:rFonts w:hint="eastAsia" w:ascii="Times New Roman" w:cs="Times New Roman"/>
                <w:color w:val="000000"/>
                <w:kern w:val="0"/>
                <w:sz w:val="21"/>
                <w:szCs w:val="21"/>
                <w:lang w:val="en-US" w:eastAsia="zh-CN"/>
              </w:rPr>
              <w:t>1.具有航空院校本科以上学历；</w:t>
            </w:r>
          </w:p>
          <w:p w14:paraId="327643AC">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eastAsia" w:ascii="Times New Roman" w:cs="Times New Roman"/>
                <w:color w:val="000000"/>
                <w:kern w:val="0"/>
                <w:sz w:val="21"/>
                <w:szCs w:val="21"/>
                <w:lang w:val="en-US" w:eastAsia="zh-CN"/>
              </w:rPr>
              <w:t>2.具有管理类专业硕士学位；</w:t>
            </w:r>
          </w:p>
          <w:p w14:paraId="568ECDD6">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highlight w:val="yellow"/>
              </w:rPr>
            </w:pPr>
            <w:r>
              <w:rPr>
                <w:rFonts w:hint="eastAsia" w:hAnsi="宋体" w:cs="Arial"/>
                <w:color w:val="000000"/>
                <w:kern w:val="0"/>
                <w:szCs w:val="21"/>
                <w:lang w:val="en-US" w:eastAsia="zh-CN"/>
              </w:rPr>
              <w:t>3. 具有</w:t>
            </w:r>
            <w:r>
              <w:rPr>
                <w:rFonts w:hint="eastAsia" w:ascii="宋体" w:hAnsi="宋体" w:eastAsia="宋体" w:cs="Arial"/>
                <w:color w:val="000000"/>
                <w:kern w:val="0"/>
                <w:szCs w:val="21"/>
                <w:lang w:val="en-US" w:eastAsia="zh-CN"/>
              </w:rPr>
              <w:t>中国民用航空局</w:t>
            </w:r>
            <w:r>
              <w:rPr>
                <w:rFonts w:hint="eastAsia" w:hAnsi="宋体" w:cs="Arial"/>
                <w:color w:val="000000"/>
                <w:kern w:val="0"/>
                <w:szCs w:val="21"/>
                <w:lang w:val="en-US" w:eastAsia="zh-CN"/>
              </w:rPr>
              <w:t>颁发的</w:t>
            </w:r>
            <w:r>
              <w:rPr>
                <w:rFonts w:hint="eastAsia" w:ascii="宋体" w:hAnsi="宋体" w:eastAsia="宋体" w:cs="Arial"/>
                <w:color w:val="000000"/>
                <w:kern w:val="0"/>
                <w:szCs w:val="21"/>
                <w:lang w:val="en-US" w:eastAsia="zh-CN"/>
              </w:rPr>
              <w:t>CAAC无人驾驶航空器执照</w:t>
            </w:r>
            <w:r>
              <w:rPr>
                <w:rFonts w:hint="eastAsia" w:hAnsi="宋体" w:cs="Arial"/>
                <w:color w:val="000000"/>
                <w:kern w:val="0"/>
                <w:szCs w:val="21"/>
                <w:lang w:val="en-US" w:eastAsia="zh-CN"/>
              </w:rPr>
              <w:t>，</w:t>
            </w:r>
            <w:r>
              <w:rPr>
                <w:rFonts w:hint="eastAsia" w:hAnsi="宋体" w:cs="Arial"/>
                <w:color w:val="000000"/>
                <w:kern w:val="0"/>
                <w:szCs w:val="21"/>
                <w:highlight w:val="none"/>
                <w:lang w:val="en-US" w:eastAsia="zh-CN"/>
              </w:rPr>
              <w:t>且取证时间≥2年。</w:t>
            </w:r>
          </w:p>
          <w:p w14:paraId="1E18A131">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Cs/>
                <w:kern w:val="2"/>
                <w:sz w:val="21"/>
                <w:szCs w:val="21"/>
              </w:rPr>
              <w:t>以上1-3项全部满足得</w:t>
            </w:r>
            <w:r>
              <w:rPr>
                <w:rFonts w:hint="eastAsia" w:ascii="Times New Roman" w:hAnsi="Times New Roman" w:eastAsia="宋体" w:cs="Times New Roman"/>
                <w:bCs/>
                <w:kern w:val="2"/>
                <w:sz w:val="21"/>
                <w:szCs w:val="21"/>
                <w:lang w:val="en-US" w:eastAsia="zh-CN"/>
              </w:rPr>
              <w:t>9</w:t>
            </w:r>
            <w:r>
              <w:rPr>
                <w:rFonts w:hint="default" w:ascii="Times New Roman" w:hAnsi="Times New Roman" w:eastAsia="宋体" w:cs="Times New Roman"/>
                <w:bCs/>
                <w:kern w:val="2"/>
                <w:sz w:val="21"/>
                <w:szCs w:val="21"/>
              </w:rPr>
              <w:t>分，每负偏离一项扣</w:t>
            </w:r>
            <w:r>
              <w:rPr>
                <w:rFonts w:hint="eastAsia" w:ascii="Times New Roman" w:hAnsi="Times New Roman" w:eastAsia="宋体" w:cs="Times New Roman"/>
                <w:bCs/>
                <w:kern w:val="2"/>
                <w:sz w:val="21"/>
                <w:szCs w:val="21"/>
                <w:lang w:val="en-US" w:eastAsia="zh-CN"/>
              </w:rPr>
              <w:t>4</w:t>
            </w:r>
            <w:r>
              <w:rPr>
                <w:rFonts w:hint="default" w:ascii="Times New Roman" w:hAnsi="Times New Roman" w:eastAsia="宋体" w:cs="Times New Roman"/>
                <w:bCs/>
                <w:kern w:val="2"/>
                <w:sz w:val="21"/>
                <w:szCs w:val="21"/>
              </w:rPr>
              <w:t>分，扣完为止。</w:t>
            </w:r>
          </w:p>
          <w:p w14:paraId="004792E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3BB1884A">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1.</w:t>
            </w:r>
            <w:r>
              <w:rPr>
                <w:rFonts w:hint="eastAsia" w:ascii="Times New Roman" w:hAnsi="Times New Roman" w:eastAsia="宋体" w:cs="Times New Roman"/>
                <w:kern w:val="2"/>
                <w:sz w:val="21"/>
                <w:szCs w:val="21"/>
                <w:lang w:val="en-US" w:eastAsia="zh-CN"/>
              </w:rPr>
              <w:t>提供上述证书（原件备查），</w:t>
            </w:r>
            <w:r>
              <w:rPr>
                <w:rFonts w:hint="eastAsia" w:ascii="Times New Roman" w:hAnsi="Times New Roman" w:eastAsia="宋体" w:cs="Times New Roman"/>
                <w:kern w:val="2"/>
                <w:sz w:val="21"/>
                <w:szCs w:val="21"/>
              </w:rPr>
              <w:t>提供投标人</w:t>
            </w:r>
            <w:r>
              <w:rPr>
                <w:rFonts w:hint="eastAsia" w:ascii="Times New Roman" w:hAnsi="Times New Roman" w:eastAsia="宋体" w:cs="Times New Roman"/>
                <w:kern w:val="2"/>
                <w:sz w:val="21"/>
                <w:szCs w:val="21"/>
                <w:lang w:val="en-US"/>
              </w:rPr>
              <w:t>与该</w:t>
            </w:r>
            <w:r>
              <w:rPr>
                <w:rFonts w:hint="eastAsia" w:ascii="Times New Roman" w:hAnsi="Times New Roman" w:eastAsia="宋体" w:cs="Times New Roman"/>
                <w:kern w:val="2"/>
                <w:sz w:val="21"/>
                <w:szCs w:val="21"/>
              </w:rPr>
              <w:t>人员</w:t>
            </w:r>
            <w:r>
              <w:rPr>
                <w:rFonts w:hint="eastAsia" w:ascii="Times New Roman" w:hAnsi="Times New Roman" w:eastAsia="宋体" w:cs="Times New Roman"/>
                <w:kern w:val="2"/>
                <w:sz w:val="21"/>
                <w:szCs w:val="21"/>
                <w:lang w:val="en-US"/>
              </w:rPr>
              <w:t>劳动合同</w:t>
            </w:r>
            <w:r>
              <w:rPr>
                <w:rFonts w:hint="eastAsia" w:ascii="Times New Roman" w:hAnsi="Times New Roman" w:eastAsia="宋体" w:cs="Times New Roman"/>
                <w:kern w:val="2"/>
                <w:sz w:val="21"/>
                <w:szCs w:val="21"/>
              </w:rPr>
              <w:t>作为得分依据</w:t>
            </w:r>
            <w:r>
              <w:rPr>
                <w:rFonts w:hint="eastAsia" w:ascii="Times New Roman" w:cs="Times New Roman"/>
                <w:kern w:val="2"/>
                <w:sz w:val="21"/>
                <w:szCs w:val="21"/>
                <w:lang w:eastAsia="zh-CN"/>
              </w:rPr>
              <w:t>；</w:t>
            </w:r>
          </w:p>
          <w:p w14:paraId="5227D469">
            <w:pPr>
              <w:widowControl w:val="0"/>
              <w:numPr>
                <w:ilvl w:val="0"/>
                <w:numId w:val="0"/>
              </w:numPr>
              <w:shd w:val="clear" w:color="auto" w:fill="auto"/>
              <w:tabs>
                <w:tab w:val="left" w:pos="426"/>
              </w:tabs>
              <w:adjustRightInd/>
              <w:snapToGrid/>
              <w:spacing w:line="240" w:lineRule="auto"/>
              <w:jc w:val="both"/>
              <w:rPr>
                <w:rFonts w:hint="default" w:ascii="Times New Roman" w:hAnsi="Times New Roman" w:eastAsia="宋体" w:cs="Times New Roman"/>
                <w:kern w:val="2"/>
                <w:sz w:val="21"/>
                <w:szCs w:val="21"/>
              </w:rPr>
            </w:pPr>
            <w:r>
              <w:rPr>
                <w:rFonts w:hint="eastAsia" w:ascii="Times New Roman" w:cs="Times New Roman"/>
                <w:color w:val="000000"/>
                <w:szCs w:val="21"/>
                <w:lang w:val="en-US" w:eastAsia="zh-CN"/>
              </w:rPr>
              <w:t>2.投标人并承诺拟安排人员符合要求，如有虚假承诺，视为投标无效，并接受相关主管部门处罚；</w:t>
            </w:r>
            <w:bookmarkStart w:id="21" w:name="_GoBack"/>
            <w:bookmarkEnd w:id="21"/>
          </w:p>
          <w:p w14:paraId="09420455">
            <w:pPr>
              <w:widowControl w:val="0"/>
              <w:numPr>
                <w:ilvl w:val="0"/>
                <w:numId w:val="0"/>
              </w:numPr>
              <w:shd w:val="clear" w:color="auto" w:fill="auto"/>
              <w:tabs>
                <w:tab w:val="left" w:pos="426"/>
              </w:tabs>
              <w:adjustRightInd/>
              <w:snapToGrid/>
              <w:spacing w:line="240" w:lineRule="auto"/>
              <w:ind w:leftChars="0"/>
              <w:jc w:val="both"/>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3.提供投标截止时间投标人为其购买的社保证明，如开标日上一个月的社保材料因社保部门原因暂时无法取得，则可以往前顺延一个月。</w:t>
            </w:r>
          </w:p>
          <w:p w14:paraId="32F84862">
            <w:pPr>
              <w:widowControl/>
              <w:spacing w:line="120" w:lineRule="atLeast"/>
              <w:jc w:val="left"/>
              <w:rPr>
                <w:rFonts w:hint="eastAsia" w:ascii="Times New Roman" w:cs="Times New Roman"/>
                <w:kern w:val="2"/>
                <w:sz w:val="21"/>
                <w:szCs w:val="21"/>
                <w:lang w:val="en-US" w:eastAsia="zh-CN"/>
              </w:rPr>
            </w:pP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081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1FAA51B">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586C0D39">
            <w:pPr>
              <w:jc w:val="center"/>
              <w:rPr>
                <w:rFonts w:hint="eastAsia" w:ascii="宋体" w:hAnsi="宋体"/>
                <w:szCs w:val="21"/>
              </w:rPr>
            </w:pPr>
          </w:p>
        </w:tc>
        <w:tc>
          <w:tcPr>
            <w:tcW w:w="14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6F9EC">
            <w:pPr>
              <w:widowControl w:val="0"/>
              <w:shd w:val="clear" w:color="auto" w:fill="auto"/>
              <w:tabs>
                <w:tab w:val="left" w:pos="426"/>
              </w:tabs>
              <w:wordWrap w:val="0"/>
              <w:adjustRightInd/>
              <w:snapToGrid/>
              <w:spacing w:line="240" w:lineRule="auto"/>
              <w:jc w:val="center"/>
              <w:rPr>
                <w:rFonts w:hint="default" w:ascii="Times New Roman" w:hAnsi="Times New Roman" w:eastAsia="宋体" w:cs="Times New Roman"/>
                <w:kern w:val="2"/>
                <w:sz w:val="21"/>
                <w:szCs w:val="21"/>
                <w:lang w:val="en-US" w:eastAsia="zh-CN" w:bidi="ar-SA"/>
              </w:rPr>
            </w:pPr>
            <w:r>
              <w:rPr>
                <w:rFonts w:hint="eastAsia" w:ascii="宋体" w:hAnsi="宋体" w:eastAsia="宋体"/>
                <w:sz w:val="21"/>
                <w:szCs w:val="21"/>
                <w:highlight w:val="none"/>
                <w:shd w:val="clear" w:color="auto" w:fill="auto"/>
              </w:rPr>
              <w:t>拟安排的项目团队成员情况</w:t>
            </w:r>
            <w:r>
              <w:rPr>
                <w:rFonts w:hint="eastAsia" w:ascii="宋体" w:hAnsi="宋体" w:eastAsia="宋体"/>
                <w:sz w:val="21"/>
                <w:szCs w:val="21"/>
                <w:highlight w:val="none"/>
                <w:shd w:val="clear" w:color="auto" w:fill="auto"/>
                <w:lang w:eastAsia="zh-CN"/>
              </w:rPr>
              <w:t>（</w:t>
            </w:r>
            <w:r>
              <w:rPr>
                <w:rFonts w:hint="eastAsia" w:ascii="宋体" w:hAnsi="宋体" w:eastAsia="宋体"/>
                <w:sz w:val="21"/>
                <w:szCs w:val="21"/>
                <w:highlight w:val="none"/>
                <w:shd w:val="clear" w:color="auto" w:fill="auto"/>
                <w:lang w:val="en-US" w:eastAsia="zh-CN"/>
              </w:rPr>
              <w:t>3人</w:t>
            </w:r>
            <w:r>
              <w:rPr>
                <w:rFonts w:hint="eastAsia" w:ascii="宋体" w:hAnsi="宋体" w:eastAsia="宋体"/>
                <w:sz w:val="21"/>
                <w:szCs w:val="21"/>
                <w:highlight w:val="none"/>
                <w:shd w:val="clear" w:color="auto" w:fill="auto"/>
                <w:lang w:eastAsia="zh-CN"/>
              </w:rPr>
              <w:t>）</w:t>
            </w:r>
          </w:p>
        </w:tc>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14:paraId="356576EF">
            <w:pPr>
              <w:widowControl w:val="0"/>
              <w:shd w:val="clear" w:color="auto" w:fill="auto"/>
              <w:tabs>
                <w:tab w:val="left" w:pos="426"/>
              </w:tabs>
              <w:wordWrap w:val="0"/>
              <w:adjustRightInd/>
              <w:snapToGrid/>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cs="Times New Roman"/>
                <w:kern w:val="2"/>
                <w:sz w:val="21"/>
                <w:szCs w:val="21"/>
                <w:lang w:val="en-US" w:eastAsia="zh-CN"/>
              </w:rPr>
              <w:t>6</w:t>
            </w:r>
          </w:p>
        </w:tc>
        <w:tc>
          <w:tcPr>
            <w:tcW w:w="1154" w:type="dxa"/>
            <w:tcBorders>
              <w:top w:val="single" w:color="auto" w:sz="4" w:space="0"/>
              <w:left w:val="single" w:color="auto" w:sz="4" w:space="0"/>
              <w:bottom w:val="single" w:color="auto" w:sz="4" w:space="0"/>
              <w:right w:val="single" w:color="auto" w:sz="4" w:space="0"/>
            </w:tcBorders>
            <w:vAlign w:val="center"/>
          </w:tcPr>
          <w:p w14:paraId="4050F5B7">
            <w:pPr>
              <w:jc w:val="center"/>
              <w:rPr>
                <w:rFonts w:hint="eastAsia" w:ascii="宋体" w:hAnsi="宋体"/>
                <w:szCs w:val="21"/>
                <w:lang w:val="en-US" w:eastAsia="zh-CN"/>
              </w:rPr>
            </w:pPr>
          </w:p>
        </w:tc>
        <w:tc>
          <w:tcPr>
            <w:tcW w:w="4132" w:type="dxa"/>
            <w:tcBorders>
              <w:top w:val="single" w:color="auto" w:sz="4" w:space="0"/>
              <w:left w:val="single" w:color="auto" w:sz="4" w:space="0"/>
              <w:bottom w:val="single" w:color="auto" w:sz="4" w:space="0"/>
              <w:right w:val="single" w:color="auto" w:sz="4" w:space="0"/>
            </w:tcBorders>
            <w:vAlign w:val="center"/>
          </w:tcPr>
          <w:p w14:paraId="5D9466F2">
            <w:pPr>
              <w:widowControl w:val="0"/>
              <w:numPr>
                <w:ilvl w:val="0"/>
                <w:numId w:val="5"/>
              </w:numPr>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评审内容：</w:t>
            </w:r>
          </w:p>
          <w:p w14:paraId="57592C34">
            <w:pPr>
              <w:tabs>
                <w:tab w:val="left" w:pos="426"/>
              </w:tabs>
              <w:wordWrap w:val="0"/>
              <w:jc w:val="both"/>
              <w:rPr>
                <w:rFonts w:hint="default" w:ascii="Times New Roman" w:hAnsi="Times New Roman" w:eastAsia="宋体" w:cs="Times New Roman"/>
                <w:color w:val="000000"/>
                <w:kern w:val="0"/>
                <w:sz w:val="21"/>
                <w:szCs w:val="21"/>
              </w:rPr>
            </w:pPr>
            <w:r>
              <w:rPr>
                <w:rFonts w:hint="eastAsia" w:ascii="宋体" w:hAnsi="宋体" w:eastAsia="宋体" w:cs="宋体"/>
                <w:sz w:val="21"/>
                <w:szCs w:val="21"/>
              </w:rPr>
              <w:t>投标人拟安排的主要项目团队成员</w:t>
            </w:r>
            <w:r>
              <w:rPr>
                <w:rFonts w:hint="eastAsia" w:ascii="宋体" w:hAnsi="宋体" w:eastAsia="宋体" w:cs="宋体"/>
                <w:sz w:val="21"/>
                <w:szCs w:val="21"/>
                <w:lang w:eastAsia="zh-CN"/>
              </w:rPr>
              <w:t>：</w:t>
            </w:r>
          </w:p>
          <w:p w14:paraId="779D573D">
            <w:pPr>
              <w:widowControl w:val="0"/>
              <w:numPr>
                <w:ilvl w:val="0"/>
                <w:numId w:val="6"/>
              </w:numPr>
              <w:shd w:val="clear" w:color="auto" w:fill="auto"/>
              <w:tabs>
                <w:tab w:val="left" w:pos="426"/>
                <w:tab w:val="clear" w:pos="312"/>
              </w:tabs>
              <w:adjustRightInd/>
              <w:snapToGrid/>
              <w:spacing w:line="240" w:lineRule="auto"/>
              <w:jc w:val="both"/>
              <w:rPr>
                <w:rFonts w:hint="eastAsia" w:ascii="Times New Roman" w:cs="Times New Roman"/>
                <w:color w:val="000000"/>
                <w:kern w:val="0"/>
                <w:sz w:val="21"/>
                <w:szCs w:val="21"/>
                <w:lang w:val="en-US" w:eastAsia="zh-CN"/>
              </w:rPr>
            </w:pPr>
            <w:r>
              <w:rPr>
                <w:rFonts w:hint="eastAsia" w:ascii="Times New Roman" w:cs="Times New Roman"/>
                <w:color w:val="000000"/>
                <w:kern w:val="0"/>
                <w:sz w:val="21"/>
                <w:szCs w:val="21"/>
                <w:lang w:val="en-US" w:eastAsia="zh-CN"/>
              </w:rPr>
              <w:t>成员为无人机相关专业毕业，每满足一人得1分，</w:t>
            </w:r>
            <w:r>
              <w:rPr>
                <w:rFonts w:hint="default" w:ascii="Times New Roman" w:hAnsi="Times New Roman" w:eastAsia="宋体" w:cs="Times New Roman"/>
                <w:bCs/>
                <w:kern w:val="2"/>
                <w:sz w:val="21"/>
                <w:szCs w:val="21"/>
              </w:rPr>
              <w:t>全部满足得</w:t>
            </w:r>
            <w:r>
              <w:rPr>
                <w:rFonts w:hint="eastAsia" w:ascii="Times New Roman" w:cs="Times New Roman"/>
                <w:bCs/>
                <w:kern w:val="2"/>
                <w:sz w:val="21"/>
                <w:szCs w:val="21"/>
                <w:lang w:val="en-US" w:eastAsia="zh-CN"/>
              </w:rPr>
              <w:t>3</w:t>
            </w:r>
            <w:r>
              <w:rPr>
                <w:rFonts w:hint="default" w:ascii="Times New Roman" w:hAnsi="Times New Roman" w:eastAsia="宋体" w:cs="Times New Roman"/>
                <w:bCs/>
                <w:kern w:val="2"/>
                <w:sz w:val="21"/>
                <w:szCs w:val="21"/>
              </w:rPr>
              <w:t>分</w:t>
            </w:r>
            <w:r>
              <w:rPr>
                <w:rFonts w:hint="eastAsia" w:ascii="Times New Roman" w:cs="Times New Roman"/>
                <w:bCs/>
                <w:kern w:val="2"/>
                <w:sz w:val="21"/>
                <w:szCs w:val="21"/>
                <w:lang w:eastAsia="zh-CN"/>
              </w:rPr>
              <w:t>；</w:t>
            </w:r>
          </w:p>
          <w:p w14:paraId="7C62E544">
            <w:pPr>
              <w:widowControl w:val="0"/>
              <w:numPr>
                <w:ilvl w:val="0"/>
                <w:numId w:val="6"/>
              </w:numPr>
              <w:shd w:val="clear" w:color="auto" w:fill="auto"/>
              <w:tabs>
                <w:tab w:val="left" w:pos="426"/>
                <w:tab w:val="clear" w:pos="312"/>
              </w:tabs>
              <w:adjustRightInd/>
              <w:snapToGrid/>
              <w:spacing w:line="240" w:lineRule="auto"/>
              <w:jc w:val="both"/>
              <w:rPr>
                <w:rFonts w:hint="default" w:ascii="Times New Roman" w:hAnsi="Times New Roman" w:eastAsia="宋体" w:cs="Times New Roman"/>
                <w:color w:val="000000"/>
                <w:kern w:val="0"/>
                <w:sz w:val="21"/>
                <w:szCs w:val="21"/>
              </w:rPr>
            </w:pPr>
            <w:r>
              <w:rPr>
                <w:rFonts w:hint="eastAsia" w:hAnsi="宋体" w:cs="Arial"/>
                <w:color w:val="000000"/>
                <w:kern w:val="0"/>
                <w:szCs w:val="21"/>
                <w:lang w:val="en-US" w:eastAsia="zh-CN"/>
              </w:rPr>
              <w:t>具有</w:t>
            </w:r>
            <w:r>
              <w:rPr>
                <w:rFonts w:hint="eastAsia" w:ascii="宋体" w:hAnsi="宋体" w:eastAsia="宋体" w:cs="Arial"/>
                <w:color w:val="000000"/>
                <w:kern w:val="0"/>
                <w:szCs w:val="21"/>
                <w:lang w:val="en-US" w:eastAsia="zh-CN"/>
              </w:rPr>
              <w:t>中国民</w:t>
            </w:r>
            <w:r>
              <w:rPr>
                <w:rFonts w:hint="eastAsia" w:hAnsi="宋体" w:cs="Arial"/>
                <w:color w:val="000000"/>
                <w:kern w:val="0"/>
                <w:szCs w:val="21"/>
                <w:lang w:val="en-US" w:eastAsia="zh-CN"/>
              </w:rPr>
              <w:t>用</w:t>
            </w:r>
            <w:r>
              <w:rPr>
                <w:rFonts w:hint="eastAsia" w:ascii="宋体" w:hAnsi="宋体" w:eastAsia="宋体" w:cs="Arial"/>
                <w:color w:val="000000"/>
                <w:kern w:val="0"/>
                <w:szCs w:val="21"/>
                <w:lang w:val="en-US" w:eastAsia="zh-CN"/>
              </w:rPr>
              <w:t>航</w:t>
            </w:r>
            <w:r>
              <w:rPr>
                <w:rFonts w:hint="eastAsia" w:hAnsi="宋体" w:cs="Arial"/>
                <w:color w:val="000000"/>
                <w:kern w:val="0"/>
                <w:szCs w:val="21"/>
                <w:lang w:val="en-US" w:eastAsia="zh-CN"/>
              </w:rPr>
              <w:t>空</w:t>
            </w:r>
            <w:r>
              <w:rPr>
                <w:rFonts w:hint="eastAsia" w:ascii="宋体" w:hAnsi="宋体" w:eastAsia="宋体" w:cs="Arial"/>
                <w:color w:val="000000"/>
                <w:kern w:val="0"/>
                <w:szCs w:val="21"/>
                <w:lang w:val="en-US" w:eastAsia="zh-CN"/>
              </w:rPr>
              <w:t>局</w:t>
            </w:r>
            <w:r>
              <w:rPr>
                <w:rFonts w:hint="eastAsia" w:hAnsi="宋体" w:cs="Arial"/>
                <w:color w:val="000000"/>
                <w:kern w:val="0"/>
                <w:szCs w:val="21"/>
                <w:lang w:val="en-US" w:eastAsia="zh-CN"/>
              </w:rPr>
              <w:t>颁发的</w:t>
            </w:r>
            <w:r>
              <w:rPr>
                <w:rFonts w:hint="eastAsia" w:ascii="宋体" w:hAnsi="宋体" w:eastAsia="宋体" w:cs="Arial"/>
                <w:color w:val="000000"/>
                <w:kern w:val="0"/>
                <w:szCs w:val="21"/>
                <w:lang w:val="en-US" w:eastAsia="zh-CN"/>
              </w:rPr>
              <w:t>CAAC无人驾驶航</w:t>
            </w:r>
            <w:r>
              <w:rPr>
                <w:rFonts w:hint="eastAsia" w:ascii="宋体" w:hAnsi="宋体" w:eastAsia="宋体" w:cs="Arial"/>
                <w:color w:val="000000"/>
                <w:kern w:val="0"/>
                <w:szCs w:val="21"/>
                <w:highlight w:val="none"/>
                <w:lang w:val="en-US" w:eastAsia="zh-CN"/>
              </w:rPr>
              <w:t>空器</w:t>
            </w:r>
            <w:r>
              <w:rPr>
                <w:rFonts w:hint="eastAsia" w:ascii="Times New Roman" w:cs="Times New Roman"/>
                <w:color w:val="000000"/>
                <w:kern w:val="0"/>
                <w:sz w:val="21"/>
                <w:szCs w:val="21"/>
                <w:highlight w:val="none"/>
                <w:lang w:val="en-US" w:eastAsia="zh-CN"/>
              </w:rPr>
              <w:t>多旋翼教员资质执照，</w:t>
            </w:r>
            <w:r>
              <w:rPr>
                <w:rFonts w:hint="eastAsia" w:hAnsi="宋体" w:cs="Arial"/>
                <w:color w:val="000000"/>
                <w:kern w:val="0"/>
                <w:szCs w:val="21"/>
                <w:highlight w:val="none"/>
                <w:lang w:val="en-US" w:eastAsia="zh-CN"/>
              </w:rPr>
              <w:t>且取证时间≥2年</w:t>
            </w:r>
            <w:r>
              <w:rPr>
                <w:rFonts w:hint="eastAsia" w:hAnsi="宋体" w:cs="Arial"/>
                <w:color w:val="000000"/>
                <w:kern w:val="0"/>
                <w:szCs w:val="21"/>
                <w:lang w:val="en-US" w:eastAsia="zh-CN"/>
              </w:rPr>
              <w:t>，满足本项得3分，不满足的不得分。</w:t>
            </w:r>
          </w:p>
          <w:p w14:paraId="67342D50">
            <w:pPr>
              <w:widowControl w:val="0"/>
              <w:shd w:val="clear" w:color="auto" w:fill="auto"/>
              <w:tabs>
                <w:tab w:val="left" w:pos="426"/>
              </w:tabs>
              <w:adjustRightInd/>
              <w:snapToGrid/>
              <w:spacing w:line="240" w:lineRule="auto"/>
              <w:jc w:val="both"/>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（二）评分依据：</w:t>
            </w:r>
          </w:p>
          <w:p w14:paraId="1FBED9C7">
            <w:pPr>
              <w:widowControl w:val="0"/>
              <w:numPr>
                <w:ilvl w:val="0"/>
                <w:numId w:val="0"/>
              </w:numPr>
              <w:shd w:val="clear" w:color="auto" w:fill="auto"/>
              <w:tabs>
                <w:tab w:val="left" w:pos="426"/>
              </w:tabs>
              <w:adjustRightInd/>
              <w:snapToGrid/>
              <w:spacing w:line="240" w:lineRule="auto"/>
              <w:jc w:val="both"/>
              <w:rPr>
                <w:rFonts w:hint="eastAsia" w:ascii="Times New Roman" w:hAnsi="Times New Roman" w:eastAsia="宋体" w:cs="Times New Roman"/>
                <w:kern w:val="2"/>
                <w:sz w:val="21"/>
                <w:szCs w:val="21"/>
                <w:lang w:val="en-US" w:eastAsia="zh-CN"/>
              </w:rPr>
            </w:pPr>
            <w:r>
              <w:rPr>
                <w:rFonts w:hint="eastAsia" w:ascii="Times New Roman" w:cs="Times New Roman"/>
                <w:kern w:val="2"/>
                <w:sz w:val="21"/>
                <w:szCs w:val="21"/>
                <w:lang w:val="en-US" w:eastAsia="zh-CN"/>
              </w:rPr>
              <w:t>1.</w:t>
            </w:r>
            <w:r>
              <w:rPr>
                <w:rFonts w:hint="eastAsia" w:ascii="Times New Roman" w:hAnsi="Times New Roman" w:eastAsia="宋体" w:cs="Times New Roman"/>
                <w:kern w:val="2"/>
                <w:sz w:val="21"/>
                <w:szCs w:val="21"/>
                <w:lang w:val="en-US" w:eastAsia="zh-CN"/>
              </w:rPr>
              <w:t>提供上述证书（原件备查），</w:t>
            </w:r>
            <w:r>
              <w:rPr>
                <w:rFonts w:hint="eastAsia" w:ascii="Times New Roman" w:hAnsi="Times New Roman" w:eastAsia="宋体" w:cs="Times New Roman"/>
                <w:kern w:val="2"/>
                <w:sz w:val="21"/>
                <w:szCs w:val="21"/>
              </w:rPr>
              <w:t>提供投标人</w:t>
            </w:r>
            <w:r>
              <w:rPr>
                <w:rFonts w:hint="eastAsia" w:ascii="Times New Roman" w:hAnsi="Times New Roman" w:eastAsia="宋体" w:cs="Times New Roman"/>
                <w:kern w:val="2"/>
                <w:sz w:val="21"/>
                <w:szCs w:val="21"/>
                <w:lang w:val="en-US"/>
              </w:rPr>
              <w:t>与该</w:t>
            </w:r>
            <w:r>
              <w:rPr>
                <w:rFonts w:hint="eastAsia" w:ascii="Times New Roman" w:hAnsi="Times New Roman" w:eastAsia="宋体" w:cs="Times New Roman"/>
                <w:kern w:val="2"/>
                <w:sz w:val="21"/>
                <w:szCs w:val="21"/>
              </w:rPr>
              <w:t>人员</w:t>
            </w:r>
            <w:r>
              <w:rPr>
                <w:rFonts w:hint="eastAsia" w:ascii="Times New Roman" w:hAnsi="Times New Roman" w:eastAsia="宋体" w:cs="Times New Roman"/>
                <w:kern w:val="2"/>
                <w:sz w:val="21"/>
                <w:szCs w:val="21"/>
                <w:lang w:val="en-US"/>
              </w:rPr>
              <w:t>劳动合同</w:t>
            </w:r>
            <w:r>
              <w:rPr>
                <w:rFonts w:hint="eastAsia" w:ascii="Times New Roman" w:hAnsi="Times New Roman" w:eastAsia="宋体" w:cs="Times New Roman"/>
                <w:kern w:val="2"/>
                <w:sz w:val="21"/>
                <w:szCs w:val="21"/>
              </w:rPr>
              <w:t>作为得分依据</w:t>
            </w:r>
            <w:r>
              <w:rPr>
                <w:rFonts w:hint="eastAsia" w:ascii="Times New Roman" w:cs="Times New Roman"/>
                <w:kern w:val="2"/>
                <w:sz w:val="21"/>
                <w:szCs w:val="21"/>
                <w:lang w:eastAsia="zh-CN"/>
              </w:rPr>
              <w:t>；</w:t>
            </w:r>
          </w:p>
          <w:p w14:paraId="24B411DB">
            <w:pPr>
              <w:widowControl w:val="0"/>
              <w:numPr>
                <w:ilvl w:val="0"/>
                <w:numId w:val="0"/>
              </w:numPr>
              <w:shd w:val="clear" w:color="auto" w:fill="auto"/>
              <w:tabs>
                <w:tab w:val="left" w:pos="426"/>
              </w:tabs>
              <w:adjustRightInd/>
              <w:snapToGrid/>
              <w:spacing w:line="240" w:lineRule="auto"/>
              <w:jc w:val="both"/>
              <w:rPr>
                <w:rFonts w:hint="eastAsia" w:ascii="Times New Roman" w:cs="Times New Roman"/>
                <w:color w:val="000000"/>
                <w:szCs w:val="21"/>
                <w:lang w:val="en-US" w:eastAsia="zh-CN"/>
              </w:rPr>
            </w:pPr>
            <w:r>
              <w:rPr>
                <w:rFonts w:hint="eastAsia" w:ascii="Times New Roman" w:cs="Times New Roman"/>
                <w:color w:val="000000"/>
                <w:szCs w:val="21"/>
                <w:lang w:val="en-US" w:eastAsia="zh-CN"/>
              </w:rPr>
              <w:t>2.投标人并承诺拟安排人员符合要求，如有虚假承诺，视为投标无效，并接受相关主管部门处罚；</w:t>
            </w:r>
          </w:p>
          <w:p w14:paraId="1F969886">
            <w:pPr>
              <w:widowControl w:val="0"/>
              <w:numPr>
                <w:ilvl w:val="0"/>
                <w:numId w:val="0"/>
              </w:numPr>
              <w:shd w:val="clear" w:color="auto" w:fill="auto"/>
              <w:tabs>
                <w:tab w:val="left" w:pos="426"/>
              </w:tabs>
              <w:adjustRightInd/>
              <w:snapToGrid/>
              <w:spacing w:line="240" w:lineRule="auto"/>
              <w:ind w:leftChars="0"/>
              <w:jc w:val="both"/>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3.提供投标截止时间投标人为其购买的社保证明，如开标日上一个月的社保材料因社保部门原因暂时无法取得，则可以往前顺延一个月；</w:t>
            </w:r>
          </w:p>
          <w:p w14:paraId="722234FD">
            <w:pPr>
              <w:widowControl/>
              <w:spacing w:line="120" w:lineRule="atLeast"/>
              <w:jc w:val="left"/>
              <w:rPr>
                <w:rFonts w:hint="eastAsia" w:ascii="Times New Roman" w:cs="Times New Roman"/>
                <w:kern w:val="2"/>
                <w:sz w:val="21"/>
                <w:szCs w:val="21"/>
                <w:lang w:val="en-US" w:eastAsia="zh-CN"/>
              </w:rPr>
            </w:pPr>
            <w:r>
              <w:rPr>
                <w:rFonts w:hint="eastAsia" w:ascii="Times New Roman" w:hAnsi="Times New Roman" w:eastAsia="宋体" w:cs="Times New Roman"/>
                <w:kern w:val="2"/>
                <w:sz w:val="21"/>
                <w:szCs w:val="21"/>
                <w:lang w:val="en-US" w:eastAsia="zh-CN"/>
              </w:rPr>
              <w:t>4.</w:t>
            </w:r>
            <w:r>
              <w:rPr>
                <w:rFonts w:hint="default" w:ascii="Times New Roman" w:hAnsi="Times New Roman" w:eastAsia="宋体" w:cs="Times New Roman"/>
                <w:kern w:val="2"/>
                <w:sz w:val="21"/>
                <w:szCs w:val="21"/>
              </w:rPr>
              <w:t>以上资料均要求提供扫描件。评分中出现无证明资料或专家无法凭所提供资料判断是否得分的情况，一律作不得分处理</w:t>
            </w:r>
          </w:p>
        </w:tc>
      </w:tr>
      <w:tr w14:paraId="3D5C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932FD88">
            <w:pPr>
              <w:widowControl/>
              <w:jc w:val="center"/>
              <w:rPr>
                <w:rFonts w:ascii="宋体" w:hAnsi="宋体"/>
                <w:szCs w:val="21"/>
              </w:rPr>
            </w:pPr>
            <w:r>
              <w:rPr>
                <w:rFonts w:hint="eastAsia" w:ascii="宋体" w:hAnsi="宋体"/>
                <w:szCs w:val="21"/>
              </w:rPr>
              <w:t>4</w:t>
            </w:r>
          </w:p>
        </w:tc>
        <w:tc>
          <w:tcPr>
            <w:tcW w:w="794" w:type="dxa"/>
            <w:tcBorders>
              <w:top w:val="single" w:color="auto" w:sz="4" w:space="0"/>
              <w:left w:val="single" w:color="auto" w:sz="4" w:space="0"/>
              <w:bottom w:val="single" w:color="auto" w:sz="4" w:space="0"/>
              <w:right w:val="single" w:color="auto" w:sz="4" w:space="0"/>
            </w:tcBorders>
            <w:vAlign w:val="top"/>
          </w:tcPr>
          <w:p w14:paraId="232D3157">
            <w:pPr>
              <w:jc w:val="center"/>
              <w:rPr>
                <w:rFonts w:ascii="宋体" w:hAnsi="宋体"/>
                <w:b/>
                <w:szCs w:val="21"/>
              </w:rPr>
            </w:pPr>
            <w:r>
              <w:rPr>
                <w:rFonts w:hint="eastAsia" w:ascii="宋体" w:hAnsi="宋体"/>
                <w:b/>
                <w:szCs w:val="21"/>
              </w:rPr>
              <w:t>诚信情况</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2FFF61A2">
            <w:pPr>
              <w:jc w:val="center"/>
              <w:rPr>
                <w:rFonts w:ascii="宋体" w:hAnsi="宋体"/>
                <w:b/>
                <w:szCs w:val="21"/>
              </w:rPr>
            </w:pPr>
          </w:p>
        </w:tc>
        <w:tc>
          <w:tcPr>
            <w:tcW w:w="416" w:type="dxa"/>
            <w:tcBorders>
              <w:top w:val="single" w:color="auto" w:sz="4" w:space="0"/>
              <w:left w:val="single" w:color="auto" w:sz="4" w:space="0"/>
              <w:bottom w:val="single" w:color="auto" w:sz="4" w:space="0"/>
              <w:right w:val="single" w:color="auto" w:sz="4" w:space="0"/>
            </w:tcBorders>
            <w:vAlign w:val="top"/>
          </w:tcPr>
          <w:p w14:paraId="41650627">
            <w:pPr>
              <w:widowControl/>
              <w:spacing w:line="120" w:lineRule="atLeast"/>
              <w:jc w:val="center"/>
            </w:pPr>
          </w:p>
        </w:tc>
        <w:tc>
          <w:tcPr>
            <w:tcW w:w="1154" w:type="dxa"/>
            <w:vAlign w:val="center"/>
          </w:tcPr>
          <w:p w14:paraId="0C2137D3">
            <w:pPr>
              <w:jc w:val="center"/>
              <w:rPr>
                <w:rFonts w:ascii="宋体" w:hAnsi="宋体"/>
                <w:szCs w:val="21"/>
              </w:rPr>
            </w:pPr>
          </w:p>
        </w:tc>
        <w:tc>
          <w:tcPr>
            <w:tcW w:w="4132" w:type="dxa"/>
            <w:tcBorders>
              <w:top w:val="single" w:color="auto" w:sz="4" w:space="0"/>
              <w:left w:val="single" w:color="auto" w:sz="4" w:space="0"/>
              <w:bottom w:val="single" w:color="auto" w:sz="4" w:space="0"/>
              <w:right w:val="single" w:color="auto" w:sz="4" w:space="0"/>
            </w:tcBorders>
            <w:vAlign w:val="center"/>
          </w:tcPr>
          <w:p w14:paraId="363CC62C">
            <w:pPr>
              <w:widowControl/>
              <w:spacing w:line="120" w:lineRule="atLeast"/>
              <w:jc w:val="center"/>
              <w:rPr>
                <w:rFonts w:ascii="宋体" w:hAnsi="宋体"/>
                <w:szCs w:val="21"/>
              </w:rPr>
            </w:pPr>
            <w:r>
              <w:rPr>
                <w:rFonts w:hint="eastAsia" w:ascii="宋体" w:hAnsi="宋体"/>
                <w:b/>
                <w:szCs w:val="21"/>
              </w:rPr>
              <w:t>5</w:t>
            </w:r>
          </w:p>
        </w:tc>
      </w:tr>
      <w:tr w14:paraId="2864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FB0EDA9">
            <w:pPr>
              <w:widowControl/>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top"/>
          </w:tcPr>
          <w:p w14:paraId="5C45FD2F">
            <w:pPr>
              <w:jc w:val="center"/>
              <w:rPr>
                <w:rFonts w:ascii="宋体" w:hAnsi="宋体"/>
                <w:szCs w:val="21"/>
              </w:rPr>
            </w:pPr>
            <w:r>
              <w:rPr>
                <w:rFonts w:hint="eastAsia" w:ascii="宋体" w:hAnsi="宋体"/>
                <w:szCs w:val="21"/>
              </w:rPr>
              <w:t>序号</w:t>
            </w:r>
          </w:p>
        </w:tc>
        <w:tc>
          <w:tcPr>
            <w:tcW w:w="1406" w:type="dxa"/>
            <w:gridSpan w:val="2"/>
            <w:tcBorders>
              <w:top w:val="single" w:color="auto" w:sz="4" w:space="0"/>
              <w:left w:val="single" w:color="auto" w:sz="4" w:space="0"/>
              <w:bottom w:val="single" w:color="auto" w:sz="4" w:space="0"/>
              <w:right w:val="single" w:color="auto" w:sz="4" w:space="0"/>
            </w:tcBorders>
            <w:vAlign w:val="top"/>
          </w:tcPr>
          <w:p w14:paraId="6E3DA672">
            <w:pPr>
              <w:jc w:val="center"/>
              <w:rPr>
                <w:rFonts w:ascii="宋体" w:hAnsi="宋体"/>
                <w:szCs w:val="21"/>
              </w:rPr>
            </w:pPr>
            <w:r>
              <w:rPr>
                <w:rFonts w:hint="eastAsia" w:ascii="宋体" w:hAnsi="宋体"/>
                <w:szCs w:val="21"/>
              </w:rPr>
              <w:t>评分因素</w:t>
            </w:r>
          </w:p>
        </w:tc>
        <w:tc>
          <w:tcPr>
            <w:tcW w:w="416" w:type="dxa"/>
            <w:tcBorders>
              <w:top w:val="single" w:color="auto" w:sz="4" w:space="0"/>
              <w:left w:val="single" w:color="auto" w:sz="4" w:space="0"/>
              <w:bottom w:val="single" w:color="auto" w:sz="4" w:space="0"/>
              <w:right w:val="single" w:color="auto" w:sz="4" w:space="0"/>
            </w:tcBorders>
            <w:vAlign w:val="top"/>
          </w:tcPr>
          <w:p w14:paraId="1CE269DC">
            <w:pPr>
              <w:jc w:val="center"/>
            </w:pPr>
            <w:r>
              <w:rPr>
                <w:rFonts w:hint="eastAsia" w:ascii="宋体" w:hAnsi="宋体"/>
                <w:szCs w:val="21"/>
              </w:rPr>
              <w:t>权重</w:t>
            </w:r>
          </w:p>
        </w:tc>
        <w:tc>
          <w:tcPr>
            <w:tcW w:w="1154" w:type="dxa"/>
            <w:tcBorders>
              <w:top w:val="single" w:color="auto" w:sz="4" w:space="0"/>
              <w:left w:val="single" w:color="auto" w:sz="4" w:space="0"/>
              <w:bottom w:val="single" w:color="auto" w:sz="4" w:space="0"/>
              <w:right w:val="single" w:color="auto" w:sz="4" w:space="0"/>
            </w:tcBorders>
            <w:vAlign w:val="top"/>
          </w:tcPr>
          <w:p w14:paraId="6F4D2EC3">
            <w:pPr>
              <w:jc w:val="center"/>
              <w:rPr>
                <w:rFonts w:ascii="宋体" w:hAnsi="宋体"/>
                <w:szCs w:val="21"/>
              </w:rPr>
            </w:pPr>
            <w:r>
              <w:rPr>
                <w:rFonts w:hint="eastAsia" w:ascii="宋体" w:hAnsi="宋体"/>
                <w:szCs w:val="21"/>
              </w:rPr>
              <w:t>评分方式</w:t>
            </w:r>
          </w:p>
        </w:tc>
        <w:tc>
          <w:tcPr>
            <w:tcW w:w="4132" w:type="dxa"/>
            <w:tcBorders>
              <w:top w:val="single" w:color="auto" w:sz="4" w:space="0"/>
              <w:left w:val="single" w:color="auto" w:sz="4" w:space="0"/>
              <w:bottom w:val="single" w:color="auto" w:sz="4" w:space="0"/>
              <w:right w:val="single" w:color="auto" w:sz="4" w:space="0"/>
            </w:tcBorders>
            <w:vAlign w:val="top"/>
          </w:tcPr>
          <w:p w14:paraId="56381530">
            <w:pPr>
              <w:jc w:val="center"/>
              <w:rPr>
                <w:rFonts w:ascii="宋体" w:hAnsi="宋体"/>
                <w:szCs w:val="21"/>
              </w:rPr>
            </w:pPr>
            <w:r>
              <w:rPr>
                <w:rFonts w:hint="eastAsia" w:ascii="宋体" w:hAnsi="宋体"/>
                <w:szCs w:val="21"/>
              </w:rPr>
              <w:t>评分准则</w:t>
            </w:r>
          </w:p>
        </w:tc>
      </w:tr>
      <w:tr w14:paraId="6CD3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44A7143">
            <w:pPr>
              <w:widowControl/>
              <w:ind w:firstLine="105" w:firstLineChars="50"/>
              <w:jc w:val="center"/>
              <w:rPr>
                <w:rFonts w:ascii="宋体" w:hAnsi="宋体"/>
                <w:szCs w:val="21"/>
              </w:rPr>
            </w:pPr>
          </w:p>
        </w:tc>
        <w:tc>
          <w:tcPr>
            <w:tcW w:w="794" w:type="dxa"/>
            <w:tcBorders>
              <w:top w:val="single" w:color="auto" w:sz="4" w:space="0"/>
              <w:left w:val="single" w:color="auto" w:sz="4" w:space="0"/>
              <w:bottom w:val="single" w:color="auto" w:sz="4" w:space="0"/>
              <w:right w:val="single" w:color="auto" w:sz="4" w:space="0"/>
            </w:tcBorders>
            <w:vAlign w:val="center"/>
          </w:tcPr>
          <w:p w14:paraId="6DE3C670">
            <w:pPr>
              <w:jc w:val="center"/>
              <w:rPr>
                <w:rFonts w:ascii="宋体" w:hAnsi="宋体"/>
                <w:szCs w:val="21"/>
              </w:rPr>
            </w:pPr>
            <w:r>
              <w:rPr>
                <w:rFonts w:hint="eastAsia" w:ascii="宋体" w:hAnsi="宋体"/>
                <w:szCs w:val="21"/>
              </w:rPr>
              <w:t>1</w:t>
            </w:r>
          </w:p>
        </w:tc>
        <w:tc>
          <w:tcPr>
            <w:tcW w:w="1406" w:type="dxa"/>
            <w:gridSpan w:val="2"/>
            <w:tcBorders>
              <w:top w:val="single" w:color="auto" w:sz="4" w:space="0"/>
              <w:left w:val="single" w:color="auto" w:sz="4" w:space="0"/>
              <w:bottom w:val="single" w:color="auto" w:sz="4" w:space="0"/>
              <w:right w:val="single" w:color="auto" w:sz="4" w:space="0"/>
            </w:tcBorders>
            <w:vAlign w:val="center"/>
          </w:tcPr>
          <w:p w14:paraId="1B186F8A">
            <w:pPr>
              <w:jc w:val="center"/>
              <w:rPr>
                <w:rFonts w:ascii="宋体" w:hAnsi="宋体"/>
                <w:szCs w:val="21"/>
              </w:rPr>
            </w:pPr>
            <w:r>
              <w:rPr>
                <w:rFonts w:hint="eastAsia" w:ascii="宋体" w:hAnsi="宋体"/>
                <w:szCs w:val="21"/>
              </w:rPr>
              <w:t>诚信评价</w:t>
            </w:r>
          </w:p>
        </w:tc>
        <w:tc>
          <w:tcPr>
            <w:tcW w:w="416" w:type="dxa"/>
            <w:tcBorders>
              <w:top w:val="single" w:color="auto" w:sz="4" w:space="0"/>
              <w:left w:val="single" w:color="auto" w:sz="4" w:space="0"/>
              <w:bottom w:val="single" w:color="auto" w:sz="4" w:space="0"/>
              <w:right w:val="single" w:color="auto" w:sz="4" w:space="0"/>
            </w:tcBorders>
            <w:vAlign w:val="center"/>
          </w:tcPr>
          <w:p w14:paraId="29153C83">
            <w:pPr>
              <w:jc w:val="center"/>
            </w:pPr>
            <w:r>
              <w:rPr>
                <w:rFonts w:hint="eastAsia" w:ascii="宋体" w:hAnsi="宋体"/>
                <w:szCs w:val="21"/>
              </w:rPr>
              <w:t>5</w:t>
            </w:r>
          </w:p>
        </w:tc>
        <w:tc>
          <w:tcPr>
            <w:tcW w:w="1154" w:type="dxa"/>
            <w:tcBorders>
              <w:top w:val="single" w:color="auto" w:sz="4" w:space="0"/>
              <w:left w:val="single" w:color="auto" w:sz="4" w:space="0"/>
              <w:bottom w:val="single" w:color="auto" w:sz="4" w:space="0"/>
              <w:right w:val="single" w:color="auto" w:sz="4" w:space="0"/>
            </w:tcBorders>
            <w:vAlign w:val="center"/>
          </w:tcPr>
          <w:p w14:paraId="55A1CD00">
            <w:pPr>
              <w:jc w:val="center"/>
              <w:rPr>
                <w:rFonts w:ascii="宋体" w:hAnsi="宋体"/>
                <w:szCs w:val="21"/>
              </w:rPr>
            </w:pPr>
            <w:r>
              <w:rPr>
                <w:rFonts w:hint="eastAsia" w:ascii="宋体" w:hAnsi="宋体"/>
                <w:szCs w:val="21"/>
              </w:rPr>
              <w:t>专家打分</w:t>
            </w:r>
          </w:p>
        </w:tc>
        <w:tc>
          <w:tcPr>
            <w:tcW w:w="4132" w:type="dxa"/>
            <w:tcBorders>
              <w:top w:val="single" w:color="auto" w:sz="4" w:space="0"/>
              <w:left w:val="single" w:color="auto" w:sz="4" w:space="0"/>
              <w:bottom w:val="single" w:color="auto" w:sz="4" w:space="0"/>
              <w:right w:val="single" w:color="auto" w:sz="4" w:space="0"/>
            </w:tcBorders>
            <w:vAlign w:val="top"/>
          </w:tcPr>
          <w:p w14:paraId="184D8026">
            <w:pPr>
              <w:jc w:val="left"/>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w:t>
            </w:r>
          </w:p>
          <w:p w14:paraId="4DDB4B58">
            <w:pPr>
              <w:jc w:val="left"/>
              <w:rPr>
                <w:rFonts w:hint="eastAsia" w:ascii="宋体" w:hAnsi="宋体" w:cs="宋体"/>
                <w:szCs w:val="21"/>
              </w:rPr>
            </w:pPr>
            <w:r>
              <w:rPr>
                <w:rFonts w:hint="eastAsia" w:ascii="宋体" w:hAnsi="宋体" w:cs="宋体"/>
                <w:szCs w:val="21"/>
              </w:rPr>
              <w:t>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w:t>
            </w:r>
          </w:p>
          <w:p w14:paraId="14419FAD">
            <w:pPr>
              <w:jc w:val="left"/>
              <w:rPr>
                <w:rFonts w:ascii="宋体" w:hAnsi="宋体"/>
                <w:szCs w:val="21"/>
              </w:rPr>
            </w:pPr>
            <w:r>
              <w:rPr>
                <w:rFonts w:hint="eastAsia" w:ascii="宋体" w:hAnsi="宋体" w:cs="宋体"/>
                <w:szCs w:val="21"/>
              </w:rPr>
              <w:t>圳市政府采购监管网”以及市、区财政部门认定的其他渠道查询供应商信用信息，投标人无需提供证明材料。）</w:t>
            </w:r>
          </w:p>
        </w:tc>
      </w:tr>
    </w:tbl>
    <w:p w14:paraId="45027278">
      <w:pPr>
        <w:spacing w:line="360" w:lineRule="exact"/>
        <w:jc w:val="left"/>
        <w:rPr>
          <w:rFonts w:hint="eastAsia" w:ascii="宋体" w:hAnsi="宋体"/>
          <w:color w:val="000000"/>
          <w:szCs w:val="21"/>
        </w:rPr>
      </w:pPr>
      <w:bookmarkStart w:id="0" w:name="InsertEnd"/>
      <w:bookmarkEnd w:id="0"/>
    </w:p>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3BBB680D">
      <w:pPr>
        <w:rPr>
          <w:color w:val="auto"/>
        </w:rPr>
      </w:pPr>
    </w:p>
    <w:p w14:paraId="15F3190A">
      <w:pPr>
        <w:spacing w:after="78"/>
        <w:jc w:val="left"/>
        <w:outlineLvl w:val="0"/>
        <w:rPr>
          <w:rFonts w:ascii="宋体" w:hAnsi="宋体"/>
          <w:color w:val="auto"/>
          <w:sz w:val="40"/>
          <w:szCs w:val="40"/>
        </w:rPr>
      </w:pPr>
    </w:p>
    <w:p w14:paraId="0DE14EB7">
      <w:pPr>
        <w:spacing w:after="78"/>
        <w:jc w:val="left"/>
        <w:outlineLvl w:val="0"/>
        <w:rPr>
          <w:rFonts w:ascii="宋体" w:hAnsi="宋体"/>
          <w:color w:val="auto"/>
          <w:sz w:val="40"/>
          <w:szCs w:val="40"/>
        </w:rPr>
      </w:pPr>
    </w:p>
    <w:p w14:paraId="48E6BBF9">
      <w:pPr>
        <w:rPr>
          <w:rFonts w:ascii="宋体" w:hAnsi="宋体"/>
          <w:color w:val="auto"/>
          <w:sz w:val="40"/>
          <w:szCs w:val="40"/>
        </w:rPr>
      </w:pPr>
      <w:r>
        <w:rPr>
          <w:rFonts w:ascii="宋体" w:hAnsi="宋体"/>
          <w:color w:val="auto"/>
          <w:sz w:val="40"/>
          <w:szCs w:val="40"/>
        </w:rPr>
        <w:br w:type="page"/>
      </w:r>
    </w:p>
    <w:p w14:paraId="15923475">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19万</w:t>
      </w:r>
      <w:r>
        <w:rPr>
          <w:rFonts w:hint="eastAsia" w:ascii="宋体" w:hAnsi="宋体"/>
          <w:color w:val="auto"/>
          <w:sz w:val="40"/>
          <w:szCs w:val="40"/>
        </w:rPr>
        <w:t>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46C0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513E27B">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751A120C">
            <w:pPr>
              <w:spacing w:after="78"/>
              <w:ind w:firstLine="720" w:firstLineChars="300"/>
              <w:jc w:val="both"/>
              <w:rPr>
                <w:rFonts w:hint="eastAsia" w:ascii="宋体" w:hAnsi="宋体" w:eastAsia="宋体" w:cs="宋体"/>
                <w:color w:val="auto"/>
                <w:sz w:val="30"/>
                <w:szCs w:val="30"/>
                <w:lang w:val="en-US" w:eastAsia="zh-CN"/>
              </w:rPr>
            </w:pPr>
            <w:r>
              <w:rPr>
                <w:rFonts w:hint="eastAsia" w:cs="宋体" w:asciiTheme="minorEastAsia" w:hAnsiTheme="minorEastAsia" w:eastAsiaTheme="minorEastAsia"/>
                <w:color w:val="auto"/>
                <w:kern w:val="0"/>
                <w:sz w:val="24"/>
                <w:szCs w:val="24"/>
                <w:lang w:val="en-US" w:eastAsia="zh-CN"/>
              </w:rPr>
              <w:t>深圳市儿童医院福田-龙华两院区间无人机运输服务</w:t>
            </w:r>
          </w:p>
        </w:tc>
      </w:tr>
      <w:tr w14:paraId="17EC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14:paraId="060EAA8F">
            <w:pPr>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用途</w:t>
            </w:r>
          </w:p>
        </w:tc>
        <w:tc>
          <w:tcPr>
            <w:tcW w:w="7750" w:type="dxa"/>
            <w:tcBorders>
              <w:top w:val="single" w:color="auto" w:sz="4" w:space="0"/>
              <w:left w:val="single" w:color="auto" w:sz="4" w:space="0"/>
              <w:bottom w:val="single" w:color="auto" w:sz="4" w:space="0"/>
              <w:right w:val="single" w:color="auto" w:sz="4" w:space="0"/>
            </w:tcBorders>
            <w:vAlign w:val="top"/>
          </w:tcPr>
          <w:p w14:paraId="5DB01B3E">
            <w:pPr>
              <w:pStyle w:val="44"/>
              <w:spacing w:line="276" w:lineRule="auto"/>
              <w:ind w:left="0" w:leftChars="0" w:firstLine="420" w:firstLineChars="200"/>
              <w:outlineLvl w:val="0"/>
              <w:rPr>
                <w:rFonts w:hint="eastAsia" w:ascii="宋体" w:hAnsi="宋体" w:cs="Arial"/>
                <w:szCs w:val="21"/>
                <w:lang w:eastAsia="zh-CN"/>
              </w:rPr>
            </w:pPr>
            <w:r>
              <w:rPr>
                <w:rFonts w:hint="eastAsia" w:ascii="宋体" w:hAnsi="宋体" w:cs="Arial"/>
                <w:szCs w:val="21"/>
                <w:lang w:eastAsia="zh-CN"/>
              </w:rPr>
              <w:t>为了更有效地连接深圳市儿童医院福田院区与龙华院区，以便更快、更广泛地服务于患者，并确保两院间的运输工作稳定、安全、高效且及时，我院计划借助科技创新力量，引入无人机空中运输服务。该服务以其卓越的机动性和协同性，将助力构建和完善我院的医疗保障体系。</w:t>
            </w:r>
          </w:p>
          <w:p w14:paraId="370BA4EC">
            <w:pPr>
              <w:pStyle w:val="44"/>
              <w:spacing w:line="276" w:lineRule="auto"/>
              <w:outlineLvl w:val="0"/>
              <w:rPr>
                <w:rFonts w:hint="eastAsia" w:ascii="宋体" w:hAnsi="宋体" w:cs="Arial"/>
                <w:szCs w:val="21"/>
                <w:lang w:eastAsia="zh-CN"/>
              </w:rPr>
            </w:pPr>
            <w:r>
              <w:rPr>
                <w:rFonts w:hint="eastAsia" w:ascii="宋体" w:hAnsi="宋体" w:cs="Arial"/>
                <w:szCs w:val="21"/>
                <w:lang w:eastAsia="zh-CN"/>
              </w:rPr>
              <w:t>计划分阶段实施，首先构建医院内部的无人机配送网络，初期将试点开通从深圳市儿童医院福田院区往返龙华院区的快速空中运输通道，随后逐步扩大这一空中医疗网络，覆盖更多区域和服务内容。</w:t>
            </w:r>
          </w:p>
          <w:p w14:paraId="670DC6E4">
            <w:pPr>
              <w:spacing w:after="78"/>
              <w:ind w:firstLine="420" w:firstLineChars="200"/>
              <w:rPr>
                <w:rFonts w:hint="eastAsia" w:ascii="宋体" w:hAnsi="宋体" w:eastAsia="宋体" w:cs="宋体"/>
                <w:color w:val="auto"/>
                <w:sz w:val="30"/>
                <w:szCs w:val="30"/>
              </w:rPr>
            </w:pPr>
            <w:r>
              <w:rPr>
                <w:rFonts w:hint="eastAsia" w:ascii="宋体" w:hAnsi="宋体" w:cs="Arial"/>
                <w:szCs w:val="21"/>
                <w:lang w:eastAsia="zh-CN"/>
              </w:rPr>
              <w:t>无人机将主要用于医疗物资的快速运输，包括中药、血液、检验样本等关键物品，同时也将逐步探索将病理切片、紧急药物、手术物资等更多高频次需求的医疗物资纳入空中运输范畴。此外，还将探索在基本医疗服务、公共卫生应急、急诊抢救等领域，如何利用互联网医院模式，结合无人机空中运输服务，进一步优化医疗资源布局，提高医疗资源配置的效率和有效性。</w:t>
            </w:r>
          </w:p>
        </w:tc>
      </w:tr>
      <w:tr w14:paraId="15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E3EB65">
            <w:pPr>
              <w:widowControl/>
              <w:spacing w:after="78"/>
              <w:jc w:val="center"/>
              <w:rPr>
                <w:rFonts w:hint="eastAsia" w:ascii="宋体" w:hAnsi="宋体" w:eastAsia="宋体"/>
                <w:color w:val="000000" w:themeColor="text1"/>
                <w:kern w:val="0"/>
                <w:sz w:val="22"/>
                <w:szCs w:val="22"/>
                <w:lang w:eastAsia="zh-CN"/>
                <w14:textFill>
                  <w14:solidFill>
                    <w14:schemeClr w14:val="tx1"/>
                  </w14:solidFill>
                </w14:textFill>
              </w:rPr>
            </w:pPr>
            <w:r>
              <w:rPr>
                <w:rFonts w:hint="eastAsia" w:ascii="宋体" w:hAnsi="宋体"/>
                <w:color w:val="000000" w:themeColor="text1"/>
                <w:kern w:val="0"/>
                <w:sz w:val="22"/>
                <w:szCs w:val="22"/>
                <w:lang w:eastAsia="zh-CN"/>
                <w14:textFill>
                  <w14:solidFill>
                    <w14:schemeClr w14:val="tx1"/>
                  </w14:solidFill>
                </w14:textFill>
              </w:rPr>
              <w:t>服务内容</w:t>
            </w:r>
          </w:p>
        </w:tc>
        <w:tc>
          <w:tcPr>
            <w:tcW w:w="7750" w:type="dxa"/>
            <w:tcBorders>
              <w:top w:val="single" w:color="auto" w:sz="4" w:space="0"/>
              <w:left w:val="single" w:color="auto" w:sz="4" w:space="0"/>
              <w:bottom w:val="single" w:color="auto" w:sz="4" w:space="0"/>
              <w:right w:val="single" w:color="auto" w:sz="4" w:space="0"/>
            </w:tcBorders>
            <w:vAlign w:val="top"/>
          </w:tcPr>
          <w:p w14:paraId="6D46F53E">
            <w:pPr>
              <w:numPr>
                <w:ilvl w:val="-1"/>
                <w:numId w:val="0"/>
              </w:numPr>
              <w:spacing w:after="78" w:line="240" w:lineRule="auto"/>
              <w:ind w:left="0" w:leftChars="0" w:firstLine="0" w:firstLineChars="0"/>
              <w:rPr>
                <w:rFonts w:hint="eastAsia" w:ascii="宋体" w:hAnsi="宋体"/>
              </w:rPr>
            </w:pPr>
            <w:r>
              <w:rPr>
                <w:rFonts w:hint="eastAsia" w:ascii="宋体" w:hAnsi="宋体" w:cs="Arial"/>
                <w:szCs w:val="21"/>
                <w:lang w:eastAsia="zh-CN"/>
              </w:rPr>
              <w:t>深圳市儿童医院福田</w:t>
            </w:r>
            <w:r>
              <w:rPr>
                <w:rFonts w:hint="eastAsia" w:ascii="宋体" w:hAnsi="宋体" w:cs="Arial"/>
                <w:szCs w:val="21"/>
                <w:lang w:val="en-US" w:eastAsia="zh-CN"/>
              </w:rPr>
              <w:t>-龙华院区间</w:t>
            </w:r>
            <w:r>
              <w:rPr>
                <w:rFonts w:hint="eastAsia" w:ascii="宋体" w:hAnsi="宋体" w:cs="Arial"/>
                <w:szCs w:val="21"/>
                <w:lang w:eastAsia="zh-CN"/>
              </w:rPr>
              <w:t>无人机运输服务。</w:t>
            </w:r>
          </w:p>
        </w:tc>
      </w:tr>
      <w:tr w14:paraId="1BE4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CC061A7">
            <w:pPr>
              <w:widowControl/>
              <w:spacing w:after="78"/>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商务参数</w:t>
            </w:r>
          </w:p>
        </w:tc>
        <w:tc>
          <w:tcPr>
            <w:tcW w:w="7750" w:type="dxa"/>
            <w:tcBorders>
              <w:top w:val="single" w:color="auto" w:sz="4" w:space="0"/>
              <w:left w:val="single" w:color="auto" w:sz="4" w:space="0"/>
              <w:bottom w:val="single" w:color="auto" w:sz="4" w:space="0"/>
              <w:right w:val="single" w:color="auto" w:sz="4" w:space="0"/>
            </w:tcBorders>
            <w:vAlign w:val="top"/>
          </w:tcPr>
          <w:p w14:paraId="71139103">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eastAsia="zh-CN"/>
              </w:rPr>
              <w:t>一、费用包含：</w:t>
            </w:r>
          </w:p>
          <w:p w14:paraId="4A5E06B3">
            <w:pPr>
              <w:pStyle w:val="30"/>
              <w:widowControl/>
              <w:numPr>
                <w:ilvl w:val="0"/>
                <w:numId w:val="7"/>
              </w:numPr>
              <w:ind w:left="525"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无人机航线维护费用</w:t>
            </w:r>
          </w:p>
          <w:p w14:paraId="7092EF05">
            <w:pPr>
              <w:pStyle w:val="30"/>
              <w:widowControl/>
              <w:numPr>
                <w:ilvl w:val="0"/>
                <w:numId w:val="7"/>
              </w:numPr>
              <w:ind w:left="525" w:leftChars="0" w:firstLine="0" w:firstLineChars="0"/>
              <w:jc w:val="left"/>
              <w:rPr>
                <w:rFonts w:hint="default" w:ascii="宋体" w:hAnsi="宋体" w:cs="宋体"/>
                <w:kern w:val="0"/>
                <w:szCs w:val="21"/>
                <w:lang w:val="en-US" w:eastAsia="zh-CN"/>
              </w:rPr>
            </w:pPr>
            <w:r>
              <w:rPr>
                <w:rFonts w:hint="eastAsia" w:ascii="宋体" w:hAnsi="宋体" w:cs="宋体"/>
                <w:kern w:val="0"/>
                <w:szCs w:val="21"/>
                <w:lang w:val="en-US" w:eastAsia="zh-CN"/>
              </w:rPr>
              <w:t>无人机起降场建设维护费用</w:t>
            </w:r>
          </w:p>
          <w:p w14:paraId="75E33A4C">
            <w:pPr>
              <w:pStyle w:val="30"/>
              <w:widowControl/>
              <w:numPr>
                <w:ilvl w:val="0"/>
                <w:numId w:val="7"/>
              </w:numPr>
              <w:ind w:left="525" w:leftChars="0" w:firstLine="0" w:firstLineChars="0"/>
              <w:jc w:val="left"/>
              <w:rPr>
                <w:rFonts w:hint="default" w:ascii="宋体" w:hAnsi="宋体" w:cs="宋体"/>
                <w:kern w:val="0"/>
                <w:szCs w:val="21"/>
                <w:lang w:val="en-US" w:eastAsia="zh-CN"/>
              </w:rPr>
            </w:pPr>
            <w:r>
              <w:rPr>
                <w:rFonts w:hint="eastAsia" w:ascii="宋体" w:hAnsi="宋体" w:cs="宋体"/>
                <w:kern w:val="0"/>
                <w:szCs w:val="21"/>
                <w:lang w:val="en-US" w:eastAsia="zh-CN"/>
              </w:rPr>
              <w:t>无人机使用，空中运输服务费用</w:t>
            </w:r>
          </w:p>
          <w:p w14:paraId="66C268CB">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eastAsia="zh-CN"/>
              </w:rPr>
              <w:t>二、</w:t>
            </w:r>
            <w:r>
              <w:rPr>
                <w:rFonts w:hint="eastAsia" w:ascii="宋体" w:hAnsi="宋体" w:cs="宋体"/>
                <w:kern w:val="0"/>
                <w:szCs w:val="21"/>
              </w:rPr>
              <w:t>服务要求</w:t>
            </w:r>
            <w:r>
              <w:rPr>
                <w:rFonts w:hint="eastAsia" w:ascii="宋体" w:hAnsi="宋体" w:cs="宋体"/>
                <w:kern w:val="0"/>
                <w:szCs w:val="21"/>
                <w:lang w:eastAsia="zh-CN"/>
              </w:rPr>
              <w:t>：</w:t>
            </w:r>
          </w:p>
          <w:p w14:paraId="185CF254">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1、</w:t>
            </w:r>
            <w:r>
              <w:rPr>
                <w:rFonts w:hint="eastAsia" w:ascii="宋体" w:hAnsi="宋体" w:eastAsia="宋体" w:cs="宋体"/>
                <w:kern w:val="0"/>
                <w:szCs w:val="21"/>
              </w:rPr>
              <w:t>服务周期：1年，试用期</w:t>
            </w:r>
            <w:r>
              <w:rPr>
                <w:rFonts w:hint="eastAsia" w:ascii="宋体" w:hAnsi="宋体" w:eastAsia="宋体" w:cs="宋体"/>
                <w:kern w:val="0"/>
                <w:szCs w:val="21"/>
                <w:lang w:val="en-US" w:eastAsia="zh-CN"/>
              </w:rPr>
              <w:t>1个月</w:t>
            </w:r>
            <w:r>
              <w:rPr>
                <w:rFonts w:hint="eastAsia" w:ascii="宋体" w:hAnsi="宋体" w:eastAsia="宋体" w:cs="宋体"/>
                <w:kern w:val="0"/>
                <w:szCs w:val="21"/>
              </w:rPr>
              <w:t>，服务周期自试用期</w:t>
            </w:r>
            <w:r>
              <w:rPr>
                <w:rFonts w:hint="eastAsia" w:ascii="宋体" w:hAnsi="宋体" w:eastAsia="宋体" w:cs="宋体"/>
                <w:kern w:val="0"/>
                <w:szCs w:val="21"/>
                <w:lang w:eastAsia="zh-CN"/>
              </w:rPr>
              <w:t>结束</w:t>
            </w:r>
            <w:r>
              <w:rPr>
                <w:rFonts w:hint="eastAsia" w:ascii="宋体" w:hAnsi="宋体" w:eastAsia="宋体" w:cs="宋体"/>
                <w:kern w:val="0"/>
                <w:szCs w:val="21"/>
              </w:rPr>
              <w:t>起始日期计算。</w:t>
            </w:r>
          </w:p>
          <w:p w14:paraId="6580D48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2、</w:t>
            </w:r>
            <w:r>
              <w:rPr>
                <w:rFonts w:hint="eastAsia" w:ascii="宋体" w:hAnsi="宋体" w:eastAsia="宋体" w:cs="宋体"/>
                <w:kern w:val="0"/>
                <w:szCs w:val="21"/>
              </w:rPr>
              <w:t>服务范围：</w:t>
            </w:r>
            <w:r>
              <w:rPr>
                <w:rFonts w:hint="eastAsia" w:ascii="宋体" w:hAnsi="宋体" w:eastAsia="宋体" w:cs="宋体"/>
                <w:kern w:val="0"/>
                <w:szCs w:val="21"/>
                <w:lang w:eastAsia="zh-CN"/>
              </w:rPr>
              <w:t>乙方</w:t>
            </w:r>
            <w:r>
              <w:rPr>
                <w:rFonts w:hint="eastAsia" w:ascii="宋体" w:hAnsi="宋体" w:eastAsia="宋体" w:cs="宋体"/>
                <w:kern w:val="0"/>
                <w:szCs w:val="21"/>
              </w:rPr>
              <w:t>免费提供整个运行周期内的</w:t>
            </w:r>
            <w:r>
              <w:rPr>
                <w:rFonts w:hint="eastAsia" w:ascii="宋体" w:hAnsi="宋体" w:eastAsia="宋体" w:cs="宋体"/>
                <w:kern w:val="0"/>
                <w:szCs w:val="21"/>
                <w:lang w:eastAsia="zh-CN"/>
              </w:rPr>
              <w:t>飞行器设备、航线及</w:t>
            </w:r>
            <w:r>
              <w:rPr>
                <w:rFonts w:hint="eastAsia" w:ascii="宋体" w:hAnsi="宋体" w:eastAsia="宋体" w:cs="宋体"/>
                <w:kern w:val="0"/>
                <w:szCs w:val="21"/>
              </w:rPr>
              <w:t>系统维保</w:t>
            </w:r>
          </w:p>
          <w:p w14:paraId="70D5811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定期巡检服务：乙方需定期对飞行航路做巡检，内容包括但不仅限航路障碍物识别、特定应急起降场设置等，发现隐患需及时予以消除；</w:t>
            </w:r>
          </w:p>
          <w:p w14:paraId="7CC45846">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4、</w:t>
            </w:r>
            <w:r>
              <w:rPr>
                <w:rFonts w:hint="eastAsia" w:ascii="宋体" w:hAnsi="宋体" w:eastAsia="宋体" w:cs="宋体"/>
                <w:kern w:val="0"/>
                <w:szCs w:val="21"/>
              </w:rPr>
              <w:t>培训服务：提供用户培训服务，在项目运行期内对</w:t>
            </w:r>
            <w:r>
              <w:rPr>
                <w:rFonts w:hint="eastAsia" w:ascii="宋体" w:hAnsi="宋体" w:eastAsia="宋体" w:cs="宋体"/>
                <w:kern w:val="0"/>
                <w:szCs w:val="21"/>
                <w:lang w:eastAsia="zh-CN"/>
              </w:rPr>
              <w:t>甲方</w:t>
            </w:r>
            <w:r>
              <w:rPr>
                <w:rFonts w:hint="eastAsia" w:ascii="宋体" w:hAnsi="宋体" w:eastAsia="宋体" w:cs="宋体"/>
                <w:kern w:val="0"/>
                <w:szCs w:val="21"/>
              </w:rPr>
              <w:t>相关操作人员提供必要的技术培训，包括飞行器关停、检测样品装机、飞行器放飞前检验、飞行器起飞前净空判断等基本操作。</w:t>
            </w:r>
          </w:p>
          <w:p w14:paraId="0DB9B243">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cs="宋体"/>
                <w:kern w:val="0"/>
                <w:szCs w:val="21"/>
                <w:lang w:val="en-US" w:eastAsia="zh-CN"/>
              </w:rPr>
              <w:t>5、</w:t>
            </w:r>
            <w:r>
              <w:rPr>
                <w:rFonts w:hint="eastAsia" w:ascii="宋体" w:hAnsi="宋体" w:eastAsia="宋体" w:cs="宋体"/>
                <w:kern w:val="0"/>
                <w:szCs w:val="21"/>
                <w:lang w:eastAsia="zh-CN"/>
              </w:rPr>
              <w:t>乙方</w:t>
            </w:r>
            <w:r>
              <w:rPr>
                <w:rFonts w:hint="eastAsia" w:ascii="宋体" w:hAnsi="宋体" w:eastAsia="宋体" w:cs="宋体"/>
                <w:kern w:val="0"/>
                <w:szCs w:val="21"/>
              </w:rPr>
              <w:t>需配备足够数量的无人机，以满足医院</w:t>
            </w:r>
            <w:r>
              <w:rPr>
                <w:rFonts w:hint="eastAsia" w:ascii="宋体" w:hAnsi="宋体" w:eastAsia="宋体" w:cs="宋体"/>
                <w:kern w:val="0"/>
                <w:szCs w:val="21"/>
                <w:lang w:val="en-US" w:eastAsia="zh-CN"/>
              </w:rPr>
              <w:t>医疗</w:t>
            </w:r>
            <w:r>
              <w:rPr>
                <w:rFonts w:hint="eastAsia" w:ascii="宋体" w:hAnsi="宋体" w:eastAsia="宋体" w:cs="宋体"/>
                <w:kern w:val="0"/>
                <w:szCs w:val="21"/>
              </w:rPr>
              <w:t>运输需求，并能够根据</w:t>
            </w:r>
            <w:r>
              <w:rPr>
                <w:rFonts w:hint="eastAsia" w:ascii="宋体" w:hAnsi="宋体" w:eastAsia="宋体" w:cs="宋体"/>
                <w:kern w:val="0"/>
                <w:szCs w:val="21"/>
                <w:lang w:eastAsia="zh-CN"/>
              </w:rPr>
              <w:t>甲方</w:t>
            </w:r>
            <w:r>
              <w:rPr>
                <w:rFonts w:hint="eastAsia" w:ascii="宋体" w:hAnsi="宋体" w:eastAsia="宋体" w:cs="宋体"/>
                <w:kern w:val="0"/>
                <w:szCs w:val="21"/>
              </w:rPr>
              <w:t>要求。</w:t>
            </w:r>
          </w:p>
          <w:p w14:paraId="058A8508">
            <w:pPr>
              <w:pStyle w:val="30"/>
              <w:widowControl/>
              <w:numPr>
                <w:ilvl w:val="0"/>
                <w:numId w:val="0"/>
              </w:numPr>
              <w:ind w:left="420" w:leftChars="20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6、乙方确保飞行安全及获取执行飞行任务的相关行政许可，如在使用飞行器过程中发生事故、人身/财产损失以及高空飞行违章等行为所产生的责任均由乙方承担。乙方应负责向保险公司为飞行器购买一切险并承担费用。</w:t>
            </w:r>
          </w:p>
          <w:p w14:paraId="3EAD07EB">
            <w:pPr>
              <w:pStyle w:val="30"/>
              <w:widowControl/>
              <w:numPr>
                <w:ilvl w:val="0"/>
                <w:numId w:val="0"/>
              </w:numPr>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三</w:t>
            </w:r>
            <w:r>
              <w:rPr>
                <w:rFonts w:hint="eastAsia" w:ascii="宋体" w:hAnsi="宋体" w:eastAsia="宋体" w:cs="宋体"/>
                <w:kern w:val="0"/>
                <w:szCs w:val="21"/>
                <w:lang w:val="en-US" w:eastAsia="zh-CN"/>
              </w:rPr>
              <w:t>、付款：</w:t>
            </w:r>
          </w:p>
          <w:p w14:paraId="72691306">
            <w:pPr>
              <w:pStyle w:val="30"/>
              <w:widowControl/>
              <w:numPr>
                <w:ilvl w:val="0"/>
                <w:numId w:val="0"/>
              </w:numPr>
              <w:ind w:left="420" w:leftChars="0"/>
              <w:jc w:val="left"/>
              <w:rPr>
                <w:rFonts w:hint="default" w:ascii="宋体" w:hAnsi="宋体" w:cs="宋体"/>
                <w:color w:val="auto"/>
                <w:sz w:val="30"/>
                <w:szCs w:val="30"/>
                <w:lang w:val="en-US" w:eastAsia="zh-CN"/>
              </w:rPr>
            </w:pPr>
            <w:r>
              <w:rPr>
                <w:rFonts w:hint="eastAsia" w:ascii="宋体" w:hAnsi="宋体" w:eastAsia="宋体" w:cs="宋体"/>
                <w:kern w:val="0"/>
                <w:szCs w:val="21"/>
                <w:lang w:val="en-US" w:eastAsia="zh-CN"/>
              </w:rPr>
              <w:t>本合同分两期付款。第一期款：自合同签订后，乙方按甲方要求提供发票后，甲方在15个工作日内支付合同总价的50%；第二期款，合同期结束后，甲方对乙方履约评价合格后，乙方提供发票后，甲方在15个工作日内支付合同剩余的50%余款。</w:t>
            </w:r>
          </w:p>
        </w:tc>
      </w:tr>
      <w:tr w14:paraId="413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11B1D2C">
            <w:pPr>
              <w:widowControl/>
              <w:jc w:val="center"/>
              <w:rPr>
                <w:rFonts w:hint="eastAsia" w:ascii="宋体" w:hAnsi="宋体" w:eastAsia="宋体" w:cs="宋体"/>
                <w:color w:val="auto"/>
                <w:sz w:val="30"/>
                <w:szCs w:val="30"/>
              </w:rPr>
            </w:pPr>
            <w:r>
              <w:rPr>
                <w:rFonts w:hint="eastAsia" w:ascii="宋体" w:hAnsi="宋体"/>
                <w:color w:val="000000" w:themeColor="text1"/>
                <w:kern w:val="0"/>
                <w:sz w:val="22"/>
                <w:szCs w:val="22"/>
                <w14:textFill>
                  <w14:solidFill>
                    <w14:schemeClr w14:val="tx1"/>
                  </w14:solidFill>
                </w14:textFill>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05ADD1EA">
            <w:pPr>
              <w:pStyle w:val="30"/>
              <w:widowControl/>
              <w:ind w:left="0" w:leftChars="0" w:firstLine="0" w:firstLineChars="0"/>
              <w:jc w:val="left"/>
              <w:rPr>
                <w:rFonts w:hint="eastAsia" w:ascii="宋体" w:hAnsi="宋体" w:cs="宋体"/>
                <w:kern w:val="0"/>
                <w:szCs w:val="21"/>
                <w:lang w:eastAsia="zh-CN"/>
              </w:rPr>
            </w:pPr>
            <w:r>
              <w:rPr>
                <w:rFonts w:hint="eastAsia" w:ascii="宋体" w:hAnsi="宋体" w:cs="宋体"/>
                <w:kern w:val="0"/>
                <w:szCs w:val="21"/>
                <w:lang w:val="en-US" w:eastAsia="zh-CN"/>
              </w:rPr>
              <w:t>一、</w:t>
            </w:r>
            <w:r>
              <w:rPr>
                <w:rFonts w:hint="eastAsia" w:ascii="宋体" w:hAnsi="宋体" w:cs="宋体"/>
                <w:kern w:val="0"/>
                <w:szCs w:val="21"/>
              </w:rPr>
              <w:t>无人机航线要求</w:t>
            </w:r>
            <w:r>
              <w:rPr>
                <w:rFonts w:hint="eastAsia" w:ascii="宋体" w:hAnsi="宋体" w:cs="宋体"/>
                <w:kern w:val="0"/>
                <w:szCs w:val="21"/>
                <w:lang w:eastAsia="zh-CN"/>
              </w:rPr>
              <w:t>：</w:t>
            </w:r>
          </w:p>
          <w:p w14:paraId="07818B80">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lang w:eastAsia="zh-CN"/>
              </w:rPr>
              <w:t>乙方</w:t>
            </w:r>
            <w:r>
              <w:rPr>
                <w:rFonts w:hint="eastAsia" w:ascii="宋体" w:hAnsi="宋体" w:cs="宋体"/>
                <w:kern w:val="0"/>
                <w:szCs w:val="21"/>
              </w:rPr>
              <w:t>能够代表</w:t>
            </w:r>
            <w:r>
              <w:rPr>
                <w:rFonts w:hint="eastAsia" w:ascii="宋体" w:hAnsi="宋体" w:cs="宋体"/>
                <w:kern w:val="0"/>
                <w:szCs w:val="21"/>
                <w:lang w:eastAsia="zh-CN"/>
              </w:rPr>
              <w:t>甲方</w:t>
            </w:r>
            <w:r>
              <w:rPr>
                <w:rFonts w:hint="eastAsia" w:ascii="宋体" w:hAnsi="宋体" w:cs="宋体"/>
                <w:kern w:val="0"/>
                <w:szCs w:val="21"/>
              </w:rPr>
              <w:t>向中国政府主管部门申请获得相关空域使用权。</w:t>
            </w:r>
          </w:p>
          <w:p w14:paraId="4A05E9D6">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飞行航线的安全性指标需满足民航局《城市场景物流无人机运行规范》的基本要求。</w:t>
            </w:r>
          </w:p>
          <w:p w14:paraId="37D1A631">
            <w:pPr>
              <w:pStyle w:val="30"/>
              <w:widowControl/>
              <w:numPr>
                <w:ilvl w:val="0"/>
                <w:numId w:val="0"/>
              </w:numPr>
              <w:ind w:left="420" w:leftChars="0"/>
              <w:jc w:val="left"/>
              <w:rPr>
                <w:rFonts w:ascii="宋体" w:hAnsi="宋体" w:cs="宋体"/>
                <w:kern w:val="0"/>
                <w:szCs w:val="21"/>
              </w:rPr>
            </w:pPr>
            <w:r>
              <w:rPr>
                <w:rFonts w:hint="eastAsia" w:ascii="宋体" w:hAnsi="宋体" w:cs="宋体"/>
                <w:kern w:val="0"/>
                <w:szCs w:val="21"/>
                <w:lang w:val="en-US" w:eastAsia="zh-CN"/>
              </w:rPr>
              <w:t>3、1</w:t>
            </w:r>
            <w:r>
              <w:rPr>
                <w:rFonts w:hint="eastAsia" w:ascii="宋体" w:hAnsi="宋体" w:cs="宋体"/>
                <w:kern w:val="0"/>
                <w:szCs w:val="21"/>
                <w:lang w:eastAsia="zh-CN"/>
              </w:rPr>
              <w:t>条</w:t>
            </w:r>
            <w:r>
              <w:rPr>
                <w:rFonts w:ascii="宋体" w:hAnsi="宋体" w:cs="宋体"/>
                <w:kern w:val="0"/>
                <w:szCs w:val="21"/>
              </w:rPr>
              <w:t>无人机</w:t>
            </w:r>
            <w:r>
              <w:rPr>
                <w:rFonts w:hint="eastAsia" w:ascii="宋体" w:hAnsi="宋体" w:cs="宋体"/>
                <w:kern w:val="0"/>
                <w:szCs w:val="21"/>
              </w:rPr>
              <w:t>航线</w:t>
            </w:r>
            <w:r>
              <w:rPr>
                <w:rFonts w:hint="eastAsia" w:ascii="宋体" w:hAnsi="宋体" w:cs="宋体"/>
                <w:kern w:val="0"/>
                <w:szCs w:val="21"/>
                <w:lang w:eastAsia="zh-CN"/>
              </w:rPr>
              <w:t>，</w:t>
            </w:r>
            <w:r>
              <w:rPr>
                <w:rFonts w:hint="eastAsia" w:ascii="宋体" w:hAnsi="宋体" w:cs="宋体"/>
                <w:kern w:val="0"/>
                <w:szCs w:val="21"/>
              </w:rPr>
              <w:t>两端起始</w:t>
            </w:r>
            <w:r>
              <w:rPr>
                <w:rFonts w:hint="eastAsia" w:ascii="宋体" w:hAnsi="宋体" w:cs="宋体"/>
                <w:kern w:val="0"/>
                <w:szCs w:val="21"/>
                <w:lang w:eastAsia="zh-CN"/>
              </w:rPr>
              <w:t>分别</w:t>
            </w:r>
            <w:r>
              <w:rPr>
                <w:rFonts w:ascii="宋体" w:hAnsi="宋体" w:cs="宋体"/>
                <w:kern w:val="0"/>
                <w:szCs w:val="21"/>
              </w:rPr>
              <w:t>为</w:t>
            </w:r>
            <w:r>
              <w:rPr>
                <w:rFonts w:hint="eastAsia" w:ascii="宋体" w:hAnsi="宋体" w:cs="宋体"/>
                <w:kern w:val="0"/>
                <w:szCs w:val="21"/>
                <w:lang w:val="en-US" w:eastAsia="zh-CN"/>
              </w:rPr>
              <w:t>深圳市儿童医院福田院区和龙华院区</w:t>
            </w:r>
            <w:r>
              <w:rPr>
                <w:rFonts w:hint="eastAsia" w:ascii="宋体" w:hAnsi="宋体" w:cs="宋体"/>
                <w:kern w:val="0"/>
                <w:szCs w:val="21"/>
              </w:rPr>
              <w:t>。</w:t>
            </w:r>
          </w:p>
          <w:p w14:paraId="1453B285">
            <w:pPr>
              <w:pStyle w:val="30"/>
              <w:widowControl/>
              <w:numPr>
                <w:ilvl w:val="0"/>
                <w:numId w:val="0"/>
              </w:numPr>
              <w:ind w:left="420" w:leftChars="0"/>
              <w:jc w:val="left"/>
              <w:rPr>
                <w:rFonts w:ascii="宋体" w:hAnsi="宋体" w:cs="宋体"/>
                <w:szCs w:val="21"/>
              </w:rPr>
            </w:pPr>
            <w:r>
              <w:rPr>
                <w:rFonts w:hint="eastAsia" w:ascii="宋体" w:hAnsi="宋体" w:cs="宋体"/>
                <w:kern w:val="0"/>
                <w:szCs w:val="21"/>
                <w:lang w:val="en-US" w:eastAsia="zh-CN"/>
              </w:rPr>
              <w:t>4、</w:t>
            </w:r>
            <w:r>
              <w:rPr>
                <w:rFonts w:hint="eastAsia" w:ascii="宋体" w:hAnsi="宋体" w:cs="宋体"/>
                <w:kern w:val="0"/>
                <w:szCs w:val="21"/>
              </w:rPr>
              <w:t>飞行航线可用率指标。可用率需要达到</w:t>
            </w:r>
            <w:r>
              <w:rPr>
                <w:rFonts w:hint="eastAsia" w:ascii="宋体" w:hAnsi="宋体" w:cs="宋体"/>
                <w:kern w:val="0"/>
                <w:szCs w:val="21"/>
                <w:lang w:val="en-US" w:eastAsia="zh-CN"/>
              </w:rPr>
              <w:t>80</w:t>
            </w:r>
            <w:r>
              <w:rPr>
                <w:rFonts w:ascii="宋体" w:hAnsi="宋体" w:cs="宋体"/>
                <w:kern w:val="0"/>
                <w:szCs w:val="21"/>
              </w:rPr>
              <w:t>%</w:t>
            </w:r>
            <w:r>
              <w:rPr>
                <w:rFonts w:hint="eastAsia" w:ascii="宋体" w:hAnsi="宋体" w:cs="宋体"/>
                <w:kern w:val="0"/>
                <w:szCs w:val="21"/>
              </w:rPr>
              <w:t>以上，既全年服务天数3</w:t>
            </w:r>
            <w:r>
              <w:rPr>
                <w:rFonts w:ascii="宋体" w:hAnsi="宋体" w:cs="宋体"/>
                <w:kern w:val="0"/>
                <w:szCs w:val="21"/>
              </w:rPr>
              <w:t>65</w:t>
            </w:r>
            <w:r>
              <w:rPr>
                <w:rFonts w:hint="eastAsia" w:ascii="宋体" w:hAnsi="宋体" w:cs="宋体"/>
                <w:kern w:val="0"/>
                <w:szCs w:val="21"/>
              </w:rPr>
              <w:t>天，飞行天数不得少于</w:t>
            </w:r>
            <w:r>
              <w:rPr>
                <w:rFonts w:hint="eastAsia" w:ascii="宋体" w:hAnsi="宋体" w:cs="宋体"/>
                <w:kern w:val="0"/>
                <w:szCs w:val="21"/>
                <w:lang w:val="en-US" w:eastAsia="zh-CN"/>
              </w:rPr>
              <w:t>292</w:t>
            </w:r>
            <w:r>
              <w:rPr>
                <w:rFonts w:hint="eastAsia" w:ascii="宋体" w:hAnsi="宋体" w:cs="宋体"/>
                <w:kern w:val="0"/>
                <w:szCs w:val="21"/>
              </w:rPr>
              <w:t>天。</w:t>
            </w:r>
          </w:p>
          <w:p w14:paraId="19C1DDBA">
            <w:pPr>
              <w:pStyle w:val="30"/>
              <w:widowControl/>
              <w:numPr>
                <w:ilvl w:val="0"/>
                <w:numId w:val="0"/>
              </w:numPr>
              <w:ind w:left="420" w:leftChars="0"/>
              <w:jc w:val="left"/>
              <w:rPr>
                <w:rFonts w:hint="eastAsia" w:ascii="Times New Roman" w:hAnsi="Times New Roman" w:eastAsia="宋体" w:cs="Times New Roman"/>
                <w:b/>
                <w:bCs/>
                <w:szCs w:val="22"/>
                <w:lang w:eastAsia="zh-CN"/>
              </w:rPr>
            </w:pPr>
            <w:r>
              <w:rPr>
                <w:rFonts w:hint="eastAsia" w:ascii="宋体" w:hAnsi="宋体" w:cs="宋体"/>
                <w:kern w:val="0"/>
                <w:szCs w:val="21"/>
                <w:lang w:val="en-US" w:eastAsia="zh-CN"/>
              </w:rPr>
              <w:t>5、</w:t>
            </w:r>
            <w:r>
              <w:rPr>
                <w:rFonts w:ascii="宋体" w:hAnsi="宋体" w:cs="宋体"/>
                <w:kern w:val="0"/>
                <w:szCs w:val="21"/>
              </w:rPr>
              <w:t>当出现</w:t>
            </w:r>
            <w:r>
              <w:rPr>
                <w:rFonts w:hint="eastAsia" w:ascii="宋体" w:hAnsi="宋体" w:cs="宋体"/>
                <w:kern w:val="0"/>
                <w:szCs w:val="21"/>
              </w:rPr>
              <w:t>天气等</w:t>
            </w:r>
            <w:r>
              <w:rPr>
                <w:rFonts w:ascii="宋体" w:hAnsi="宋体" w:cs="宋体"/>
                <w:kern w:val="0"/>
                <w:szCs w:val="21"/>
              </w:rPr>
              <w:t>不可控原因导致无人机无法运输时，</w:t>
            </w:r>
            <w:r>
              <w:rPr>
                <w:rFonts w:hint="eastAsia" w:ascii="宋体" w:hAnsi="宋体" w:cs="宋体"/>
                <w:kern w:val="0"/>
                <w:szCs w:val="21"/>
              </w:rPr>
              <w:t>通知</w:t>
            </w:r>
            <w:r>
              <w:rPr>
                <w:rFonts w:hint="eastAsia" w:ascii="宋体" w:hAnsi="宋体" w:cs="宋体"/>
                <w:kern w:val="0"/>
                <w:szCs w:val="21"/>
                <w:lang w:eastAsia="zh-CN"/>
              </w:rPr>
              <w:t>甲方</w:t>
            </w:r>
            <w:r>
              <w:rPr>
                <w:rFonts w:hint="eastAsia" w:ascii="宋体" w:hAnsi="宋体" w:cs="宋体"/>
                <w:kern w:val="0"/>
                <w:szCs w:val="21"/>
              </w:rPr>
              <w:t>或自行</w:t>
            </w:r>
            <w:r>
              <w:rPr>
                <w:rFonts w:ascii="宋体" w:hAnsi="宋体" w:cs="宋体"/>
                <w:kern w:val="0"/>
                <w:szCs w:val="21"/>
              </w:rPr>
              <w:t>使用车辆进行</w:t>
            </w:r>
            <w:r>
              <w:rPr>
                <w:rFonts w:hint="eastAsia" w:ascii="宋体" w:hAnsi="宋体" w:cs="宋体"/>
                <w:kern w:val="0"/>
                <w:szCs w:val="21"/>
              </w:rPr>
              <w:t>陆路</w:t>
            </w:r>
            <w:r>
              <w:rPr>
                <w:rFonts w:ascii="宋体" w:hAnsi="宋体" w:cs="宋体"/>
                <w:kern w:val="0"/>
                <w:szCs w:val="21"/>
              </w:rPr>
              <w:t>运输</w:t>
            </w:r>
            <w:r>
              <w:rPr>
                <w:rFonts w:hint="eastAsia" w:ascii="宋体" w:hAnsi="宋体" w:cs="宋体"/>
                <w:kern w:val="0"/>
                <w:szCs w:val="21"/>
              </w:rPr>
              <w:t>作为备份手段</w:t>
            </w:r>
            <w:r>
              <w:rPr>
                <w:rFonts w:ascii="宋体" w:hAnsi="宋体" w:cs="宋体"/>
                <w:kern w:val="0"/>
                <w:szCs w:val="21"/>
              </w:rPr>
              <w:t>。</w:t>
            </w:r>
          </w:p>
          <w:p w14:paraId="16FE061B">
            <w:pPr>
              <w:pStyle w:val="30"/>
              <w:widowControl/>
              <w:numPr>
                <w:ilvl w:val="0"/>
                <w:numId w:val="0"/>
              </w:numPr>
              <w:ind w:left="420" w:leftChars="0"/>
              <w:jc w:val="left"/>
              <w:rPr>
                <w:rFonts w:hint="eastAsia" w:ascii="Times New Roman" w:hAnsi="Times New Roman" w:eastAsia="宋体" w:cs="Times New Roman"/>
                <w:b/>
                <w:bCs/>
                <w:szCs w:val="22"/>
                <w:lang w:eastAsia="zh-CN"/>
              </w:rPr>
            </w:pPr>
            <w:r>
              <w:rPr>
                <w:rFonts w:hint="eastAsia" w:ascii="宋体" w:hAnsi="宋体" w:cs="宋体"/>
                <w:kern w:val="0"/>
                <w:szCs w:val="21"/>
                <w:lang w:val="en-US" w:eastAsia="zh-CN"/>
              </w:rPr>
              <w:t>6、</w:t>
            </w:r>
            <w:r>
              <w:rPr>
                <w:rFonts w:hint="eastAsia" w:ascii="宋体" w:hAnsi="宋体" w:cs="宋体"/>
                <w:kern w:val="0"/>
                <w:szCs w:val="21"/>
              </w:rPr>
              <w:t>运输过程中的飞行安全由投标单位承担，并需要</w:t>
            </w:r>
            <w:r>
              <w:rPr>
                <w:rFonts w:ascii="宋体" w:hAnsi="宋体" w:cs="宋体"/>
                <w:kern w:val="0"/>
                <w:szCs w:val="21"/>
              </w:rPr>
              <w:t>保证运输的安全性及保温性。</w:t>
            </w:r>
          </w:p>
          <w:p w14:paraId="1273026A">
            <w:pPr>
              <w:pStyle w:val="30"/>
              <w:widowControl/>
              <w:ind w:left="0" w:leftChars="0" w:firstLine="0" w:firstLineChars="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二、无人机飞行器要求：</w:t>
            </w:r>
          </w:p>
          <w:p w14:paraId="47609C11">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无人机运营企业需使用</w:t>
            </w:r>
            <w:r>
              <w:rPr>
                <w:rFonts w:hint="eastAsia" w:ascii="宋体" w:hAnsi="宋体" w:eastAsia="宋体" w:cs="宋体"/>
                <w:kern w:val="0"/>
                <w:szCs w:val="21"/>
                <w:lang w:val="en-US" w:eastAsia="zh-CN"/>
              </w:rPr>
              <w:t>经</w:t>
            </w:r>
            <w:r>
              <w:rPr>
                <w:rFonts w:hint="eastAsia" w:ascii="Times New Roman" w:cs="Times New Roman"/>
                <w:bCs/>
                <w:kern w:val="2"/>
                <w:sz w:val="21"/>
                <w:szCs w:val="21"/>
                <w:lang w:val="en-US" w:eastAsia="zh-CN"/>
              </w:rPr>
              <w:t>过中国民用航空局严格的风险评估与运行验证流程，且必须明确列于《特定类无人机试运行批准函》之中</w:t>
            </w:r>
            <w:r>
              <w:rPr>
                <w:rFonts w:hint="eastAsia" w:ascii="宋体" w:hAnsi="宋体" w:eastAsia="宋体" w:cs="宋体"/>
                <w:kern w:val="0"/>
                <w:szCs w:val="21"/>
              </w:rPr>
              <w:t>。</w:t>
            </w:r>
          </w:p>
          <w:p w14:paraId="434C51FC">
            <w:pPr>
              <w:pStyle w:val="30"/>
              <w:widowControl/>
              <w:numPr>
                <w:ilvl w:val="0"/>
                <w:numId w:val="0"/>
              </w:numPr>
              <w:ind w:left="420" w:leftChars="0"/>
              <w:jc w:val="left"/>
              <w:rPr>
                <w:rFonts w:hint="eastAsia" w:ascii="宋体" w:hAnsi="宋体" w:eastAsia="宋体" w:cs="宋体"/>
                <w:kern w:val="0"/>
                <w:szCs w:val="21"/>
              </w:rPr>
            </w:pPr>
            <w:r>
              <w:rPr>
                <w:rFonts w:hint="eastAsia" w:ascii="Times New Roman" w:cs="Times New Roman"/>
                <w:bCs/>
                <w:kern w:val="2"/>
                <w:sz w:val="21"/>
                <w:szCs w:val="21"/>
                <w:lang w:val="en-US" w:eastAsia="zh-CN"/>
              </w:rPr>
              <w:t>2、无人机</w:t>
            </w:r>
            <w:r>
              <w:rPr>
                <w:rFonts w:hint="default" w:ascii="Times New Roman" w:hAnsi="Times New Roman" w:eastAsia="宋体" w:cs="Times New Roman"/>
                <w:bCs/>
                <w:kern w:val="2"/>
                <w:sz w:val="21"/>
                <w:szCs w:val="21"/>
                <w:lang w:val="en-US" w:eastAsia="zh-CN"/>
              </w:rPr>
              <w:t>技术要求满足</w:t>
            </w:r>
            <w:r>
              <w:rPr>
                <w:rFonts w:hint="eastAsia" w:ascii="Times New Roman" w:cs="Times New Roman"/>
                <w:bCs/>
                <w:kern w:val="2"/>
                <w:sz w:val="21"/>
                <w:szCs w:val="21"/>
                <w:lang w:val="en-US" w:eastAsia="zh-CN"/>
              </w:rPr>
              <w:t>中国民用航空局颁发的</w:t>
            </w:r>
            <w:r>
              <w:rPr>
                <w:rFonts w:hint="default" w:ascii="Times New Roman" w:hAnsi="Times New Roman" w:eastAsia="宋体" w:cs="Times New Roman"/>
                <w:bCs/>
                <w:kern w:val="2"/>
                <w:sz w:val="21"/>
                <w:szCs w:val="21"/>
                <w:lang w:val="en-US" w:eastAsia="zh-CN"/>
              </w:rPr>
              <w:t>《城市场景物流电动多旋翼无人驾驶航空器（轻小型）系统技术要求》</w:t>
            </w:r>
            <w:r>
              <w:rPr>
                <w:rFonts w:hint="eastAsia" w:ascii="Times New Roman" w:cs="Times New Roman"/>
                <w:bCs/>
                <w:kern w:val="2"/>
                <w:sz w:val="21"/>
                <w:szCs w:val="21"/>
                <w:lang w:val="en-US" w:eastAsia="zh-CN"/>
              </w:rPr>
              <w:t>中的最大起飞全重不超过 25 千克，且空机重量不超过 15 千克。</w:t>
            </w:r>
          </w:p>
          <w:p w14:paraId="59F0CC86">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最大抗风等级：6级</w:t>
            </w:r>
          </w:p>
          <w:p w14:paraId="60CC59F1">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耐候性能：中雨</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中雪</w:t>
            </w:r>
            <w:r>
              <w:rPr>
                <w:rFonts w:hint="eastAsia" w:ascii="宋体" w:hAnsi="宋体" w:eastAsia="宋体" w:cs="宋体"/>
                <w:kern w:val="0"/>
                <w:szCs w:val="21"/>
              </w:rPr>
              <w:t>条件可运行</w:t>
            </w:r>
            <w:r>
              <w:rPr>
                <w:rFonts w:hint="eastAsia" w:ascii="宋体" w:hAnsi="宋体" w:eastAsia="宋体" w:cs="宋体"/>
                <w:kern w:val="0"/>
                <w:szCs w:val="21"/>
                <w:lang w:eastAsia="zh-CN"/>
              </w:rPr>
              <w:t>。</w:t>
            </w:r>
          </w:p>
          <w:p w14:paraId="0386EF85">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主控系统：具备多组高精度传感器（TOF和双GPS）</w:t>
            </w:r>
            <w:r>
              <w:rPr>
                <w:rFonts w:hint="eastAsia" w:ascii="宋体" w:hAnsi="宋体" w:eastAsia="宋体" w:cs="宋体"/>
                <w:kern w:val="0"/>
                <w:szCs w:val="21"/>
                <w:lang w:eastAsia="zh-CN"/>
              </w:rPr>
              <w:t>。</w:t>
            </w:r>
          </w:p>
          <w:p w14:paraId="7A8D5BB2">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动力系统冗余（任一电机、桨叶失效可保持飞行）</w:t>
            </w:r>
            <w:r>
              <w:rPr>
                <w:rFonts w:hint="eastAsia" w:ascii="宋体" w:hAnsi="宋体" w:eastAsia="宋体" w:cs="宋体"/>
                <w:kern w:val="0"/>
                <w:szCs w:val="21"/>
                <w:lang w:eastAsia="zh-CN"/>
              </w:rPr>
              <w:t>。</w:t>
            </w:r>
          </w:p>
          <w:p w14:paraId="5A49C537">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无人机满载飞行距离不少于 1</w:t>
            </w:r>
            <w:r>
              <w:rPr>
                <w:rFonts w:hint="eastAsia" w:ascii="宋体" w:hAnsi="宋体" w:eastAsia="宋体" w:cs="宋体"/>
                <w:kern w:val="0"/>
                <w:szCs w:val="21"/>
                <w:lang w:val="en-US" w:eastAsia="zh-CN"/>
              </w:rPr>
              <w:t>0</w:t>
            </w:r>
            <w:r>
              <w:rPr>
                <w:rFonts w:hint="eastAsia" w:ascii="宋体" w:hAnsi="宋体" w:eastAsia="宋体" w:cs="宋体"/>
                <w:kern w:val="0"/>
                <w:szCs w:val="21"/>
              </w:rPr>
              <w:t xml:space="preserve"> 公里。</w:t>
            </w:r>
          </w:p>
          <w:p w14:paraId="337107AD">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无人机需具备远程操控能力，距离大于 30 公里。</w:t>
            </w:r>
          </w:p>
          <w:p w14:paraId="1B63DB81">
            <w:pPr>
              <w:pStyle w:val="30"/>
              <w:widowControl/>
              <w:numPr>
                <w:ilvl w:val="0"/>
                <w:numId w:val="0"/>
              </w:numPr>
              <w:ind w:left="420" w:leftChars="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w:t>
            </w:r>
            <w:r>
              <w:rPr>
                <w:rFonts w:hint="eastAsia" w:ascii="宋体" w:hAnsi="宋体" w:eastAsia="宋体" w:cs="宋体"/>
                <w:kern w:val="0"/>
                <w:szCs w:val="21"/>
              </w:rPr>
              <w:t>无人机需要通过4G/5G网络与运营平台保持稳定连线，实现全程自主飞行，与云端信息和指令实时同步并记录运输过程的飞行参数数据。</w:t>
            </w:r>
          </w:p>
          <w:p w14:paraId="19196CB6">
            <w:pPr>
              <w:pStyle w:val="30"/>
              <w:widowControl/>
              <w:ind w:left="0" w:leftChars="0" w:firstLine="0" w:firstLineChars="0"/>
              <w:jc w:val="left"/>
              <w:rPr>
                <w:rFonts w:hint="eastAsia" w:ascii="宋体" w:hAnsi="宋体" w:cs="宋体"/>
                <w:kern w:val="0"/>
                <w:szCs w:val="21"/>
                <w:lang w:val="en-US" w:eastAsia="zh-CN"/>
              </w:rPr>
            </w:pPr>
            <w:r>
              <w:rPr>
                <w:rFonts w:hint="eastAsia" w:ascii="宋体" w:hAnsi="宋体" w:cs="宋体"/>
                <w:kern w:val="0"/>
                <w:szCs w:val="21"/>
                <w:lang w:val="en-US" w:eastAsia="zh-CN"/>
              </w:rPr>
              <w:t>三、</w:t>
            </w:r>
            <w:r>
              <w:rPr>
                <w:rFonts w:hint="eastAsia" w:ascii="宋体" w:hAnsi="宋体" w:cs="宋体"/>
                <w:kern w:val="0"/>
                <w:szCs w:val="21"/>
              </w:rPr>
              <w:t>无人机载荷</w:t>
            </w:r>
            <w:r>
              <w:rPr>
                <w:rFonts w:hint="eastAsia" w:ascii="宋体" w:hAnsi="宋体" w:cs="宋体"/>
                <w:kern w:val="0"/>
                <w:szCs w:val="21"/>
                <w:lang w:val="en-US" w:eastAsia="zh-CN"/>
              </w:rPr>
              <w:t>要求</w:t>
            </w:r>
            <w:r>
              <w:rPr>
                <w:rFonts w:hint="eastAsia" w:ascii="宋体" w:hAnsi="宋体" w:cs="宋体"/>
                <w:kern w:val="0"/>
                <w:szCs w:val="21"/>
                <w:lang w:eastAsia="zh-CN"/>
              </w:rPr>
              <w:t>：</w:t>
            </w:r>
            <w:r>
              <w:rPr>
                <w:rFonts w:ascii="宋体" w:hAnsi="宋体" w:cs="宋体"/>
                <w:szCs w:val="21"/>
              </w:rPr>
              <w:t>无人机单架次需具备有效载荷 4 公斤</w:t>
            </w:r>
            <w:r>
              <w:rPr>
                <w:rFonts w:hint="eastAsia" w:ascii="宋体" w:hAnsi="宋体" w:cs="宋体"/>
                <w:szCs w:val="21"/>
              </w:rPr>
              <w:t>以上。</w:t>
            </w:r>
          </w:p>
          <w:p w14:paraId="4C37B045">
            <w:pPr>
              <w:pStyle w:val="30"/>
              <w:widowControl/>
              <w:numPr>
                <w:ilvl w:val="0"/>
                <w:numId w:val="0"/>
              </w:numPr>
              <w:jc w:val="left"/>
              <w:rPr>
                <w:rFonts w:hint="eastAsia" w:ascii="宋体" w:hAnsi="宋体" w:cs="宋体"/>
                <w:kern w:val="0"/>
                <w:szCs w:val="21"/>
                <w:lang w:eastAsia="zh-CN"/>
              </w:rPr>
            </w:pPr>
            <w:r>
              <w:rPr>
                <w:rFonts w:hint="eastAsia" w:ascii="宋体" w:hAnsi="宋体" w:cs="宋体"/>
                <w:kern w:val="0"/>
                <w:szCs w:val="21"/>
                <w:lang w:val="en-US" w:eastAsia="zh-CN"/>
              </w:rPr>
              <w:t>四、</w:t>
            </w:r>
            <w:r>
              <w:rPr>
                <w:rFonts w:hint="eastAsia" w:ascii="宋体" w:hAnsi="宋体" w:cs="宋体"/>
                <w:kern w:val="0"/>
                <w:szCs w:val="21"/>
              </w:rPr>
              <w:t>无人机噪音</w:t>
            </w:r>
            <w:r>
              <w:rPr>
                <w:rFonts w:hint="eastAsia" w:ascii="宋体" w:hAnsi="宋体" w:cs="宋体"/>
                <w:kern w:val="0"/>
                <w:szCs w:val="21"/>
                <w:lang w:val="en-US" w:eastAsia="zh-CN"/>
              </w:rPr>
              <w:t>要求</w:t>
            </w:r>
            <w:r>
              <w:rPr>
                <w:rFonts w:hint="eastAsia" w:ascii="宋体" w:hAnsi="宋体" w:cs="宋体"/>
                <w:kern w:val="0"/>
                <w:szCs w:val="21"/>
                <w:lang w:eastAsia="zh-CN"/>
              </w:rPr>
              <w:t>：</w:t>
            </w:r>
            <w:r>
              <w:rPr>
                <w:rFonts w:hint="default" w:ascii="Times New Roman" w:hAnsi="Times New Roman" w:eastAsia="宋体" w:cs="Times New Roman"/>
                <w:bCs/>
                <w:kern w:val="2"/>
                <w:sz w:val="21"/>
                <w:szCs w:val="21"/>
              </w:rPr>
              <w:t>在环境背景噪声&lt;45dB(A)时，飞行工作噪声应&lt;60dB(A)</w:t>
            </w:r>
            <w:r>
              <w:rPr>
                <w:rFonts w:hint="eastAsia" w:ascii="Times New Roman" w:cs="Times New Roman"/>
                <w:bCs/>
                <w:kern w:val="2"/>
                <w:sz w:val="21"/>
                <w:szCs w:val="21"/>
                <w:lang w:eastAsia="zh-CN"/>
              </w:rPr>
              <w:t>。</w:t>
            </w:r>
          </w:p>
          <w:p w14:paraId="18C9355C">
            <w:pPr>
              <w:pStyle w:val="30"/>
              <w:widowControl/>
              <w:numPr>
                <w:ilvl w:val="0"/>
                <w:numId w:val="0"/>
              </w:numPr>
              <w:jc w:val="left"/>
              <w:rPr>
                <w:rFonts w:hint="eastAsia" w:ascii="宋体" w:hAnsi="宋体" w:eastAsia="宋体" w:cs="宋体"/>
                <w:kern w:val="0"/>
                <w:szCs w:val="21"/>
              </w:rPr>
            </w:pPr>
            <w:r>
              <w:rPr>
                <w:rFonts w:hint="eastAsia" w:ascii="宋体" w:hAnsi="宋体" w:cs="宋体"/>
                <w:kern w:val="0"/>
                <w:szCs w:val="21"/>
                <w:lang w:val="en-US" w:eastAsia="zh-CN"/>
              </w:rPr>
              <w:t>五、</w:t>
            </w:r>
            <w:r>
              <w:rPr>
                <w:rFonts w:hint="eastAsia" w:ascii="宋体" w:hAnsi="宋体" w:cs="宋体"/>
                <w:kern w:val="0"/>
                <w:szCs w:val="21"/>
              </w:rPr>
              <w:t>无人机飞行器起降场</w:t>
            </w:r>
            <w:r>
              <w:rPr>
                <w:rFonts w:hint="eastAsia" w:ascii="宋体" w:hAnsi="宋体" w:cs="宋体"/>
                <w:kern w:val="0"/>
                <w:szCs w:val="21"/>
                <w:lang w:val="en-US" w:eastAsia="zh-CN"/>
              </w:rPr>
              <w:t>建设要求</w:t>
            </w:r>
            <w:r>
              <w:rPr>
                <w:rFonts w:hint="eastAsia" w:ascii="宋体" w:hAnsi="宋体" w:cs="宋体"/>
                <w:kern w:val="0"/>
                <w:szCs w:val="21"/>
                <w:lang w:eastAsia="zh-CN"/>
              </w:rPr>
              <w:t>：</w:t>
            </w:r>
          </w:p>
          <w:p w14:paraId="75CB36D9">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乙方</w:t>
            </w:r>
            <w:r>
              <w:rPr>
                <w:rFonts w:hint="eastAsia" w:ascii="宋体" w:hAnsi="宋体" w:eastAsia="宋体" w:cs="宋体"/>
                <w:kern w:val="0"/>
                <w:szCs w:val="21"/>
              </w:rPr>
              <w:t>须提供无人机起降场的技术要求和设计方案，并指导</w:t>
            </w:r>
            <w:r>
              <w:rPr>
                <w:rFonts w:hint="eastAsia" w:ascii="宋体" w:hAnsi="宋体" w:eastAsia="宋体" w:cs="宋体"/>
                <w:kern w:val="0"/>
                <w:szCs w:val="21"/>
                <w:lang w:eastAsia="zh-CN"/>
              </w:rPr>
              <w:t>甲方</w:t>
            </w:r>
            <w:r>
              <w:rPr>
                <w:rFonts w:hint="eastAsia" w:ascii="宋体" w:hAnsi="宋体" w:eastAsia="宋体" w:cs="宋体"/>
                <w:kern w:val="0"/>
                <w:szCs w:val="21"/>
              </w:rPr>
              <w:t>完成起降场场地规划和获取。在由</w:t>
            </w:r>
            <w:r>
              <w:rPr>
                <w:rFonts w:hint="eastAsia" w:ascii="宋体" w:hAnsi="宋体" w:eastAsia="宋体" w:cs="宋体"/>
                <w:kern w:val="0"/>
                <w:szCs w:val="21"/>
                <w:lang w:eastAsia="zh-CN"/>
              </w:rPr>
              <w:t>甲方</w:t>
            </w:r>
            <w:r>
              <w:rPr>
                <w:rFonts w:hint="eastAsia" w:ascii="宋体" w:hAnsi="宋体" w:eastAsia="宋体" w:cs="宋体"/>
                <w:kern w:val="0"/>
                <w:szCs w:val="21"/>
              </w:rPr>
              <w:t>提供的场地上，由</w:t>
            </w:r>
            <w:r>
              <w:rPr>
                <w:rFonts w:hint="eastAsia" w:ascii="宋体" w:hAnsi="宋体" w:eastAsia="宋体" w:cs="宋体"/>
                <w:kern w:val="0"/>
                <w:szCs w:val="21"/>
                <w:lang w:val="en-US" w:eastAsia="zh-CN"/>
              </w:rPr>
              <w:t>乙方</w:t>
            </w:r>
            <w:r>
              <w:rPr>
                <w:rFonts w:hint="eastAsia" w:ascii="宋体" w:hAnsi="宋体" w:eastAsia="宋体" w:cs="宋体"/>
                <w:kern w:val="0"/>
                <w:szCs w:val="21"/>
              </w:rPr>
              <w:t>实施起降场地建设。</w:t>
            </w:r>
          </w:p>
          <w:p w14:paraId="27855AD7">
            <w:pPr>
              <w:pStyle w:val="30"/>
              <w:widowControl/>
              <w:numPr>
                <w:ilvl w:val="0"/>
                <w:numId w:val="0"/>
              </w:numPr>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甲方</w:t>
            </w:r>
            <w:r>
              <w:rPr>
                <w:rFonts w:hint="eastAsia" w:ascii="宋体" w:hAnsi="宋体" w:eastAsia="宋体" w:cs="宋体"/>
                <w:kern w:val="0"/>
                <w:szCs w:val="21"/>
              </w:rPr>
              <w:t>免费提供无人机起降场地、无人机和电池储存箱放置场地，医院免费提供充电电源接入和相关电力消耗。</w:t>
            </w:r>
          </w:p>
          <w:p w14:paraId="5A1EF323">
            <w:pPr>
              <w:pStyle w:val="30"/>
              <w:widowControl/>
              <w:numPr>
                <w:ilvl w:val="0"/>
                <w:numId w:val="0"/>
              </w:numPr>
              <w:tabs>
                <w:tab w:val="left" w:pos="798"/>
              </w:tabs>
              <w:ind w:left="420" w:leftChars="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乙方</w:t>
            </w:r>
            <w:r>
              <w:rPr>
                <w:rFonts w:hint="eastAsia" w:ascii="宋体" w:hAnsi="宋体" w:eastAsia="宋体" w:cs="宋体"/>
                <w:kern w:val="0"/>
                <w:szCs w:val="21"/>
              </w:rPr>
              <w:t>负责提供起降场、储存箱和充电设备等设施设备及其安装服务。</w:t>
            </w:r>
          </w:p>
          <w:p w14:paraId="41C62A6E">
            <w:pPr>
              <w:pStyle w:val="30"/>
              <w:widowControl/>
              <w:numPr>
                <w:ilvl w:val="0"/>
                <w:numId w:val="0"/>
              </w:numPr>
              <w:ind w:left="420" w:leftChars="0"/>
              <w:jc w:val="left"/>
              <w:rPr>
                <w:rFonts w:hint="eastAsia" w:ascii="宋体" w:hAnsi="宋体" w:eastAsia="宋体" w:cs="宋体"/>
                <w:color w:val="auto"/>
                <w:sz w:val="30"/>
                <w:szCs w:val="30"/>
              </w:rPr>
            </w:pPr>
            <w:r>
              <w:rPr>
                <w:rFonts w:hint="eastAsia" w:ascii="宋体" w:hAnsi="宋体" w:eastAsia="宋体" w:cs="宋体"/>
                <w:kern w:val="0"/>
                <w:szCs w:val="21"/>
                <w:lang w:val="en-US" w:eastAsia="zh-CN"/>
              </w:rPr>
              <w:t>4、</w:t>
            </w:r>
            <w:r>
              <w:rPr>
                <w:rFonts w:hint="eastAsia" w:ascii="宋体" w:hAnsi="宋体" w:eastAsia="宋体" w:cs="宋体"/>
                <w:kern w:val="0"/>
                <w:szCs w:val="21"/>
              </w:rPr>
              <w:t>无人机电池储存箱和充电设备需具备防火要求。</w:t>
            </w:r>
          </w:p>
          <w:p w14:paraId="54D12CA7">
            <w:pPr>
              <w:pStyle w:val="30"/>
              <w:widowControl/>
              <w:numPr>
                <w:ilvl w:val="0"/>
                <w:numId w:val="0"/>
              </w:numPr>
              <w:jc w:val="left"/>
              <w:rPr>
                <w:rFonts w:hint="eastAsia" w:ascii="宋体" w:hAnsi="宋体" w:eastAsia="宋体" w:cs="宋体"/>
                <w:color w:val="auto"/>
                <w:sz w:val="30"/>
                <w:szCs w:val="30"/>
                <w:lang w:val="en-US" w:eastAsia="zh-CN"/>
              </w:rPr>
            </w:pPr>
            <w:r>
              <w:rPr>
                <w:rFonts w:hint="eastAsia" w:ascii="宋体" w:hAnsi="宋体" w:eastAsia="宋体" w:cs="宋体"/>
                <w:kern w:val="0"/>
                <w:szCs w:val="21"/>
                <w:lang w:val="en-US" w:eastAsia="zh-CN"/>
              </w:rPr>
              <w:t>六、乙方交付时使用的飞行器必须与投标文档所用到的飞行器保持一致。</w:t>
            </w:r>
          </w:p>
        </w:tc>
      </w:tr>
    </w:tbl>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r>
        <w:rPr>
          <w:rFonts w:hint="eastAsia"/>
        </w:rPr>
        <w:br w:type="page"/>
      </w:r>
    </w:p>
    <w:p w14:paraId="4615246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5A4FAE1">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6"/>
        <w:tblW w:w="96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2348"/>
        <w:gridCol w:w="2322"/>
        <w:gridCol w:w="1374"/>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2348" w:type="dxa"/>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2322" w:type="dxa"/>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374" w:type="dxa"/>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574" w:type="dxa"/>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48" w:type="dxa"/>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2322" w:type="dxa"/>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ind w:firstLine="420" w:firstLineChars="200"/>
              <w:rPr>
                <w:rFonts w:hint="eastAsia" w:ascii="宋体" w:hAnsi="宋体" w:eastAsia="宋体"/>
                <w:color w:val="000000"/>
                <w:szCs w:val="21"/>
                <w:lang w:val="en-US" w:eastAsia="zh-CN"/>
              </w:rPr>
            </w:pPr>
          </w:p>
        </w:tc>
        <w:tc>
          <w:tcPr>
            <w:tcW w:w="1374" w:type="dxa"/>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8244" w:type="dxa"/>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374" w:type="dxa"/>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73521707"/>
      <w:bookmarkStart w:id="9" w:name="_Toc100052474"/>
      <w:bookmarkStart w:id="10" w:name="_Toc73521619"/>
      <w:bookmarkStart w:id="11" w:name="_Toc10107490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101074905"/>
      <w:bookmarkStart w:id="14" w:name="_Toc100052475"/>
      <w:bookmarkStart w:id="15" w:name="_Toc73521708"/>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401658"/>
      <w:bookmarkStart w:id="17" w:name="_Toc201997946"/>
      <w:bookmarkStart w:id="18" w:name="_Toc201719118"/>
      <w:bookmarkStart w:id="19" w:name="_Toc201742861"/>
      <w:bookmarkStart w:id="20" w:name="_Toc201743116"/>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2"/>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2"/>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2"/>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2"/>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7F706D45">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8"/>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8"/>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8"/>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8"/>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8"/>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8"/>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8"/>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8"/>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8"/>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8"/>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AE00D24">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4D375C6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C473"/>
    <w:multiLevelType w:val="singleLevel"/>
    <w:tmpl w:val="896DC473"/>
    <w:lvl w:ilvl="0" w:tentative="0">
      <w:start w:val="1"/>
      <w:numFmt w:val="decimal"/>
      <w:lvlText w:val="%1."/>
      <w:lvlJc w:val="left"/>
      <w:pPr>
        <w:tabs>
          <w:tab w:val="left" w:pos="312"/>
        </w:tabs>
      </w:pPr>
    </w:lvl>
  </w:abstractNum>
  <w:abstractNum w:abstractNumId="1">
    <w:nsid w:val="8B2BB8AE"/>
    <w:multiLevelType w:val="singleLevel"/>
    <w:tmpl w:val="8B2BB8AE"/>
    <w:lvl w:ilvl="0" w:tentative="0">
      <w:start w:val="1"/>
      <w:numFmt w:val="decimal"/>
      <w:lvlText w:val="%1."/>
      <w:lvlJc w:val="left"/>
      <w:pPr>
        <w:tabs>
          <w:tab w:val="left" w:pos="312"/>
        </w:tabs>
      </w:pPr>
    </w:lvl>
  </w:abstractNum>
  <w:abstractNum w:abstractNumId="2">
    <w:nsid w:val="963C224D"/>
    <w:multiLevelType w:val="singleLevel"/>
    <w:tmpl w:val="963C224D"/>
    <w:lvl w:ilvl="0" w:tentative="0">
      <w:start w:val="2"/>
      <w:numFmt w:val="chineseCounting"/>
      <w:suff w:val="nothing"/>
      <w:lvlText w:val="（%1）"/>
      <w:lvlJc w:val="left"/>
      <w:rPr>
        <w:rFonts w:hint="eastAsia"/>
      </w:rPr>
    </w:lvl>
  </w:abstractNum>
  <w:abstractNum w:abstractNumId="3">
    <w:nsid w:val="A7ABFDED"/>
    <w:multiLevelType w:val="singleLevel"/>
    <w:tmpl w:val="A7ABFDED"/>
    <w:lvl w:ilvl="0" w:tentative="0">
      <w:start w:val="1"/>
      <w:numFmt w:val="chineseCounting"/>
      <w:suff w:val="nothing"/>
      <w:lvlText w:val="（%1）"/>
      <w:lvlJc w:val="left"/>
      <w:rPr>
        <w:rFonts w:hint="eastAsia"/>
      </w:rPr>
    </w:lvl>
  </w:abstractNum>
  <w:abstractNum w:abstractNumId="4">
    <w:nsid w:val="A9BAA77B"/>
    <w:multiLevelType w:val="singleLevel"/>
    <w:tmpl w:val="A9BAA77B"/>
    <w:lvl w:ilvl="0" w:tentative="0">
      <w:start w:val="1"/>
      <w:numFmt w:val="chineseCounting"/>
      <w:suff w:val="nothing"/>
      <w:lvlText w:val="（%1）"/>
      <w:lvlJc w:val="left"/>
      <w:rPr>
        <w:rFonts w:hint="eastAsia"/>
      </w:rPr>
    </w:lvl>
  </w:abstractNum>
  <w:abstractNum w:abstractNumId="5">
    <w:nsid w:val="EE5CA2A4"/>
    <w:multiLevelType w:val="singleLevel"/>
    <w:tmpl w:val="EE5CA2A4"/>
    <w:lvl w:ilvl="0" w:tentative="0">
      <w:start w:val="1"/>
      <w:numFmt w:val="decimal"/>
      <w:suff w:val="nothing"/>
      <w:lvlText w:val="%1、"/>
      <w:lvlJc w:val="left"/>
      <w:pPr>
        <w:ind w:left="525" w:leftChars="0" w:firstLine="0" w:firstLineChars="0"/>
      </w:pPr>
    </w:lvl>
  </w:abstractNum>
  <w:abstractNum w:abstractNumId="6">
    <w:nsid w:val="0806C36F"/>
    <w:multiLevelType w:val="singleLevel"/>
    <w:tmpl w:val="0806C36F"/>
    <w:lvl w:ilvl="0" w:tentative="0">
      <w:start w:val="1"/>
      <w:numFmt w:val="decimal"/>
      <w:lvlText w:val="%1."/>
      <w:lvlJc w:val="left"/>
      <w:pPr>
        <w:tabs>
          <w:tab w:val="left" w:pos="312"/>
        </w:tabs>
      </w:pPr>
    </w:lvl>
  </w:abstractNum>
  <w:abstractNum w:abstractNumId="7">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3157309"/>
    <w:rsid w:val="04B55E07"/>
    <w:rsid w:val="04D7648A"/>
    <w:rsid w:val="04FA14E6"/>
    <w:rsid w:val="0531362C"/>
    <w:rsid w:val="0535213D"/>
    <w:rsid w:val="054D6974"/>
    <w:rsid w:val="057207F6"/>
    <w:rsid w:val="05FC6B91"/>
    <w:rsid w:val="0733135D"/>
    <w:rsid w:val="07732DB2"/>
    <w:rsid w:val="077810E4"/>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9DE2590"/>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9F645B"/>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09678C"/>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565C67"/>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5741DB"/>
    <w:rsid w:val="72BB566D"/>
    <w:rsid w:val="72FE0135"/>
    <w:rsid w:val="73021E25"/>
    <w:rsid w:val="733B0CC7"/>
    <w:rsid w:val="75017925"/>
    <w:rsid w:val="75BF5C57"/>
    <w:rsid w:val="76287E23"/>
    <w:rsid w:val="76437394"/>
    <w:rsid w:val="76D20986"/>
    <w:rsid w:val="77651327"/>
    <w:rsid w:val="79A732D1"/>
    <w:rsid w:val="79BA4A36"/>
    <w:rsid w:val="7AD6416D"/>
    <w:rsid w:val="7B616DAE"/>
    <w:rsid w:val="7BCD7517"/>
    <w:rsid w:val="7BFA4470"/>
    <w:rsid w:val="7C0039D3"/>
    <w:rsid w:val="7C6C6D2C"/>
    <w:rsid w:val="7C7163B3"/>
    <w:rsid w:val="7C8C07BD"/>
    <w:rsid w:val="7D45640A"/>
    <w:rsid w:val="7DE6504F"/>
    <w:rsid w:val="7DEC76CD"/>
    <w:rsid w:val="7EB53E92"/>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next w:val="7"/>
    <w:autoRedefine/>
    <w:qFormat/>
    <w:uiPriority w:val="0"/>
    <w:pPr>
      <w:spacing w:line="360" w:lineRule="auto"/>
      <w:ind w:left="720" w:hanging="720" w:hangingChars="300"/>
    </w:pPr>
    <w:rPr>
      <w:sz w:val="24"/>
      <w:szCs w:val="20"/>
    </w:rPr>
  </w:style>
  <w:style w:type="paragraph" w:styleId="7">
    <w:name w:val="envelope return"/>
    <w:basedOn w:val="1"/>
    <w:qFormat/>
    <w:uiPriority w:val="99"/>
    <w:rPr>
      <w:rFonts w:ascii="Arial" w:hAnsi="Arial"/>
    </w:rPr>
  </w:style>
  <w:style w:type="paragraph" w:styleId="8">
    <w:name w:val="Plain Text"/>
    <w:basedOn w:val="1"/>
    <w:link w:val="24"/>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8"/>
    <w:autoRedefine/>
    <w:qFormat/>
    <w:uiPriority w:val="99"/>
    <w:pPr>
      <w:tabs>
        <w:tab w:val="center" w:pos="4153"/>
        <w:tab w:val="right" w:pos="8306"/>
      </w:tabs>
      <w:snapToGrid w:val="0"/>
      <w:jc w:val="left"/>
    </w:pPr>
    <w:rPr>
      <w:sz w:val="18"/>
      <w:szCs w:val="18"/>
    </w:rPr>
  </w:style>
  <w:style w:type="paragraph" w:styleId="12">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paragraph" w:styleId="15">
    <w:name w:val="Body Text First Indent 2"/>
    <w:basedOn w:val="6"/>
    <w:next w:val="1"/>
    <w:unhideWhenUsed/>
    <w:qFormat/>
    <w:uiPriority w:val="0"/>
    <w:pPr>
      <w:spacing w:after="120" w:line="240" w:lineRule="auto"/>
      <w:ind w:left="420" w:leftChars="200"/>
    </w:pPr>
    <w:rPr>
      <w:rFonts w:ascii="Calibri" w:hAnsi="Calibri"/>
      <w:szCs w:val="22"/>
    </w:rPr>
  </w:style>
  <w:style w:type="table" w:styleId="17">
    <w:name w:val="Table Grid"/>
    <w:basedOn w:val="1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page number"/>
    <w:basedOn w:val="18"/>
    <w:autoRedefine/>
    <w:semiHidden/>
    <w:qFormat/>
    <w:uiPriority w:val="0"/>
  </w:style>
  <w:style w:type="character" w:styleId="21">
    <w:name w:val="Hyperlink"/>
    <w:basedOn w:val="18"/>
    <w:autoRedefine/>
    <w:qFormat/>
    <w:uiPriority w:val="0"/>
    <w:rPr>
      <w:color w:val="0000FF"/>
      <w:u w:val="single"/>
    </w:rPr>
  </w:style>
  <w:style w:type="paragraph" w:customStyle="1" w:styleId="22">
    <w:name w:val="样式 行距: 1.5 倍行距 首行缩进:  2 字符"/>
    <w:basedOn w:val="1"/>
    <w:qFormat/>
    <w:uiPriority w:val="0"/>
    <w:pPr>
      <w:adjustRightInd w:val="0"/>
      <w:snapToGrid w:val="0"/>
      <w:spacing w:line="460" w:lineRule="exact"/>
    </w:pPr>
  </w:style>
  <w:style w:type="character" w:customStyle="1" w:styleId="23">
    <w:name w:val="标题 3 Char"/>
    <w:basedOn w:val="18"/>
    <w:link w:val="4"/>
    <w:autoRedefine/>
    <w:qFormat/>
    <w:uiPriority w:val="0"/>
    <w:rPr>
      <w:b/>
      <w:kern w:val="2"/>
      <w:sz w:val="24"/>
    </w:rPr>
  </w:style>
  <w:style w:type="character" w:customStyle="1" w:styleId="24">
    <w:name w:val="纯文本 Char"/>
    <w:basedOn w:val="18"/>
    <w:link w:val="8"/>
    <w:autoRedefine/>
    <w:qFormat/>
    <w:uiPriority w:val="0"/>
    <w:rPr>
      <w:rFonts w:ascii="宋体" w:hAnsi="Courier New" w:cs="Courier New"/>
      <w:kern w:val="2"/>
      <w:sz w:val="21"/>
      <w:szCs w:val="21"/>
    </w:rPr>
  </w:style>
  <w:style w:type="paragraph" w:customStyle="1" w:styleId="25">
    <w:name w:val="Char"/>
    <w:basedOn w:val="1"/>
    <w:autoRedefine/>
    <w:qFormat/>
    <w:uiPriority w:val="0"/>
    <w:rPr>
      <w:rFonts w:ascii="仿宋_GB2312" w:eastAsia="仿宋_GB2312"/>
      <w:b/>
      <w:sz w:val="32"/>
      <w:szCs w:val="32"/>
    </w:rPr>
  </w:style>
  <w:style w:type="paragraph" w:customStyle="1" w:styleId="26">
    <w:name w:val="样式 (西文) 宋体 行距: 1.5 倍行距"/>
    <w:basedOn w:val="1"/>
    <w:autoRedefine/>
    <w:qFormat/>
    <w:uiPriority w:val="0"/>
    <w:pPr>
      <w:spacing w:line="360" w:lineRule="auto"/>
    </w:pPr>
    <w:rPr>
      <w:rFonts w:ascii="宋体" w:hAnsi="宋体" w:cs="宋体"/>
    </w:rPr>
  </w:style>
  <w:style w:type="character" w:customStyle="1" w:styleId="27">
    <w:name w:val="页眉 Char"/>
    <w:basedOn w:val="18"/>
    <w:link w:val="12"/>
    <w:autoRedefine/>
    <w:qFormat/>
    <w:uiPriority w:val="0"/>
    <w:rPr>
      <w:kern w:val="2"/>
      <w:sz w:val="18"/>
      <w:szCs w:val="18"/>
    </w:rPr>
  </w:style>
  <w:style w:type="character" w:customStyle="1" w:styleId="28">
    <w:name w:val="页脚 Char"/>
    <w:basedOn w:val="18"/>
    <w:link w:val="11"/>
    <w:autoRedefine/>
    <w:qFormat/>
    <w:uiPriority w:val="99"/>
    <w:rPr>
      <w:kern w:val="2"/>
      <w:sz w:val="18"/>
      <w:szCs w:val="18"/>
    </w:rPr>
  </w:style>
  <w:style w:type="character" w:customStyle="1" w:styleId="29">
    <w:name w:val="标题 2 Char"/>
    <w:basedOn w:val="18"/>
    <w:link w:val="3"/>
    <w:autoRedefine/>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autoRedefine/>
    <w:qFormat/>
    <w:uiPriority w:val="34"/>
    <w:pPr>
      <w:ind w:firstLine="420" w:firstLineChars="200"/>
    </w:pPr>
    <w:rPr>
      <w:rFonts w:ascii="Calibri" w:hAnsi="Calibri"/>
      <w:szCs w:val="22"/>
    </w:rPr>
  </w:style>
  <w:style w:type="character" w:customStyle="1" w:styleId="31">
    <w:name w:val="标题 1 Char"/>
    <w:basedOn w:val="18"/>
    <w:link w:val="2"/>
    <w:autoRedefine/>
    <w:qFormat/>
    <w:uiPriority w:val="0"/>
    <w:rPr>
      <w:b/>
      <w:bCs/>
      <w:kern w:val="44"/>
      <w:sz w:val="44"/>
      <w:szCs w:val="44"/>
    </w:rPr>
  </w:style>
  <w:style w:type="paragraph" w:customStyle="1" w:styleId="32">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autoRedefine/>
    <w:qFormat/>
    <w:uiPriority w:val="34"/>
    <w:pPr>
      <w:ind w:firstLine="420" w:firstLineChars="200"/>
    </w:pPr>
  </w:style>
  <w:style w:type="paragraph" w:customStyle="1" w:styleId="34">
    <w:name w:val="样式3"/>
    <w:basedOn w:val="1"/>
    <w:autoRedefine/>
    <w:qFormat/>
    <w:uiPriority w:val="0"/>
    <w:pPr>
      <w:spacing w:line="0" w:lineRule="atLeast"/>
      <w:outlineLvl w:val="0"/>
    </w:pPr>
    <w:rPr>
      <w:rFonts w:ascii="宋体" w:hAnsi="Courier New"/>
      <w:sz w:val="28"/>
      <w:szCs w:val="24"/>
    </w:rPr>
  </w:style>
  <w:style w:type="paragraph" w:customStyle="1" w:styleId="35">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autoRedefine/>
    <w:qFormat/>
    <w:uiPriority w:val="99"/>
    <w:pPr>
      <w:jc w:val="center"/>
      <w:outlineLvl w:val="0"/>
    </w:pPr>
    <w:rPr>
      <w:rFonts w:ascii="宋体" w:hAnsi="宋体"/>
      <w:b/>
      <w:sz w:val="28"/>
      <w:szCs w:val="28"/>
    </w:rPr>
  </w:style>
  <w:style w:type="paragraph" w:customStyle="1" w:styleId="37">
    <w:name w:val="列出段落1"/>
    <w:basedOn w:val="1"/>
    <w:autoRedefine/>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autoRedefine/>
    <w:qFormat/>
    <w:uiPriority w:val="0"/>
    <w:rPr>
      <w:rFonts w:hint="eastAsia" w:ascii="宋体" w:hAnsi="宋体" w:eastAsia="宋体" w:cs="宋体"/>
      <w:color w:val="000000"/>
      <w:sz w:val="18"/>
      <w:szCs w:val="18"/>
      <w:u w:val="none"/>
    </w:rPr>
  </w:style>
  <w:style w:type="paragraph" w:customStyle="1" w:styleId="43">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列表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6678</Words>
  <Characters>6842</Characters>
  <Lines>48</Lines>
  <Paragraphs>13</Paragraphs>
  <TotalTime>26</TotalTime>
  <ScaleCrop>false</ScaleCrop>
  <LinksUpToDate>false</LinksUpToDate>
  <CharactersWithSpaces>7706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小陈</cp:lastModifiedBy>
  <cp:lastPrinted>2024-09-11T08:19:00Z</cp:lastPrinted>
  <dcterms:modified xsi:type="dcterms:W3CDTF">2025-01-08T08:37:05Z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A521FBDC2A7E4899A522CA9E47EF1BA4_12</vt:lpwstr>
  </property>
  <property fmtid="{D5CDD505-2E9C-101B-9397-08002B2CF9AE}" pid="4" name="KSOTemplateDocerSaveRecord">
    <vt:lpwstr>eyJoZGlkIjoiMjk3OWU1MzY1OTQ5OTJmMDNkZTgyMmQxZGM1NzFkMjQiLCJ1c2VySWQiOiIyOTM1NTc2MzQifQ==</vt:lpwstr>
  </property>
</Properties>
</file>