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2"/>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93"/>
        <w:gridCol w:w="1212"/>
        <w:gridCol w:w="763"/>
        <w:gridCol w:w="912"/>
        <w:gridCol w:w="5059"/>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2768" w:type="dxa"/>
            <w:gridSpan w:val="3"/>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5971"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2768" w:type="dxa"/>
            <w:gridSpan w:val="3"/>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5971" w:type="dxa"/>
            <w:gridSpan w:val="2"/>
            <w:tcBorders>
              <w:top w:val="single" w:color="auto" w:sz="4" w:space="0"/>
              <w:left w:val="single" w:color="auto" w:sz="4" w:space="0"/>
              <w:bottom w:val="single" w:color="auto" w:sz="4" w:space="0"/>
              <w:right w:val="single" w:color="auto" w:sz="4" w:space="0"/>
            </w:tcBorders>
          </w:tcPr>
          <w:p w14:paraId="6D103744">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2768" w:type="dxa"/>
            <w:gridSpan w:val="3"/>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5971"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52</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1212"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63" w:type="dxa"/>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912"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5059"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1212"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技术参数要求符合度</w:t>
            </w:r>
          </w:p>
        </w:tc>
        <w:tc>
          <w:tcPr>
            <w:tcW w:w="763"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default" w:ascii="宋体" w:hAnsi="宋体" w:eastAsia="宋体" w:cs="仿宋"/>
                <w:color w:val="auto"/>
                <w:szCs w:val="21"/>
                <w:lang w:val="en-US" w:eastAsia="zh-CN"/>
              </w:rPr>
            </w:pPr>
            <w:r>
              <w:rPr>
                <w:rFonts w:hint="eastAsia" w:ascii="宋体" w:hAnsi="宋体" w:cs="仿宋"/>
                <w:szCs w:val="21"/>
                <w:lang w:val="en-US" w:eastAsia="zh-CN"/>
              </w:rPr>
              <w:t>33</w:t>
            </w:r>
          </w:p>
        </w:tc>
        <w:tc>
          <w:tcPr>
            <w:tcW w:w="912"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t>根据《技术和服务要求响应表》响应情况（带“▲”号（重要技术要求) 条款共7条，不带“▲”号条款共31条），完全满足或优于技术性能要求的得满分；对未达到或未响应公开招标文件技术要求的，带“▲”号（重要技术要求）条款每一项扣除2.5分；不带“▲”号条款每一项扣除0.5分；超出要求的在此项不加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1212" w:type="dxa"/>
            <w:tcBorders>
              <w:top w:val="single" w:color="auto" w:sz="4" w:space="0"/>
              <w:left w:val="single" w:color="auto" w:sz="4" w:space="0"/>
              <w:bottom w:val="single" w:color="auto" w:sz="4" w:space="0"/>
              <w:right w:val="single" w:color="auto" w:sz="4" w:space="0"/>
            </w:tcBorders>
            <w:vAlign w:val="center"/>
          </w:tcPr>
          <w:p w14:paraId="31298B35">
            <w:pPr>
              <w:widowControl/>
              <w:jc w:val="center"/>
              <w:rPr>
                <w:rFonts w:ascii="宋体" w:hAnsi="宋体"/>
                <w:color w:val="auto"/>
                <w:szCs w:val="21"/>
              </w:rPr>
            </w:pPr>
            <w:r>
              <w:t>服务方案</w:t>
            </w:r>
          </w:p>
        </w:tc>
        <w:tc>
          <w:tcPr>
            <w:tcW w:w="763" w:type="dxa"/>
            <w:tcBorders>
              <w:top w:val="single" w:color="auto" w:sz="4" w:space="0"/>
              <w:left w:val="single" w:color="auto" w:sz="4" w:space="0"/>
              <w:bottom w:val="single" w:color="auto" w:sz="4" w:space="0"/>
              <w:right w:val="single" w:color="auto" w:sz="4" w:space="0"/>
            </w:tcBorders>
            <w:vAlign w:val="center"/>
          </w:tcPr>
          <w:p w14:paraId="61EBADFF">
            <w:pPr>
              <w:widowControl/>
              <w:jc w:val="center"/>
              <w:rPr>
                <w:rFonts w:hint="eastAsia" w:ascii="宋体" w:hAnsi="宋体" w:eastAsia="宋体" w:cs="仿宋"/>
                <w:color w:val="auto"/>
                <w:szCs w:val="21"/>
                <w:lang w:eastAsia="zh-CN"/>
              </w:rPr>
            </w:pPr>
            <w:r>
              <w:rPr>
                <w:rFonts w:ascii="宋体" w:hAnsi="宋体" w:cs="仿宋"/>
                <w:szCs w:val="21"/>
              </w:rPr>
              <w:t>10</w:t>
            </w:r>
          </w:p>
        </w:tc>
        <w:tc>
          <w:tcPr>
            <w:tcW w:w="912"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3217C19F">
            <w:pPr>
              <w:widowControl/>
              <w:jc w:val="left"/>
            </w:pPr>
            <w:r>
              <w:t xml:space="preserve">根据投标人提供服务方案的详细内容进行综合评价： （1）服务方案合理、可行、保障性高的，方案的详尽性、实用性、专业性强的，优于本项目技术要求综合评价得10分；（2）服务方案合理性一般、可行性一般、保障性一般的，方案的详尽性、实用性、专业性为一般，基本满足本项目技术要求综合评价得6分；（3）服务方案不合理性、可行性、保障性差的，方案的详尽性、实用性、专业性较差，不满足本项目技术要求综合评价得2分；  </w:t>
            </w:r>
          </w:p>
          <w:p w14:paraId="353DE9B0">
            <w:pPr>
              <w:widowControl/>
              <w:jc w:val="left"/>
              <w:rPr>
                <w:color w:val="auto"/>
              </w:rPr>
            </w:pPr>
            <w:r>
              <w:t>（4）无提供的得0分。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1212"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t>维修人员情况</w:t>
            </w:r>
          </w:p>
        </w:tc>
        <w:tc>
          <w:tcPr>
            <w:tcW w:w="763" w:type="dxa"/>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rPr>
              <w:t>3</w:t>
            </w:r>
          </w:p>
        </w:tc>
        <w:tc>
          <w:tcPr>
            <w:tcW w:w="912"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hint="eastAsia"/>
              </w:rPr>
              <w:t>服务商</w:t>
            </w:r>
            <w:r>
              <w:t>具备在职专业技术维修人员队伍。维修队伍人员中具有原厂培训</w:t>
            </w:r>
            <w:r>
              <w:rPr>
                <w:rFonts w:hint="eastAsia"/>
              </w:rPr>
              <w:t>DSA</w:t>
            </w:r>
            <w:r>
              <w:t>维修资格的工程师至少1名，需提供工程师相关培训证明材料复印件</w:t>
            </w:r>
            <w:r>
              <w:rPr>
                <w:rFonts w:hint="eastAsia"/>
              </w:rPr>
              <w:t>，</w:t>
            </w:r>
            <w:r>
              <w:t>每提供一人得1分，最高得3分。无提供或提供资料不完整得0分。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1212"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t xml:space="preserve">应急事件处理能力 </w:t>
            </w:r>
          </w:p>
        </w:tc>
        <w:tc>
          <w:tcPr>
            <w:tcW w:w="763" w:type="dxa"/>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hint="eastAsia" w:ascii="宋体" w:hAnsi="宋体" w:cs="仿宋"/>
                <w:szCs w:val="21"/>
              </w:rPr>
              <w:t>6</w:t>
            </w:r>
          </w:p>
        </w:tc>
        <w:tc>
          <w:tcPr>
            <w:tcW w:w="912"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t>根据投标人提供的应急事件处理能力进行综合评价：（1）应急服务方案完善可行、具体合理，应急能力有保障，得6分；  （2）应急服务方案一般、合理性一般，应急能力一般，得3分；（3）应急服务方案可行性、合理性差，得1分；（4）无提供的得0分。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2768" w:type="dxa"/>
            <w:gridSpan w:val="3"/>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5971"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1212" w:type="dxa"/>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763"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912"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5059"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1212" w:type="dxa"/>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center"/>
              <w:rPr>
                <w:rFonts w:ascii="宋体" w:hAnsi="宋体"/>
                <w:color w:val="auto"/>
                <w:szCs w:val="21"/>
              </w:rPr>
            </w:pPr>
            <w:r>
              <w:t>商务符合性评价</w:t>
            </w:r>
          </w:p>
        </w:tc>
        <w:tc>
          <w:tcPr>
            <w:tcW w:w="763"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hint="eastAsia" w:ascii="宋体" w:hAnsi="宋体"/>
                <w:szCs w:val="21"/>
              </w:rPr>
              <w:t>3</w:t>
            </w:r>
          </w:p>
        </w:tc>
        <w:tc>
          <w:tcPr>
            <w:tcW w:w="912"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t>根据《商务条件响应表》响应情况（共3条），完全满足或优于商务要求的得满分；对未达到或未响应公开招标文件商务要求的，每一项扣除1分；超出要求的在此项不加分。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1212" w:type="dxa"/>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center"/>
              <w:rPr>
                <w:rFonts w:ascii="宋体" w:hAnsi="宋体"/>
                <w:color w:val="auto"/>
                <w:szCs w:val="21"/>
              </w:rPr>
            </w:pPr>
            <w:r>
              <w:t>市场业绩评价</w:t>
            </w:r>
          </w:p>
        </w:tc>
        <w:tc>
          <w:tcPr>
            <w:tcW w:w="763"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7</w:t>
            </w:r>
          </w:p>
        </w:tc>
        <w:tc>
          <w:tcPr>
            <w:tcW w:w="912"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t>根据投标人在2020年1月1日起签订的同品牌</w:t>
            </w:r>
            <w:r>
              <w:rPr>
                <w:rFonts w:hint="eastAsia"/>
              </w:rPr>
              <w:t>DSA</w:t>
            </w:r>
            <w:r>
              <w:t>全保合同业绩情况进行评价，每提供1项业绩得1分，最高</w:t>
            </w:r>
            <w:r>
              <w:rPr>
                <w:rFonts w:hint="eastAsia"/>
              </w:rPr>
              <w:t>7</w:t>
            </w:r>
            <w:r>
              <w:t>分。 备注：需提供合同关键页（合同关键页必须有用户单位名称、合同项目名称、合同标的主要采购内容、签订合同双方的落款盖章、合同签订日期）复印件，以合同的签订日期为准，无提供的得0分。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szCs w:val="21"/>
              </w:rPr>
              <w:t>3</w:t>
            </w:r>
          </w:p>
        </w:tc>
        <w:tc>
          <w:tcPr>
            <w:tcW w:w="1212" w:type="dxa"/>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center"/>
              <w:rPr>
                <w:rFonts w:ascii="宋体" w:hAnsi="宋体"/>
                <w:color w:val="auto"/>
                <w:szCs w:val="21"/>
              </w:rPr>
            </w:pPr>
            <w:r>
              <w:t>用户满意度评价</w:t>
            </w:r>
          </w:p>
        </w:tc>
        <w:tc>
          <w:tcPr>
            <w:tcW w:w="763"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hint="eastAsia" w:ascii="宋体" w:hAnsi="宋体"/>
                <w:szCs w:val="21"/>
              </w:rPr>
              <w:t>5</w:t>
            </w:r>
          </w:p>
        </w:tc>
        <w:tc>
          <w:tcPr>
            <w:tcW w:w="912"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37AD223C">
            <w:r>
              <w:t>根据上述“市场业绩评价”评分项中项目获得的用户单位满意度评价情况进行评分。评价情况为好评的方可计分：每提供一项得</w:t>
            </w:r>
            <w:r>
              <w:rPr>
                <w:rFonts w:hint="eastAsia"/>
              </w:rPr>
              <w:t>2</w:t>
            </w:r>
            <w:r>
              <w:t>分，最高得</w:t>
            </w:r>
            <w:r>
              <w:rPr>
                <w:rFonts w:hint="eastAsia"/>
              </w:rPr>
              <w:t>5</w:t>
            </w:r>
            <w:r>
              <w:t>分。 备注：（1）须提供用户评价材料复印件，评价材料必须评分≥90分或带有“满意”、“好评”、“优秀”等相关正面评价字眼；  （2）评价材料必须与上述“市场业绩评价”评分项中的项目相对应，无提供的得0分。</w:t>
            </w:r>
          </w:p>
          <w:p w14:paraId="0B3BDF37">
            <w:pPr>
              <w:widowControl/>
              <w:spacing w:line="120" w:lineRule="atLeast"/>
              <w:jc w:val="left"/>
              <w:rPr>
                <w:rFonts w:ascii="宋体" w:hAnsi="宋体"/>
                <w:color w:val="auto"/>
                <w:szCs w:val="21"/>
              </w:rPr>
            </w:pP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szCs w:val="21"/>
              </w:rPr>
              <w:t>4</w:t>
            </w:r>
          </w:p>
        </w:tc>
        <w:tc>
          <w:tcPr>
            <w:tcW w:w="1212" w:type="dxa"/>
            <w:tcBorders>
              <w:top w:val="single" w:color="auto" w:sz="4" w:space="0"/>
              <w:left w:val="single" w:color="auto" w:sz="4" w:space="0"/>
              <w:bottom w:val="single" w:color="auto" w:sz="4" w:space="0"/>
              <w:right w:val="single" w:color="auto" w:sz="4" w:space="0"/>
            </w:tcBorders>
            <w:vAlign w:val="center"/>
          </w:tcPr>
          <w:p w14:paraId="48B6D270">
            <w:pPr>
              <w:widowControl/>
              <w:spacing w:line="360" w:lineRule="auto"/>
              <w:jc w:val="left"/>
              <w:rPr>
                <w:rFonts w:ascii="宋体" w:hAnsi="宋体"/>
                <w:color w:val="auto"/>
                <w:szCs w:val="21"/>
              </w:rPr>
            </w:pPr>
            <w:r>
              <w:t>维保管</w:t>
            </w:r>
            <w:bookmarkStart w:id="22" w:name="_GoBack"/>
            <w:bookmarkEnd w:id="22"/>
            <w:r>
              <w:t xml:space="preserve">理软件配置情况 </w:t>
            </w:r>
          </w:p>
        </w:tc>
        <w:tc>
          <w:tcPr>
            <w:tcW w:w="763"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hint="eastAsia" w:ascii="宋体" w:hAnsi="宋体"/>
                <w:szCs w:val="21"/>
              </w:rPr>
              <w:t>13</w:t>
            </w:r>
          </w:p>
        </w:tc>
        <w:tc>
          <w:tcPr>
            <w:tcW w:w="912"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hint="eastAsia"/>
              </w:rPr>
              <w:t>服务商</w:t>
            </w:r>
            <w:r>
              <w:t>具有完善的服务管理软件，以保证后期优质的维保服务，本项最高得分为1</w:t>
            </w:r>
            <w:r>
              <w:rPr>
                <w:rFonts w:hint="eastAsia"/>
              </w:rPr>
              <w:t>3</w:t>
            </w:r>
            <w:r>
              <w:t>分。 （1）具有医疗影像自动诊断识别系统软件得</w:t>
            </w:r>
            <w:r>
              <w:rPr>
                <w:rFonts w:hint="eastAsia"/>
              </w:rPr>
              <w:t>4</w:t>
            </w:r>
            <w:r>
              <w:t>分；  （2）具有医疗影像色谱制备分析系统软件得</w:t>
            </w:r>
            <w:r>
              <w:rPr>
                <w:rFonts w:hint="eastAsia"/>
              </w:rPr>
              <w:t>4</w:t>
            </w:r>
            <w:r>
              <w:t>分； （3）具有医疗影像建档和信息化通信系统软件得5分 。 备注：1、如软件为</w:t>
            </w:r>
            <w:r>
              <w:rPr>
                <w:rFonts w:hint="eastAsia"/>
              </w:rPr>
              <w:t>服务商</w:t>
            </w:r>
            <w:r>
              <w:t>所有的，需提供有效的计算机软件著作权登记证书复印件，并加盖</w:t>
            </w:r>
            <w:r>
              <w:rPr>
                <w:rFonts w:hint="eastAsia"/>
              </w:rPr>
              <w:t>服务商</w:t>
            </w:r>
            <w:r>
              <w:t>单位公章，无提供的得0分。 2、如软件为</w:t>
            </w:r>
            <w:r>
              <w:rPr>
                <w:rFonts w:hint="eastAsia"/>
              </w:rPr>
              <w:t>服务商</w:t>
            </w:r>
            <w:r>
              <w:t>外购的，除需提供有效的计算机软件著作权登记证书复印件并加盖</w:t>
            </w:r>
            <w:r>
              <w:rPr>
                <w:rFonts w:hint="eastAsia"/>
              </w:rPr>
              <w:t>服务商</w:t>
            </w:r>
            <w:r>
              <w:t>单位公章外，还需提供相关购买材料证明</w:t>
            </w:r>
            <w:r>
              <w:rPr>
                <w:rFonts w:hint="eastAsia"/>
              </w:rPr>
              <w:t>服务商</w:t>
            </w:r>
            <w:r>
              <w:t>具有软件使用权，无提供的得0分。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szCs w:val="21"/>
              </w:rPr>
              <w:t>5</w:t>
            </w:r>
          </w:p>
        </w:tc>
        <w:tc>
          <w:tcPr>
            <w:tcW w:w="1212" w:type="dxa"/>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center"/>
              <w:rPr>
                <w:rFonts w:ascii="宋体" w:hAnsi="宋体"/>
                <w:color w:val="auto"/>
                <w:szCs w:val="21"/>
              </w:rPr>
            </w:pPr>
            <w:r>
              <w:t>质量管理体系认证</w:t>
            </w:r>
          </w:p>
        </w:tc>
        <w:tc>
          <w:tcPr>
            <w:tcW w:w="763"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hint="eastAsia" w:ascii="宋体" w:hAnsi="宋体"/>
                <w:szCs w:val="21"/>
              </w:rPr>
              <w:t>5</w:t>
            </w:r>
          </w:p>
        </w:tc>
        <w:tc>
          <w:tcPr>
            <w:tcW w:w="912"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5059"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hint="eastAsia"/>
              </w:rPr>
              <w:t>服务商</w:t>
            </w:r>
            <w:r>
              <w:t>具有有效的环境管理体系认证证书、职业健康安全管理体系认证证书、售后服务体系认证证书、医疗器械质量管理体系认证、应急预案管理能力评价体系认证证书，每获得一个证书得1分，最高得5分，无提供或提供其他认证得0分。 备注：提供证书复印件或全国认证认可信息公共服务平台（cx.cnca.cn）中查询证书信息的网页截图（须显示证书的有效状态）。公开信息中无法查询或与公开信息不一致的，</w:t>
            </w:r>
            <w:r>
              <w:rPr>
                <w:rFonts w:hint="eastAsia"/>
              </w:rPr>
              <w:t>服务商</w:t>
            </w:r>
            <w:r>
              <w:t>必须提供发证机构出具的证明函。</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793"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1212" w:type="dxa"/>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763" w:type="dxa"/>
          </w:tcPr>
          <w:p w14:paraId="6509D384">
            <w:pPr>
              <w:widowControl/>
              <w:spacing w:line="120" w:lineRule="atLeast"/>
              <w:jc w:val="center"/>
              <w:rPr>
                <w:rFonts w:ascii="宋体" w:hAnsi="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5059"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1212" w:type="dxa"/>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763"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912"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5059"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1212" w:type="dxa"/>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763"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912"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5059" w:type="dxa"/>
            <w:tcBorders>
              <w:top w:val="single" w:color="auto" w:sz="4" w:space="0"/>
              <w:left w:val="single" w:color="auto" w:sz="4" w:space="0"/>
              <w:bottom w:val="single" w:color="auto" w:sz="4" w:space="0"/>
              <w:right w:val="single" w:color="auto" w:sz="4" w:space="0"/>
            </w:tcBorders>
          </w:tcPr>
          <w:p w14:paraId="4117BD3E">
            <w:pPr>
              <w:jc w:val="left"/>
              <w:rPr>
                <w:rFonts w:ascii="宋体" w:hAnsi="宋体"/>
                <w:color w:val="auto"/>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通过“信用中国”、“中国政府采购网”、“深圳市政府采购监管网”以及市、区财政部门认定的其他渠道查询供应商信用信息，投标人无需提供证明材料。）</w:t>
            </w:r>
          </w:p>
        </w:tc>
      </w:tr>
    </w:tbl>
    <w:p w14:paraId="5C4EA243">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17.8</w:t>
      </w:r>
      <w:r>
        <w:rPr>
          <w:rFonts w:hint="eastAsia" w:ascii="宋体" w:hAnsi="宋体"/>
          <w:color w:val="auto"/>
          <w:sz w:val="40"/>
          <w:szCs w:val="40"/>
        </w:rPr>
        <w:t>万元</w:t>
      </w:r>
    </w:p>
    <w:tbl>
      <w:tblPr>
        <w:tblStyle w:val="12"/>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eastAsia="宋体"/>
                <w:color w:val="000000"/>
                <w:sz w:val="22"/>
                <w:szCs w:val="22"/>
                <w:lang w:val="en-US" w:eastAsia="zh-CN"/>
              </w:rPr>
            </w:pPr>
            <w:r>
              <w:rPr>
                <w:rFonts w:hint="eastAsia" w:ascii="宋体" w:hAnsi="宋体"/>
                <w:color w:val="000000" w:themeColor="text1"/>
                <w:kern w:val="0"/>
                <w:szCs w:val="21"/>
                <w14:textFill>
                  <w14:solidFill>
                    <w14:schemeClr w14:val="tx1"/>
                  </w14:solidFill>
                </w14:textFill>
              </w:rPr>
              <w:t>医用血管造影X射线系统保养</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0394E0E6">
            <w:pPr>
              <w:spacing w:after="78"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数字减影血管造影机保养项目</w:t>
            </w:r>
          </w:p>
          <w:p w14:paraId="54CEDCEF">
            <w:pPr>
              <w:spacing w:after="78" w:line="360" w:lineRule="auto"/>
              <w:rPr>
                <w:rFonts w:hint="eastAsia" w:ascii="宋体" w:hAnsi="宋体" w:eastAsia="宋体" w:cs="Times New Roman"/>
                <w:color w:val="000000"/>
                <w:kern w:val="0"/>
                <w:sz w:val="22"/>
                <w:szCs w:val="22"/>
                <w:lang w:val="en-US" w:eastAsia="zh-CN" w:bidi="ar-SA"/>
              </w:rPr>
            </w:pPr>
            <w:r>
              <w:rPr>
                <w:rFonts w:hint="eastAsia"/>
                <w:szCs w:val="21"/>
              </w:rPr>
              <w:t>用于保障设备高效运行，保障医院为病人提供优质的就医服务。</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rPr>
                <w:rFonts w:ascii="宋体" w:hAnsi="宋体"/>
                <w:color w:val="000000"/>
                <w:kern w:val="0"/>
                <w:sz w:val="22"/>
                <w:szCs w:val="22"/>
              </w:rPr>
            </w:pPr>
            <w:r>
              <w:rPr>
                <w:rFonts w:hint="eastAsia" w:ascii="宋体" w:hAnsi="宋体"/>
                <w:color w:val="000000"/>
                <w:kern w:val="0"/>
                <w:sz w:val="22"/>
                <w:szCs w:val="22"/>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46A50CB0">
            <w:pPr>
              <w:numPr>
                <w:ilvl w:val="255"/>
                <w:numId w:val="0"/>
              </w:numPr>
              <w:spacing w:after="78" w:line="360" w:lineRule="auto"/>
              <w:ind w:left="0" w:leftChars="0" w:firstLine="0" w:firstLineChars="0"/>
              <w:rPr>
                <w:rFonts w:hint="eastAsia" w:ascii="宋体" w:hAnsi="宋体" w:eastAsia="宋体"/>
                <w:lang w:eastAsia="zh-CN"/>
              </w:rPr>
            </w:pPr>
            <w:r>
              <w:rPr>
                <w:rFonts w:hint="eastAsia"/>
                <w:color w:val="000000"/>
                <w:szCs w:val="21"/>
              </w:rPr>
              <w:t>放射科</w:t>
            </w:r>
            <w:r>
              <w:rPr>
                <w:rFonts w:hint="eastAsia"/>
                <w:color w:val="000000" w:themeColor="text1"/>
                <w:szCs w:val="21"/>
                <w14:textFill>
                  <w14:solidFill>
                    <w14:schemeClr w14:val="tx1"/>
                  </w14:solidFill>
                </w14:textFill>
              </w:rPr>
              <w:t>数字减影血管造影机</w:t>
            </w:r>
            <w:r>
              <w:rPr>
                <w:rFonts w:hint="eastAsia"/>
                <w:color w:val="000000"/>
                <w:szCs w:val="21"/>
              </w:rPr>
              <w:t>的</w:t>
            </w:r>
            <w:r>
              <w:rPr>
                <w:rFonts w:hint="eastAsia"/>
                <w:szCs w:val="21"/>
              </w:rPr>
              <w:t>维护保养服务（以下简称“设备”）。合同价格包含设备清理、定期检修、税金及为完成本合同项下义务的全部费用。</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left"/>
              <w:rPr>
                <w:rFonts w:ascii="宋体" w:hAnsi="宋体"/>
                <w:bCs/>
                <w:color w:val="000000"/>
                <w:sz w:val="22"/>
                <w:szCs w:val="22"/>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2"/>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6BE0E6F0">
                  <w:pPr>
                    <w:pStyle w:val="42"/>
                    <w:spacing w:line="360" w:lineRule="auto"/>
                    <w:ind w:firstLine="0" w:firstLineChars="0"/>
                    <w:rPr>
                      <w:rFonts w:hint="eastAsia" w:ascii="宋体" w:hAnsi="宋体"/>
                      <w:sz w:val="21"/>
                      <w:szCs w:val="21"/>
                    </w:rPr>
                  </w:pPr>
                  <w:r>
                    <w:rPr>
                      <w:rFonts w:hint="eastAsia" w:ascii="宋体" w:hAnsi="宋体"/>
                      <w:sz w:val="21"/>
                      <w:szCs w:val="21"/>
                    </w:rPr>
                    <w:t>1.</w:t>
                  </w:r>
                  <w:r>
                    <w:rPr>
                      <w:rFonts w:hint="eastAsia" w:ascii="宋体" w:hAnsi="宋体"/>
                      <w:b/>
                      <w:bCs/>
                      <w:sz w:val="21"/>
                      <w:szCs w:val="21"/>
                    </w:rPr>
                    <w:t>★</w:t>
                  </w:r>
                  <w:r>
                    <w:rPr>
                      <w:rFonts w:hint="eastAsia" w:ascii="宋体" w:hAnsi="宋体"/>
                      <w:sz w:val="21"/>
                      <w:szCs w:val="21"/>
                    </w:rPr>
                    <w:t>付款方式</w:t>
                  </w:r>
                </w:p>
                <w:p w14:paraId="260163EA">
                  <w:pPr>
                    <w:pStyle w:val="5"/>
                    <w:spacing w:line="360" w:lineRule="auto"/>
                  </w:pPr>
                  <w:r>
                    <w:rPr>
                      <w:rFonts w:hint="eastAsia" w:ascii="宋体" w:hAnsi="宋体"/>
                      <w:color w:val="000000"/>
                      <w:szCs w:val="21"/>
                    </w:rPr>
                    <w:t>（1）合同签订后，</w:t>
                  </w:r>
                  <w:r>
                    <w:rPr>
                      <w:rFonts w:hint="eastAsia"/>
                    </w:rPr>
                    <w:t>合同签订后6个月，验收合格付50%；合同期满，验收合格付余下50%</w:t>
                  </w:r>
                  <w:r>
                    <w:rPr>
                      <w:rFonts w:hint="eastAsia" w:ascii="宋体" w:hAnsi="宋体"/>
                      <w:color w:val="000000"/>
                      <w:szCs w:val="21"/>
                    </w:rPr>
                    <w:t>；</w:t>
                  </w:r>
                </w:p>
                <w:p w14:paraId="11AE2D28">
                  <w:pPr>
                    <w:pStyle w:val="42"/>
                    <w:spacing w:line="360" w:lineRule="auto"/>
                    <w:ind w:firstLine="420"/>
                    <w:rPr>
                      <w:rFonts w:hint="eastAsia" w:ascii="宋体" w:hAnsi="宋体"/>
                      <w:sz w:val="21"/>
                      <w:szCs w:val="21"/>
                    </w:rPr>
                  </w:pPr>
                  <w:r>
                    <w:rPr>
                      <w:rFonts w:hint="eastAsia" w:ascii="宋体" w:hAnsi="宋体"/>
                      <w:sz w:val="21"/>
                      <w:szCs w:val="21"/>
                    </w:rPr>
                    <w:t>2.投标报价要求</w:t>
                  </w:r>
                </w:p>
                <w:p w14:paraId="6387B262">
                  <w:pPr>
                    <w:spacing w:line="360" w:lineRule="auto"/>
                    <w:ind w:left="587" w:leftChars="192" w:hanging="184" w:hangingChars="88"/>
                    <w:contextualSpacing/>
                    <w:rPr>
                      <w:rFonts w:hint="eastAsia" w:ascii="宋体" w:hAnsi="宋体"/>
                      <w:szCs w:val="21"/>
                    </w:rPr>
                  </w:pPr>
                  <w:r>
                    <w:rPr>
                      <w:rFonts w:hint="eastAsia" w:ascii="宋体" w:hAnsi="宋体"/>
                      <w:szCs w:val="21"/>
                    </w:rPr>
                    <w:t>2.1.本项目服务费采用包干制，应包括服务成本、法定税费和企业的利润。由</w:t>
                  </w:r>
                </w:p>
                <w:p w14:paraId="5E8F5D3D">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eastAsiaTheme="minorEastAsia"/>
                      <w:szCs w:val="21"/>
                    </w:rPr>
                    <w:t>企业根据招标文件所提供的资料自行测算投标报价。工时：包含在保修合同期内所需的人工费用，节假日加班免费。保修期间，设备进行维修，保养和更换配件，承担配件、劳务和差旅等费用，不再收取除合同款外的其他费用。</w:t>
                  </w:r>
                </w:p>
                <w:p w14:paraId="66613800">
                  <w:pPr>
                    <w:pStyle w:val="42"/>
                    <w:spacing w:line="360" w:lineRule="auto"/>
                    <w:ind w:firstLine="420"/>
                    <w:rPr>
                      <w:rFonts w:hint="eastAsia" w:ascii="宋体" w:hAnsi="宋体"/>
                      <w:sz w:val="21"/>
                      <w:szCs w:val="21"/>
                    </w:rPr>
                  </w:pPr>
                  <w:r>
                    <w:rPr>
                      <w:rFonts w:hint="eastAsia" w:ascii="宋体" w:hAnsi="宋体"/>
                      <w:sz w:val="21"/>
                      <w:szCs w:val="21"/>
                    </w:rPr>
                    <w:t>2.2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367808">
                  <w:pPr>
                    <w:pStyle w:val="42"/>
                    <w:spacing w:line="360" w:lineRule="auto"/>
                    <w:ind w:firstLine="420"/>
                    <w:rPr>
                      <w:rFonts w:hint="eastAsia" w:ascii="宋体" w:hAnsi="宋体"/>
                      <w:sz w:val="21"/>
                      <w:szCs w:val="21"/>
                    </w:rPr>
                  </w:pPr>
                  <w:r>
                    <w:rPr>
                      <w:rFonts w:hint="eastAsia" w:ascii="宋体" w:hAnsi="宋体"/>
                      <w:sz w:val="21"/>
                      <w:szCs w:val="21"/>
                    </w:rPr>
                    <w:t>2.3投标人的投标报价，应是本项目招标范围和招标文件及合同条款上所列的各项内容中所述的全部，不得以任何理由予以重复，并以投标人在投标文件中提出的综合单价或总价为依据。</w:t>
                  </w:r>
                </w:p>
                <w:p w14:paraId="0A75B348">
                  <w:pPr>
                    <w:pStyle w:val="42"/>
                    <w:spacing w:line="360" w:lineRule="auto"/>
                    <w:ind w:firstLine="420"/>
                    <w:rPr>
                      <w:rFonts w:hint="eastAsia" w:ascii="宋体" w:hAnsi="宋体"/>
                      <w:sz w:val="21"/>
                      <w:szCs w:val="21"/>
                    </w:rPr>
                  </w:pPr>
                  <w:r>
                    <w:rPr>
                      <w:rFonts w:hint="eastAsia" w:ascii="宋体" w:hAnsi="宋体"/>
                      <w:sz w:val="21"/>
                      <w:szCs w:val="21"/>
                    </w:rPr>
                    <w:t>2.4投标人应充分了解项目的位置、情况、道路及任何其它足以影响投标报价的情况，任何因忽视或误解项目情况而导致的索赔或服务期限延长申请将不获批准。</w:t>
                  </w:r>
                </w:p>
                <w:p w14:paraId="62FEA2F6">
                  <w:pPr>
                    <w:pStyle w:val="42"/>
                    <w:spacing w:line="360" w:lineRule="auto"/>
                    <w:ind w:firstLine="420"/>
                    <w:rPr>
                      <w:rFonts w:hint="eastAsia" w:ascii="宋体" w:hAnsi="宋体"/>
                      <w:sz w:val="21"/>
                      <w:szCs w:val="21"/>
                    </w:rPr>
                  </w:pPr>
                  <w:r>
                    <w:rPr>
                      <w:rFonts w:hint="eastAsia" w:ascii="宋体" w:hAnsi="宋体"/>
                      <w:sz w:val="21"/>
                      <w:szCs w:val="21"/>
                    </w:rPr>
                    <w:t>2.5投标人不得期望通过索赔等方式获取补偿，否则，除可能遭到拒绝外，还可能将被作为不良行为记录在案，并可能影响其以后参加政府采购的项目投标。各投标人在投标报价时，应充分考虑投标报价的风险。</w:t>
                  </w:r>
                </w:p>
                <w:p w14:paraId="398349CD">
                  <w:pPr>
                    <w:pStyle w:val="42"/>
                    <w:spacing w:line="360" w:lineRule="auto"/>
                    <w:ind w:firstLine="420"/>
                    <w:rPr>
                      <w:rFonts w:hint="eastAsia" w:ascii="宋体" w:hAnsi="宋体"/>
                      <w:sz w:val="21"/>
                      <w:szCs w:val="21"/>
                    </w:rPr>
                  </w:pPr>
                  <w:r>
                    <w:rPr>
                      <w:rFonts w:hint="eastAsia" w:ascii="宋体" w:hAnsi="宋体"/>
                      <w:sz w:val="21"/>
                      <w:szCs w:val="21"/>
                    </w:rPr>
                    <w:t>3.质量考核及违约金</w:t>
                  </w:r>
                </w:p>
                <w:p w14:paraId="125A7F78">
                  <w:pPr>
                    <w:pStyle w:val="42"/>
                    <w:spacing w:line="360" w:lineRule="auto"/>
                    <w:ind w:firstLine="420"/>
                    <w:rPr>
                      <w:rFonts w:hint="eastAsia" w:ascii="宋体" w:hAnsi="宋体"/>
                      <w:sz w:val="21"/>
                      <w:szCs w:val="21"/>
                    </w:rPr>
                  </w:pPr>
                  <w:r>
                    <w:rPr>
                      <w:rFonts w:hint="eastAsia" w:ascii="宋体" w:hAnsi="宋体"/>
                      <w:sz w:val="21"/>
                      <w:szCs w:val="21"/>
                    </w:rPr>
                    <w:t>3.1质量考核： 采购方将对中标方总体服务质量进行考核，考核不合格采购方有权提前终止合同，考核结果达到优秀的，可按政府采购相关规定续签。</w:t>
                  </w:r>
                </w:p>
                <w:p w14:paraId="07E2716F">
                  <w:pPr>
                    <w:pStyle w:val="42"/>
                    <w:spacing w:line="360" w:lineRule="auto"/>
                    <w:ind w:firstLine="420"/>
                    <w:rPr>
                      <w:rFonts w:hint="eastAsia" w:ascii="宋体" w:hAnsi="宋体"/>
                      <w:b/>
                      <w:bCs/>
                      <w:sz w:val="21"/>
                      <w:szCs w:val="21"/>
                    </w:rPr>
                  </w:pPr>
                  <w:r>
                    <w:rPr>
                      <w:rFonts w:hint="eastAsia" w:ascii="宋体" w:hAnsi="宋体"/>
                      <w:sz w:val="21"/>
                      <w:szCs w:val="21"/>
                    </w:rPr>
                    <w:t>4.服务期限</w:t>
                  </w:r>
                </w:p>
                <w:p w14:paraId="23171C02">
                  <w:pPr>
                    <w:pStyle w:val="42"/>
                    <w:spacing w:line="360" w:lineRule="auto"/>
                    <w:ind w:firstLine="420"/>
                    <w:rPr>
                      <w:rFonts w:hint="eastAsia" w:ascii="宋体" w:hAnsi="宋体"/>
                      <w:color w:val="000000" w:themeColor="text1"/>
                      <w14:textFill>
                        <w14:solidFill>
                          <w14:schemeClr w14:val="tx1"/>
                        </w14:solidFill>
                      </w14:textFill>
                    </w:rPr>
                  </w:pPr>
                  <w:r>
                    <w:rPr>
                      <w:rFonts w:hint="eastAsia" w:ascii="宋体" w:hAnsi="宋体"/>
                      <w:sz w:val="21"/>
                      <w:szCs w:val="21"/>
                    </w:rPr>
                    <w:t>服务期限为自甲方约定之日起1年。本项目为长期服务类项目，第一年为本次招标的中标服务期限，采购单位可根据项目需要和投标人的履约情况确定合同期限是否延长，但最长不超过三年。如采购人对履约情况不满意，采购人不再续约。若政府采购主管部门发现项目有异常情况，以主管部门意见为准。</w:t>
                  </w:r>
                </w:p>
              </w:tc>
            </w:tr>
          </w:tbl>
          <w:p w14:paraId="25AB42DA">
            <w:pPr>
              <w:snapToGrid w:val="0"/>
              <w:spacing w:after="78"/>
              <w:jc w:val="left"/>
              <w:rPr>
                <w:rFonts w:hint="default" w:ascii="宋体" w:hAnsi="宋体" w:eastAsia="宋体"/>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left"/>
              <w:rPr>
                <w:rFonts w:ascii="宋体" w:hAnsi="宋体"/>
                <w:color w:val="000000"/>
                <w:kern w:val="0"/>
                <w:sz w:val="22"/>
                <w:szCs w:val="22"/>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37F93478">
            <w:pPr>
              <w:spacing w:line="360" w:lineRule="auto"/>
              <w:jc w:val="left"/>
              <w:rPr>
                <w:rFonts w:hint="eastAsia" w:ascii="宋体" w:hAnsi="宋体" w:cs="宋体"/>
                <w:szCs w:val="21"/>
              </w:rPr>
            </w:pPr>
            <w:r>
              <w:rPr>
                <w:rFonts w:hint="eastAsia" w:ascii="宋体" w:hAnsi="宋体" w:cs="宋体"/>
                <w:b/>
                <w:bCs/>
                <w:szCs w:val="21"/>
              </w:rPr>
              <w:t>服务要求：</w:t>
            </w:r>
          </w:p>
          <w:p w14:paraId="613694AC">
            <w:pPr>
              <w:spacing w:after="78" w:line="360" w:lineRule="auto"/>
              <w:jc w:val="left"/>
              <w:rPr>
                <w:rFonts w:hint="eastAsia" w:ascii="宋体" w:hAnsi="宋体" w:cs="宋体"/>
                <w:szCs w:val="21"/>
              </w:rPr>
            </w:pPr>
            <w:r>
              <w:rPr>
                <w:rFonts w:hint="eastAsia" w:ascii="宋体" w:hAnsi="宋体" w:cs="宋体"/>
                <w:szCs w:val="21"/>
              </w:rPr>
              <w:t>★</w:t>
            </w:r>
            <w:r>
              <w:rPr>
                <w:rFonts w:hint="eastAsia" w:ascii="宋体" w:hAnsi="宋体" w:cs="宋体"/>
                <w:color w:val="000000"/>
                <w:szCs w:val="21"/>
              </w:rPr>
              <w:t>1、技术保修，每年4次整机专业保养，不限次数到场技术服务和远程诊断服务，不包含任何备件。</w:t>
            </w:r>
          </w:p>
          <w:p w14:paraId="5F8D18A7">
            <w:pPr>
              <w:spacing w:line="360" w:lineRule="auto"/>
              <w:jc w:val="left"/>
              <w:rPr>
                <w:rFonts w:hint="eastAsia" w:ascii="宋体" w:hAnsi="宋体" w:cs="宋体"/>
                <w:szCs w:val="21"/>
              </w:rPr>
            </w:pPr>
            <w:r>
              <w:rPr>
                <w:rFonts w:hint="eastAsia" w:ascii="宋体" w:hAnsi="宋体" w:cs="宋体"/>
                <w:szCs w:val="21"/>
              </w:rPr>
              <w:t>▲2.1投标人须保证所从事的维修保养活动符合《中华人民共和国放射性污染防治法》、《放射性同位素与射线装置安全和防护条例》等法律法规的规定，投标人应具备辐射安全许可证。（提供证书复印件）</w:t>
            </w:r>
          </w:p>
          <w:p w14:paraId="742D6A54">
            <w:pPr>
              <w:spacing w:line="360" w:lineRule="auto"/>
              <w:jc w:val="left"/>
              <w:rPr>
                <w:rFonts w:hint="eastAsia" w:ascii="宋体" w:hAnsi="宋体" w:cs="宋体"/>
                <w:szCs w:val="21"/>
              </w:rPr>
            </w:pPr>
            <w:r>
              <w:rPr>
                <w:rFonts w:hint="eastAsia" w:ascii="宋体" w:hAnsi="宋体" w:cs="宋体"/>
                <w:szCs w:val="21"/>
              </w:rPr>
              <w:t>▲2.2投标人为采购人提供7天×24小时热线服务和长期的免费技术支持、现场检修。</w:t>
            </w:r>
          </w:p>
          <w:p w14:paraId="197CF46B">
            <w:pPr>
              <w:spacing w:line="360" w:lineRule="auto"/>
              <w:jc w:val="left"/>
              <w:rPr>
                <w:rFonts w:hint="eastAsia" w:ascii="宋体" w:hAnsi="宋体" w:cs="宋体"/>
                <w:szCs w:val="21"/>
              </w:rPr>
            </w:pPr>
            <w:r>
              <w:rPr>
                <w:rFonts w:hint="eastAsia" w:ascii="宋体" w:hAnsi="宋体" w:cs="宋体"/>
                <w:szCs w:val="21"/>
              </w:rPr>
              <w:t>▲2.3开机率保障:开机率确保达到95%，按全年365天计算(即全年停机时间不能超过18.5天);停机时间每超一天，保修期顺延两个日历日。</w:t>
            </w:r>
          </w:p>
          <w:p w14:paraId="62FF488B">
            <w:pPr>
              <w:spacing w:line="360" w:lineRule="auto"/>
              <w:jc w:val="left"/>
              <w:rPr>
                <w:rFonts w:hint="eastAsia" w:ascii="宋体" w:hAnsi="宋体" w:cs="宋体"/>
                <w:szCs w:val="21"/>
              </w:rPr>
            </w:pPr>
            <w:r>
              <w:rPr>
                <w:rFonts w:hint="eastAsia" w:ascii="宋体" w:hAnsi="宋体" w:cs="宋体"/>
                <w:szCs w:val="21"/>
              </w:rPr>
              <w:t>▲2.4投标人具有经合法校正的DSA专业维修工具、仪器，并能提供序列号和需校正的工具仪器的校正记录文件。（提供相应证明材料）</w:t>
            </w:r>
          </w:p>
          <w:p w14:paraId="410E4817">
            <w:pPr>
              <w:spacing w:line="360" w:lineRule="auto"/>
              <w:jc w:val="left"/>
              <w:rPr>
                <w:rFonts w:hint="eastAsia" w:ascii="宋体" w:hAnsi="宋体" w:cs="宋体"/>
                <w:szCs w:val="21"/>
              </w:rPr>
            </w:pPr>
            <w:r>
              <w:rPr>
                <w:rFonts w:hint="eastAsia" w:ascii="宋体" w:hAnsi="宋体" w:cs="宋体"/>
                <w:szCs w:val="21"/>
              </w:rPr>
              <w:t>2.5投标人具备应急事件处理能力，对突发事件能及时解决处理。</w:t>
            </w:r>
          </w:p>
          <w:p w14:paraId="15953E98">
            <w:pPr>
              <w:spacing w:line="360" w:lineRule="auto"/>
              <w:jc w:val="left"/>
              <w:rPr>
                <w:rFonts w:hint="eastAsia" w:ascii="宋体" w:hAnsi="宋体" w:cs="宋体"/>
                <w:szCs w:val="21"/>
              </w:rPr>
            </w:pPr>
            <w:r>
              <w:rPr>
                <w:rFonts w:hint="eastAsia" w:ascii="宋体" w:hAnsi="宋体" w:cs="宋体"/>
                <w:szCs w:val="21"/>
              </w:rPr>
              <w:t>▲2.6投标人有能力更换的备件，更换必须为原设备零配件同一生产厂家的同型号备件，且备件供应100%保障。</w:t>
            </w:r>
          </w:p>
          <w:p w14:paraId="5D5DA976">
            <w:pPr>
              <w:spacing w:line="360" w:lineRule="auto"/>
              <w:jc w:val="left"/>
              <w:rPr>
                <w:rFonts w:hint="eastAsia" w:ascii="宋体" w:hAnsi="宋体" w:cs="宋体"/>
                <w:szCs w:val="21"/>
              </w:rPr>
            </w:pPr>
            <w:r>
              <w:rPr>
                <w:rFonts w:hint="eastAsia" w:ascii="宋体" w:hAnsi="宋体" w:cs="宋体"/>
                <w:szCs w:val="21"/>
              </w:rPr>
              <w:t>2.7在线支持：协助采购人的工程师分析和维修有关设备。提供免费维修热线，在拨打维修热线后提供电话支援，投标人的资深工程师在线技术支持并能即时诊断设备故障，制定维修方案。</w:t>
            </w:r>
          </w:p>
          <w:p w14:paraId="3E808CAE">
            <w:pPr>
              <w:spacing w:line="360" w:lineRule="auto"/>
              <w:jc w:val="left"/>
              <w:rPr>
                <w:rFonts w:hint="eastAsia" w:ascii="宋体" w:hAnsi="宋体" w:cs="宋体"/>
                <w:szCs w:val="21"/>
              </w:rPr>
            </w:pPr>
            <w:r>
              <w:rPr>
                <w:rFonts w:hint="eastAsia" w:ascii="宋体" w:hAnsi="宋体" w:cs="宋体"/>
                <w:szCs w:val="21"/>
              </w:rPr>
              <w:t>▲2.8现场检修：投标人在接到报修电话后派遣工程师前往维修有关设备。工程师1小时内响应，12小时内到达现场。原厂认证合格的专业工程师或原厂培训的特约维修队伍将提供快速优质的现场服务。</w:t>
            </w:r>
          </w:p>
          <w:p w14:paraId="5050727F">
            <w:pPr>
              <w:spacing w:line="360" w:lineRule="auto"/>
              <w:jc w:val="left"/>
              <w:rPr>
                <w:rFonts w:hint="eastAsia" w:ascii="宋体" w:hAnsi="宋体" w:cs="宋体"/>
                <w:szCs w:val="21"/>
              </w:rPr>
            </w:pPr>
            <w:r>
              <w:rPr>
                <w:rFonts w:hint="eastAsia" w:ascii="宋体" w:hAnsi="宋体" w:cs="宋体"/>
                <w:szCs w:val="21"/>
              </w:rPr>
              <w:t>★2.9国内备件库备件优先使用权：在维保服务期内，采购人如需更换零配件，可以具有优先使用投标人国内备件库的备件。投标人应在接到采购人的需求申请后，优先处理其诉求。</w:t>
            </w:r>
          </w:p>
          <w:p w14:paraId="426A30A1">
            <w:pPr>
              <w:spacing w:line="360" w:lineRule="auto"/>
              <w:jc w:val="left"/>
              <w:rPr>
                <w:rFonts w:hint="eastAsia" w:ascii="宋体" w:hAnsi="宋体" w:cs="宋体"/>
                <w:szCs w:val="21"/>
              </w:rPr>
            </w:pPr>
            <w:r>
              <w:rPr>
                <w:rFonts w:hint="eastAsia" w:ascii="宋体" w:hAnsi="宋体" w:cs="宋体"/>
                <w:szCs w:val="21"/>
              </w:rPr>
              <w:t>2.10工时：包含在保修合同期内所需的人工费用，采购人享受优先派工，节假日加班不收费。在合同期内因故障而需要紧急维修的情况，不受次数限制。</w:t>
            </w:r>
          </w:p>
          <w:p w14:paraId="1F08E370">
            <w:pPr>
              <w:spacing w:line="360" w:lineRule="auto"/>
              <w:jc w:val="left"/>
              <w:rPr>
                <w:rFonts w:hint="eastAsia" w:ascii="宋体" w:hAnsi="宋体" w:cs="宋体"/>
                <w:szCs w:val="21"/>
              </w:rPr>
            </w:pPr>
            <w:r>
              <w:rPr>
                <w:rFonts w:hint="eastAsia" w:ascii="宋体" w:hAnsi="宋体" w:cs="宋体"/>
                <w:szCs w:val="21"/>
              </w:rPr>
              <w:t>2.11安全检查：按照生产厂家设备本身标准及当地规定执行。</w:t>
            </w:r>
          </w:p>
          <w:p w14:paraId="4BA198B8">
            <w:pPr>
              <w:spacing w:line="360" w:lineRule="auto"/>
              <w:jc w:val="left"/>
              <w:rPr>
                <w:rFonts w:hint="eastAsia" w:ascii="宋体" w:hAnsi="宋体" w:cs="宋体"/>
                <w:szCs w:val="21"/>
              </w:rPr>
            </w:pPr>
            <w:r>
              <w:rPr>
                <w:rFonts w:hint="eastAsia" w:ascii="宋体" w:hAnsi="宋体" w:cs="宋体"/>
                <w:szCs w:val="21"/>
              </w:rPr>
              <w:t>2.11.1制定检查计划。</w:t>
            </w:r>
          </w:p>
          <w:p w14:paraId="13073AC1">
            <w:pPr>
              <w:spacing w:line="360" w:lineRule="auto"/>
              <w:jc w:val="left"/>
              <w:rPr>
                <w:rFonts w:hint="eastAsia" w:ascii="宋体" w:hAnsi="宋体" w:cs="宋体"/>
                <w:szCs w:val="21"/>
              </w:rPr>
            </w:pPr>
            <w:r>
              <w:rPr>
                <w:rFonts w:hint="eastAsia" w:ascii="宋体" w:hAnsi="宋体" w:cs="宋体"/>
                <w:szCs w:val="21"/>
              </w:rPr>
              <w:t>2.11.2机械安全检查。</w:t>
            </w:r>
          </w:p>
          <w:p w14:paraId="0AE75623">
            <w:pPr>
              <w:spacing w:line="360" w:lineRule="auto"/>
              <w:jc w:val="left"/>
              <w:rPr>
                <w:rFonts w:hint="eastAsia" w:ascii="宋体" w:hAnsi="宋体" w:cs="宋体"/>
                <w:szCs w:val="21"/>
              </w:rPr>
            </w:pPr>
            <w:r>
              <w:rPr>
                <w:rFonts w:hint="eastAsia" w:ascii="宋体" w:hAnsi="宋体" w:cs="宋体"/>
                <w:szCs w:val="21"/>
              </w:rPr>
              <w:t>2.11.3电气安全检查。</w:t>
            </w:r>
          </w:p>
          <w:p w14:paraId="2C632799">
            <w:pPr>
              <w:spacing w:line="360" w:lineRule="auto"/>
              <w:jc w:val="left"/>
              <w:rPr>
                <w:rFonts w:hint="eastAsia" w:ascii="宋体" w:hAnsi="宋体" w:cs="宋体"/>
                <w:szCs w:val="21"/>
              </w:rPr>
            </w:pPr>
            <w:r>
              <w:rPr>
                <w:rFonts w:hint="eastAsia" w:ascii="宋体" w:hAnsi="宋体" w:cs="宋体"/>
                <w:szCs w:val="21"/>
              </w:rPr>
              <w:t>2.11.4记录检查结果。</w:t>
            </w:r>
          </w:p>
          <w:p w14:paraId="37DA7165">
            <w:pPr>
              <w:spacing w:line="360" w:lineRule="auto"/>
              <w:jc w:val="left"/>
              <w:rPr>
                <w:rFonts w:hint="eastAsia" w:ascii="宋体" w:hAnsi="宋体" w:cs="宋体"/>
                <w:szCs w:val="21"/>
              </w:rPr>
            </w:pPr>
            <w:r>
              <w:rPr>
                <w:rFonts w:hint="eastAsia" w:ascii="宋体" w:hAnsi="宋体" w:cs="宋体"/>
                <w:szCs w:val="21"/>
              </w:rPr>
              <w:t>2.12预防性保养：按照保养计划提供，每年提供4次专业保养，以保证设备处于最佳运行状态。</w:t>
            </w:r>
          </w:p>
          <w:p w14:paraId="7BF6FA7B">
            <w:pPr>
              <w:spacing w:line="360" w:lineRule="auto"/>
              <w:jc w:val="left"/>
              <w:rPr>
                <w:rFonts w:hint="eastAsia" w:ascii="宋体" w:hAnsi="宋体" w:cs="宋体"/>
                <w:szCs w:val="21"/>
              </w:rPr>
            </w:pPr>
            <w:r>
              <w:rPr>
                <w:rFonts w:hint="eastAsia" w:ascii="宋体" w:hAnsi="宋体" w:cs="宋体"/>
                <w:szCs w:val="21"/>
              </w:rPr>
              <w:t>2.12.1记录并安排保养时间。</w:t>
            </w:r>
          </w:p>
          <w:p w14:paraId="08506B49">
            <w:pPr>
              <w:spacing w:line="360" w:lineRule="auto"/>
              <w:jc w:val="left"/>
              <w:rPr>
                <w:rFonts w:hint="eastAsia" w:ascii="宋体" w:hAnsi="宋体" w:cs="宋体"/>
                <w:szCs w:val="21"/>
              </w:rPr>
            </w:pPr>
            <w:r>
              <w:rPr>
                <w:rFonts w:hint="eastAsia" w:ascii="宋体" w:hAnsi="宋体" w:cs="宋体"/>
                <w:szCs w:val="21"/>
              </w:rPr>
              <w:t>2.12.2按照保养计划更换损耗部件。</w:t>
            </w:r>
          </w:p>
          <w:p w14:paraId="6D6711B2">
            <w:pPr>
              <w:spacing w:line="360" w:lineRule="auto"/>
              <w:jc w:val="left"/>
              <w:rPr>
                <w:rFonts w:hint="eastAsia" w:ascii="宋体" w:hAnsi="宋体" w:cs="宋体"/>
                <w:szCs w:val="21"/>
              </w:rPr>
            </w:pPr>
            <w:r>
              <w:rPr>
                <w:rFonts w:hint="eastAsia" w:ascii="宋体" w:hAnsi="宋体" w:cs="宋体"/>
                <w:szCs w:val="21"/>
              </w:rPr>
              <w:t>2.12.3按照厂家标准进行调校。</w:t>
            </w:r>
          </w:p>
          <w:p w14:paraId="5D58B646">
            <w:pPr>
              <w:spacing w:line="360" w:lineRule="auto"/>
              <w:jc w:val="left"/>
              <w:rPr>
                <w:rFonts w:hint="eastAsia" w:ascii="宋体" w:hAnsi="宋体" w:cs="宋体"/>
                <w:szCs w:val="21"/>
              </w:rPr>
            </w:pPr>
            <w:r>
              <w:rPr>
                <w:rFonts w:hint="eastAsia" w:ascii="宋体" w:hAnsi="宋体" w:cs="宋体"/>
                <w:szCs w:val="21"/>
              </w:rPr>
              <w:t>2.12.4确认各项技术指标及性能。</w:t>
            </w:r>
          </w:p>
          <w:p w14:paraId="6E99659B">
            <w:pPr>
              <w:spacing w:line="360" w:lineRule="auto"/>
              <w:jc w:val="left"/>
              <w:rPr>
                <w:rFonts w:hint="eastAsia" w:ascii="宋体" w:hAnsi="宋体" w:cs="宋体"/>
                <w:szCs w:val="21"/>
              </w:rPr>
            </w:pPr>
            <w:r>
              <w:rPr>
                <w:rFonts w:hint="eastAsia" w:ascii="宋体" w:hAnsi="宋体" w:cs="宋体"/>
                <w:szCs w:val="21"/>
              </w:rPr>
              <w:t>2.12.5年检时，投标人负责并保证全部监测指标达标，通过相关部门检测。</w:t>
            </w:r>
          </w:p>
          <w:p w14:paraId="2B1EE081">
            <w:pPr>
              <w:spacing w:line="360" w:lineRule="auto"/>
              <w:jc w:val="left"/>
              <w:rPr>
                <w:rFonts w:hint="eastAsia" w:ascii="宋体" w:hAnsi="宋体" w:cs="宋体"/>
                <w:szCs w:val="21"/>
              </w:rPr>
            </w:pPr>
            <w:r>
              <w:rPr>
                <w:rFonts w:hint="eastAsia" w:ascii="宋体" w:hAnsi="宋体" w:cs="宋体"/>
                <w:szCs w:val="21"/>
              </w:rPr>
              <w:t>2.12.6记录设备状况。</w:t>
            </w:r>
          </w:p>
          <w:p w14:paraId="53F61A99">
            <w:pPr>
              <w:spacing w:line="360" w:lineRule="auto"/>
              <w:jc w:val="left"/>
              <w:rPr>
                <w:rFonts w:hint="eastAsia" w:ascii="宋体" w:hAnsi="宋体" w:cs="宋体"/>
                <w:szCs w:val="21"/>
              </w:rPr>
            </w:pPr>
            <w:r>
              <w:rPr>
                <w:rFonts w:hint="eastAsia" w:ascii="宋体" w:hAnsi="宋体" w:cs="宋体"/>
                <w:szCs w:val="21"/>
              </w:rPr>
              <w:t>2.12.7提供设备保养内容清单。</w:t>
            </w:r>
          </w:p>
          <w:p w14:paraId="15A29CB6">
            <w:pPr>
              <w:spacing w:line="360" w:lineRule="auto"/>
              <w:jc w:val="left"/>
              <w:rPr>
                <w:rFonts w:hint="eastAsia" w:ascii="宋体" w:hAnsi="宋体" w:cs="宋体"/>
                <w:szCs w:val="21"/>
              </w:rPr>
            </w:pPr>
            <w:r>
              <w:rPr>
                <w:rFonts w:hint="eastAsia" w:ascii="宋体" w:hAnsi="宋体" w:cs="宋体"/>
                <w:szCs w:val="21"/>
              </w:rPr>
              <w:t>2.12.8提供每次保养后的书面保养报告。</w:t>
            </w:r>
          </w:p>
          <w:p w14:paraId="1BA4F8ED">
            <w:pPr>
              <w:spacing w:line="360" w:lineRule="auto"/>
              <w:jc w:val="left"/>
              <w:rPr>
                <w:rFonts w:hint="eastAsia" w:ascii="宋体" w:hAnsi="宋体" w:cs="宋体"/>
                <w:szCs w:val="21"/>
              </w:rPr>
            </w:pPr>
            <w:r>
              <w:rPr>
                <w:rFonts w:hint="eastAsia" w:ascii="宋体" w:hAnsi="宋体" w:cs="宋体"/>
                <w:szCs w:val="21"/>
              </w:rPr>
              <w:t>2.12.9定期对设备的数据进行备份。</w:t>
            </w:r>
          </w:p>
          <w:p w14:paraId="4AC778A4">
            <w:pPr>
              <w:spacing w:line="360" w:lineRule="auto"/>
              <w:jc w:val="left"/>
              <w:rPr>
                <w:rFonts w:hint="eastAsia" w:ascii="宋体" w:hAnsi="宋体" w:cs="宋体"/>
                <w:szCs w:val="21"/>
              </w:rPr>
            </w:pPr>
            <w:r>
              <w:rPr>
                <w:rFonts w:hint="eastAsia" w:ascii="宋体" w:hAnsi="宋体" w:cs="宋体"/>
                <w:szCs w:val="21"/>
              </w:rPr>
              <w:t>2.13升级：按照投标人建议及要求提供硬件和软件的升级，升级不收取费用。</w:t>
            </w:r>
          </w:p>
          <w:p w14:paraId="27E48535">
            <w:pPr>
              <w:spacing w:line="360" w:lineRule="auto"/>
              <w:jc w:val="left"/>
              <w:rPr>
                <w:rFonts w:hint="eastAsia" w:ascii="宋体" w:hAnsi="宋体" w:cs="宋体"/>
                <w:szCs w:val="21"/>
              </w:rPr>
            </w:pPr>
            <w:r>
              <w:rPr>
                <w:rFonts w:hint="eastAsia" w:ascii="宋体" w:hAnsi="宋体" w:cs="宋体"/>
                <w:szCs w:val="21"/>
              </w:rPr>
              <w:t>2.13.1持续监控设备是否需要升级。</w:t>
            </w:r>
          </w:p>
          <w:p w14:paraId="3ACC178D">
            <w:pPr>
              <w:spacing w:line="360" w:lineRule="auto"/>
              <w:jc w:val="left"/>
              <w:rPr>
                <w:rFonts w:hint="eastAsia" w:ascii="宋体" w:hAnsi="宋体" w:cs="宋体"/>
                <w:szCs w:val="21"/>
              </w:rPr>
            </w:pPr>
            <w:r>
              <w:rPr>
                <w:rFonts w:hint="eastAsia" w:ascii="宋体" w:hAnsi="宋体" w:cs="宋体"/>
                <w:szCs w:val="21"/>
              </w:rPr>
              <w:t>2.13.2提供安全升级。</w:t>
            </w:r>
          </w:p>
          <w:p w14:paraId="3927BA47">
            <w:pPr>
              <w:spacing w:line="360" w:lineRule="auto"/>
              <w:jc w:val="left"/>
              <w:rPr>
                <w:rFonts w:hint="eastAsia" w:ascii="宋体" w:hAnsi="宋体" w:cs="宋体"/>
                <w:szCs w:val="21"/>
              </w:rPr>
            </w:pPr>
            <w:r>
              <w:rPr>
                <w:rFonts w:hint="eastAsia" w:ascii="宋体" w:hAnsi="宋体" w:cs="宋体"/>
                <w:szCs w:val="21"/>
              </w:rPr>
              <w:t>2.13.3提供建设性升级。</w:t>
            </w:r>
          </w:p>
          <w:p w14:paraId="60667BEA">
            <w:pPr>
              <w:spacing w:line="360" w:lineRule="auto"/>
              <w:jc w:val="left"/>
              <w:rPr>
                <w:rFonts w:hint="eastAsia" w:ascii="宋体" w:hAnsi="宋体" w:cs="宋体"/>
                <w:szCs w:val="21"/>
              </w:rPr>
            </w:pPr>
            <w:r>
              <w:rPr>
                <w:rFonts w:hint="eastAsia" w:ascii="宋体" w:hAnsi="宋体" w:cs="宋体"/>
                <w:szCs w:val="21"/>
              </w:rPr>
              <w:t>2.13.4记录升级程序。</w:t>
            </w:r>
          </w:p>
          <w:p w14:paraId="731DF42A">
            <w:pPr>
              <w:spacing w:line="360" w:lineRule="auto"/>
              <w:jc w:val="left"/>
              <w:rPr>
                <w:rFonts w:hint="eastAsia" w:ascii="宋体" w:hAnsi="宋体" w:cs="宋体"/>
                <w:szCs w:val="21"/>
              </w:rPr>
            </w:pPr>
            <w:r>
              <w:rPr>
                <w:rFonts w:hint="eastAsia" w:ascii="宋体" w:hAnsi="宋体" w:cs="宋体"/>
                <w:szCs w:val="21"/>
              </w:rPr>
              <w:t>2.14预防性保养损耗品：在维保服务期内预防性保养中需更换的损耗品由投标人提供，不收取费用。</w:t>
            </w:r>
          </w:p>
          <w:p w14:paraId="7E1C83FB">
            <w:pPr>
              <w:spacing w:line="360" w:lineRule="auto"/>
              <w:jc w:val="left"/>
              <w:rPr>
                <w:rFonts w:hint="eastAsia" w:ascii="宋体" w:hAnsi="宋体" w:cs="宋体"/>
                <w:szCs w:val="21"/>
              </w:rPr>
            </w:pPr>
            <w:r>
              <w:rPr>
                <w:rFonts w:hint="eastAsia" w:ascii="宋体" w:hAnsi="宋体" w:cs="宋体"/>
                <w:szCs w:val="21"/>
              </w:rPr>
              <w:t>2.15服务报告：每次保养、维修后，投标人以邮件或Email或现场书面的形式为采购人提供服务报告，并把服务报告交采购人存档。</w:t>
            </w:r>
          </w:p>
          <w:p w14:paraId="1383AF76">
            <w:pPr>
              <w:spacing w:line="360" w:lineRule="auto"/>
              <w:jc w:val="left"/>
              <w:rPr>
                <w:rFonts w:hint="eastAsia" w:ascii="宋体" w:hAnsi="宋体" w:cs="宋体"/>
                <w:szCs w:val="21"/>
              </w:rPr>
            </w:pPr>
          </w:p>
          <w:p w14:paraId="2A64183E">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设备注册证名称：</w:t>
            </w:r>
            <w:r>
              <w:rPr>
                <w:rFonts w:hint="eastAsia" w:ascii="宋体" w:hAnsi="宋体"/>
                <w:color w:val="000000" w:themeColor="text1"/>
                <w:kern w:val="0"/>
                <w:szCs w:val="21"/>
                <w14:textFill>
                  <w14:solidFill>
                    <w14:schemeClr w14:val="tx1"/>
                  </w14:solidFill>
                </w14:textFill>
              </w:rPr>
              <w:t>医用血管造影X射线系统</w:t>
            </w:r>
          </w:p>
          <w:p w14:paraId="464F423D">
            <w:pPr>
              <w:tabs>
                <w:tab w:val="left" w:pos="-720"/>
              </w:tabs>
              <w:suppressAutoHyphens/>
              <w:spacing w:after="78"/>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品牌：飞利浦</w:t>
            </w:r>
          </w:p>
          <w:p w14:paraId="61361904">
            <w:pPr>
              <w:tabs>
                <w:tab w:val="left" w:pos="-720"/>
              </w:tabs>
              <w:suppressAutoHyphens/>
              <w:spacing w:after="78"/>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规格型号：UNIQ FD 20</w:t>
            </w:r>
          </w:p>
          <w:p w14:paraId="5FE8D39C">
            <w:pPr>
              <w:spacing w:line="360" w:lineRule="auto"/>
              <w:jc w:val="left"/>
              <w:rPr>
                <w:rFonts w:hint="eastAsia"/>
                <w:color w:val="000000"/>
                <w:sz w:val="22"/>
              </w:rPr>
            </w:pPr>
          </w:p>
        </w:tc>
      </w:tr>
    </w:tbl>
    <w:p w14:paraId="47FA9FF4">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535D9829">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2"/>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2"/>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586914B7">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7"/>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7"/>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7"/>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7"/>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7"/>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7"/>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7"/>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7"/>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362E7CE1">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6731F050">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9"/>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9"/>
      <w:framePr w:wrap="around" w:vAnchor="text" w:hAnchor="page" w:x="8278" w:y="-31"/>
      <w:rPr>
        <w:rStyle w:val="16"/>
      </w:rPr>
    </w:pPr>
    <w:r>
      <w:fldChar w:fldCharType="begin"/>
    </w:r>
    <w:r>
      <w:rPr>
        <w:rStyle w:val="16"/>
      </w:rPr>
      <w:instrText xml:space="preserve">PAGE  </w:instrText>
    </w:r>
    <w:r>
      <w:fldChar w:fldCharType="separate"/>
    </w:r>
    <w:r>
      <w:rPr>
        <w:rStyle w:val="16"/>
      </w:rPr>
      <w:t>14</w:t>
    </w:r>
    <w:r>
      <w:fldChar w:fldCharType="end"/>
    </w:r>
  </w:p>
  <w:p w14:paraId="53D826DF">
    <w:pPr>
      <w:pStyle w:val="9"/>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9"/>
      <w:framePr w:wrap="around" w:vAnchor="text" w:hAnchor="margin" w:xAlign="center" w:y="1"/>
      <w:rPr>
        <w:rStyle w:val="16"/>
      </w:rPr>
    </w:pPr>
    <w:r>
      <w:fldChar w:fldCharType="begin"/>
    </w:r>
    <w:r>
      <w:rPr>
        <w:rStyle w:val="16"/>
      </w:rPr>
      <w:instrText xml:space="preserve">PAGE  </w:instrText>
    </w:r>
    <w:r>
      <w:fldChar w:fldCharType="end"/>
    </w:r>
  </w:p>
  <w:p w14:paraId="11A44BCD">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0"/>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045B4"/>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autoRedefine/>
    <w:qFormat/>
    <w:uiPriority w:val="0"/>
    <w:pPr>
      <w:spacing w:before="240" w:after="240"/>
      <w:outlineLvl w:val="2"/>
    </w:pPr>
    <w:rPr>
      <w:b/>
      <w:sz w:val="24"/>
    </w:rPr>
  </w:style>
  <w:style w:type="character" w:default="1" w:styleId="14">
    <w:name w:val="Default Paragraph Font"/>
    <w:autoRedefine/>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9"/>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semiHidden/>
    <w:qFormat/>
    <w:uiPriority w:val="0"/>
  </w:style>
  <w:style w:type="character" w:styleId="17">
    <w:name w:val="Hyperlink"/>
    <w:basedOn w:val="14"/>
    <w:qFormat/>
    <w:uiPriority w:val="0"/>
    <w:rPr>
      <w:color w:val="0000FF"/>
      <w:u w:val="single"/>
    </w:rPr>
  </w:style>
  <w:style w:type="character" w:customStyle="1" w:styleId="18">
    <w:name w:val="标题 3 Char"/>
    <w:basedOn w:val="14"/>
    <w:link w:val="4"/>
    <w:qFormat/>
    <w:uiPriority w:val="0"/>
    <w:rPr>
      <w:b/>
      <w:kern w:val="2"/>
      <w:sz w:val="24"/>
    </w:rPr>
  </w:style>
  <w:style w:type="character" w:customStyle="1" w:styleId="19">
    <w:name w:val="纯文本 Char"/>
    <w:basedOn w:val="14"/>
    <w:link w:val="7"/>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4"/>
    <w:link w:val="10"/>
    <w:qFormat/>
    <w:uiPriority w:val="0"/>
    <w:rPr>
      <w:kern w:val="2"/>
      <w:sz w:val="18"/>
      <w:szCs w:val="18"/>
    </w:rPr>
  </w:style>
  <w:style w:type="character" w:customStyle="1" w:styleId="23">
    <w:name w:val="页脚 Char"/>
    <w:basedOn w:val="14"/>
    <w:link w:val="9"/>
    <w:qFormat/>
    <w:uiPriority w:val="99"/>
    <w:rPr>
      <w:kern w:val="2"/>
      <w:sz w:val="18"/>
      <w:szCs w:val="18"/>
    </w:rPr>
  </w:style>
  <w:style w:type="character" w:customStyle="1" w:styleId="24">
    <w:name w:val="标题 2 Char"/>
    <w:basedOn w:val="14"/>
    <w:link w:val="3"/>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4"/>
    <w:link w:val="2"/>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autoRedefine/>
    <w:qFormat/>
    <w:uiPriority w:val="99"/>
    <w:pPr>
      <w:ind w:firstLine="420" w:firstLineChars="200"/>
    </w:pPr>
  </w:style>
  <w:style w:type="paragraph" w:customStyle="1" w:styleId="35">
    <w:name w:val="msolistparagraph"/>
    <w:basedOn w:val="1"/>
    <w:autoRedefine/>
    <w:qFormat/>
    <w:uiPriority w:val="0"/>
    <w:pPr>
      <w:adjustRightInd w:val="0"/>
      <w:snapToGrid w:val="0"/>
      <w:ind w:firstLine="420" w:firstLineChars="200"/>
    </w:pPr>
    <w:rPr>
      <w:sz w:val="28"/>
      <w:szCs w:val="24"/>
    </w:rPr>
  </w:style>
  <w:style w:type="character" w:customStyle="1" w:styleId="36">
    <w:name w:val="font31"/>
    <w:basedOn w:val="14"/>
    <w:autoRedefine/>
    <w:qFormat/>
    <w:uiPriority w:val="0"/>
    <w:rPr>
      <w:rFonts w:hint="eastAsia" w:ascii="宋体" w:hAnsi="宋体" w:eastAsia="宋体" w:cs="Times New Roman"/>
      <w:color w:val="000000"/>
      <w:sz w:val="20"/>
      <w:szCs w:val="20"/>
      <w:u w:val="none"/>
    </w:rPr>
  </w:style>
  <w:style w:type="character" w:customStyle="1" w:styleId="37">
    <w:name w:val="font21"/>
    <w:basedOn w:val="14"/>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正文文本1"/>
    <w:basedOn w:val="1"/>
    <w:qFormat/>
    <w:uiPriority w:val="0"/>
    <w:pPr>
      <w:spacing w:line="360" w:lineRule="auto"/>
    </w:pPr>
    <w:rPr>
      <w:b/>
      <w:bCs/>
      <w:sz w:val="24"/>
      <w:szCs w:val="24"/>
    </w:rPr>
  </w:style>
  <w:style w:type="paragraph" w:customStyle="1" w:styleId="40">
    <w:name w:val="Table Text"/>
    <w:basedOn w:val="1"/>
    <w:qFormat/>
    <w:uiPriority w:val="0"/>
    <w:rPr>
      <w:rFonts w:ascii="宋体" w:hAnsi="宋体" w:eastAsia="宋体" w:cs="宋体"/>
      <w:sz w:val="20"/>
      <w:szCs w:val="20"/>
      <w:lang w:val="en-US" w:eastAsia="en-US" w:bidi="ar-SA"/>
    </w:rPr>
  </w:style>
  <w:style w:type="table" w:customStyle="1" w:styleId="41">
    <w:name w:val="Table Normal"/>
    <w:qFormat/>
    <w:uiPriority w:val="0"/>
    <w:tblPr>
      <w:tblCellMar>
        <w:top w:w="0" w:type="dxa"/>
        <w:left w:w="0" w:type="dxa"/>
        <w:bottom w:w="0" w:type="dxa"/>
        <w:right w:w="0" w:type="dxa"/>
      </w:tblCellMar>
    </w:tblPr>
  </w:style>
  <w:style w:type="paragraph" w:customStyle="1" w:styleId="42">
    <w:name w:val="￥正文"/>
    <w:basedOn w:val="1"/>
    <w:qFormat/>
    <w:uiPriority w:val="0"/>
    <w:pPr>
      <w:tabs>
        <w:tab w:val="left" w:pos="426"/>
      </w:tabs>
      <w:ind w:firstLine="200" w:firstLineChars="200"/>
    </w:pPr>
    <w:rPr>
      <w:rFonts w:ascii="Calibri" w:hAnsi="Calibri" w:eastAsiaTheme="minorEastAsi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6107</Words>
  <Characters>6358</Characters>
  <Lines>48</Lines>
  <Paragraphs>13</Paragraphs>
  <TotalTime>1</TotalTime>
  <ScaleCrop>false</ScaleCrop>
  <LinksUpToDate>false</LinksUpToDate>
  <CharactersWithSpaces>7439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陈茜茜</cp:lastModifiedBy>
  <cp:lastPrinted>2024-12-04T23:48:18Z</cp:lastPrinted>
  <dcterms:modified xsi:type="dcterms:W3CDTF">2024-12-05T00:32:03Z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A521FBDC2A7E4899A522CA9E47EF1BA4_12</vt:lpwstr>
  </property>
</Properties>
</file>