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16" w:rsidRPr="0038075C" w:rsidRDefault="00180716" w:rsidP="00180716">
      <w:pPr>
        <w:jc w:val="left"/>
        <w:textAlignment w:val="baseline"/>
        <w:rPr>
          <w:rFonts w:ascii="宋体" w:hAnsi="宋体" w:cs="宋体"/>
          <w:b/>
          <w:bCs/>
          <w:color w:val="000000"/>
          <w:kern w:val="0"/>
          <w:sz w:val="20"/>
          <w:szCs w:val="21"/>
        </w:rPr>
      </w:pPr>
      <w:r w:rsidRPr="0038075C">
        <w:rPr>
          <w:rFonts w:ascii="宋体" w:hAnsi="宋体" w:cs="宋体" w:hint="eastAsia"/>
          <w:b/>
          <w:bCs/>
          <w:color w:val="000000"/>
          <w:kern w:val="0"/>
          <w:szCs w:val="21"/>
        </w:rPr>
        <w:t>表1</w:t>
      </w:r>
    </w:p>
    <w:p w:rsidR="00180716" w:rsidRPr="00223895" w:rsidRDefault="00180716" w:rsidP="00223895">
      <w:pPr>
        <w:spacing w:after="156"/>
        <w:jc w:val="center"/>
        <w:textAlignment w:val="baseline"/>
        <w:rPr>
          <w:rFonts w:ascii="方正小标宋简体" w:eastAsia="方正小标宋简体"/>
          <w:color w:val="000000"/>
          <w:sz w:val="20"/>
        </w:rPr>
      </w:pPr>
      <w:r w:rsidRPr="0038075C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36"/>
          <w:szCs w:val="36"/>
        </w:rPr>
        <w:t>深圳市儿童医院设备采购需求参数表</w:t>
      </w:r>
    </w:p>
    <w:p w:rsidR="00180716" w:rsidRPr="0038075C" w:rsidRDefault="00180716" w:rsidP="003817D3">
      <w:pPr>
        <w:spacing w:before="78" w:after="156"/>
        <w:jc w:val="center"/>
        <w:textAlignment w:val="baseline"/>
        <w:rPr>
          <w:rFonts w:ascii="方正小标宋简体" w:eastAsia="方正小标宋简体"/>
          <w:color w:val="000000"/>
          <w:sz w:val="20"/>
        </w:rPr>
      </w:pP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3"/>
        <w:gridCol w:w="1221"/>
        <w:gridCol w:w="7571"/>
      </w:tblGrid>
      <w:tr w:rsidR="00984F80" w:rsidTr="00D86AB5">
        <w:trPr>
          <w:trHeight w:val="526"/>
          <w:jc w:val="center"/>
        </w:trPr>
        <w:tc>
          <w:tcPr>
            <w:tcW w:w="773" w:type="dxa"/>
            <w:shd w:val="clear" w:color="000000" w:fill="FFFFFF"/>
            <w:vAlign w:val="center"/>
            <w:hideMark/>
          </w:tcPr>
          <w:p w:rsidR="00180716" w:rsidRPr="0038075C" w:rsidRDefault="00180716" w:rsidP="00F0699B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38075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180716" w:rsidRPr="0038075C" w:rsidRDefault="00180716" w:rsidP="00F0699B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38075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货物名称</w:t>
            </w:r>
          </w:p>
        </w:tc>
        <w:tc>
          <w:tcPr>
            <w:tcW w:w="7571" w:type="dxa"/>
            <w:shd w:val="clear" w:color="000000" w:fill="FFFFFF"/>
            <w:vAlign w:val="center"/>
            <w:hideMark/>
          </w:tcPr>
          <w:p w:rsidR="00180716" w:rsidRPr="0038075C" w:rsidRDefault="00180716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8075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招标技术要求</w:t>
            </w:r>
          </w:p>
        </w:tc>
      </w:tr>
      <w:tr w:rsidR="00D86AB5" w:rsidTr="00D86AB5">
        <w:trPr>
          <w:trHeight w:hRule="exact" w:val="850"/>
          <w:jc w:val="center"/>
        </w:trPr>
        <w:tc>
          <w:tcPr>
            <w:tcW w:w="773" w:type="dxa"/>
            <w:vMerge w:val="restart"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8075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shd w:val="clear" w:color="000000" w:fill="FFFFFF"/>
            <w:vAlign w:val="center"/>
            <w:hideMark/>
          </w:tcPr>
          <w:p w:rsidR="00D86AB5" w:rsidRPr="00CE7AA5" w:rsidRDefault="00D86AB5" w:rsidP="00D86AB5">
            <w:pPr>
              <w:widowControl/>
              <w:ind w:right="-67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3F3F3F"/>
                <w:kern w:val="0"/>
                <w:sz w:val="22"/>
              </w:rPr>
              <w:t>体视</w:t>
            </w:r>
            <w:r w:rsidRPr="008950B4">
              <w:rPr>
                <w:rFonts w:ascii="宋体" w:hAnsi="宋体" w:cs="宋体" w:hint="eastAsia"/>
                <w:color w:val="3F3F3F"/>
                <w:kern w:val="0"/>
                <w:sz w:val="22"/>
              </w:rPr>
              <w:t>荧光显微镜</w:t>
            </w: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▲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复消色差变倍体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(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Apochromatic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)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“CMO”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光学系统；电子变倍体，带液晶屏，可实时显示放大倍率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 xml:space="preserve">, 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0.8-10X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连续变倍比，变倍体数值孔径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0.144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；</w:t>
            </w:r>
          </w:p>
        </w:tc>
      </w:tr>
      <w:tr w:rsidR="00D86AB5" w:rsidTr="00D86AB5">
        <w:trPr>
          <w:trHeight w:hRule="exact" w:val="565"/>
          <w:jc w:val="center"/>
        </w:trPr>
        <w:tc>
          <w:tcPr>
            <w:tcW w:w="773" w:type="dxa"/>
            <w:vMerge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D86AB5" w:rsidRPr="0038075C" w:rsidRDefault="00D86AB5" w:rsidP="00D86AB5">
            <w:pPr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电动变倍体调节轮，带位置记忆和一键重复功能；</w:t>
            </w:r>
          </w:p>
        </w:tc>
      </w:tr>
      <w:tr w:rsidR="00D86AB5" w:rsidTr="00D86AB5">
        <w:trPr>
          <w:trHeight w:hRule="exact" w:val="577"/>
          <w:jc w:val="center"/>
        </w:trPr>
        <w:tc>
          <w:tcPr>
            <w:tcW w:w="773" w:type="dxa"/>
            <w:vMerge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D86AB5" w:rsidRPr="0038075C" w:rsidRDefault="00D86AB5" w:rsidP="00D86AB5">
            <w:pPr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bookmarkStart w:id="0" w:name="OLE_LINK1"/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▲</w:t>
            </w:r>
            <w:bookmarkEnd w:id="0"/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5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孔位荧光转盘，荧光装置采用双光路激发、双光路观察的结构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；</w:t>
            </w:r>
          </w:p>
        </w:tc>
      </w:tr>
      <w:tr w:rsidR="00D86AB5" w:rsidTr="00D86AB5">
        <w:trPr>
          <w:trHeight w:hRule="exact" w:val="571"/>
          <w:jc w:val="center"/>
        </w:trPr>
        <w:tc>
          <w:tcPr>
            <w:tcW w:w="773" w:type="dxa"/>
            <w:vMerge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D86AB5" w:rsidRPr="0038075C" w:rsidRDefault="00D86AB5" w:rsidP="00D86AB5">
            <w:pPr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≥3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组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6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个荧光块，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分别对应蓝色、绿色和红色荧光；</w:t>
            </w:r>
          </w:p>
        </w:tc>
      </w:tr>
      <w:tr w:rsidR="00D86AB5" w:rsidTr="00D86AB5">
        <w:trPr>
          <w:trHeight w:hRule="exact" w:val="550"/>
          <w:jc w:val="center"/>
        </w:trPr>
        <w:tc>
          <w:tcPr>
            <w:tcW w:w="773" w:type="dxa"/>
            <w:vMerge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D86AB5" w:rsidRPr="0038075C" w:rsidRDefault="00D86AB5" w:rsidP="00D86AB5">
            <w:pPr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金属卤化物灯光源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≥200W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，使用寿命大于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≥2000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小时。</w:t>
            </w:r>
          </w:p>
        </w:tc>
      </w:tr>
      <w:tr w:rsidR="00D86AB5" w:rsidTr="00D86AB5">
        <w:trPr>
          <w:trHeight w:hRule="exact" w:val="572"/>
          <w:jc w:val="center"/>
        </w:trPr>
        <w:tc>
          <w:tcPr>
            <w:tcW w:w="773" w:type="dxa"/>
            <w:vMerge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D86AB5" w:rsidRPr="0038075C" w:rsidRDefault="00D86AB5" w:rsidP="00D86AB5">
            <w:pPr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目镜筒：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≥20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度人机优化观察视角，瞳距连续可调；</w:t>
            </w:r>
          </w:p>
        </w:tc>
      </w:tr>
      <w:tr w:rsidR="00D86AB5" w:rsidTr="00D86AB5">
        <w:trPr>
          <w:trHeight w:hRule="exact" w:val="861"/>
          <w:jc w:val="center"/>
        </w:trPr>
        <w:tc>
          <w:tcPr>
            <w:tcW w:w="773" w:type="dxa"/>
            <w:vMerge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D86AB5" w:rsidRPr="0038075C" w:rsidRDefault="00D86AB5" w:rsidP="00D86AB5">
            <w:pPr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▲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目镜：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≥23mm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目镜观察视野，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10X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目镜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2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个，带双眼屈光度调节，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55-75mm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瞳距调节；</w:t>
            </w:r>
          </w:p>
        </w:tc>
      </w:tr>
      <w:tr w:rsidR="00D86AB5" w:rsidTr="00D86AB5">
        <w:trPr>
          <w:trHeight w:hRule="exact" w:val="844"/>
          <w:jc w:val="center"/>
        </w:trPr>
        <w:tc>
          <w:tcPr>
            <w:tcW w:w="773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高对比度超平场复消色差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物镜，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1.0X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物镜工作距离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≥60mm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724AF2">
              <w:rPr>
                <w:rFonts w:ascii="Times New Roman" w:hAnsi="Times New Roman" w:hint="eastAsia"/>
                <w:bCs/>
                <w:kern w:val="0"/>
                <w:sz w:val="22"/>
              </w:rPr>
              <w:t>1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.5X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物镜工作距离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≥30mm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；</w:t>
            </w:r>
          </w:p>
        </w:tc>
      </w:tr>
      <w:tr w:rsidR="00D86AB5" w:rsidTr="00D86AB5">
        <w:trPr>
          <w:trHeight w:hRule="exact" w:val="701"/>
          <w:jc w:val="center"/>
        </w:trPr>
        <w:tc>
          <w:tcPr>
            <w:tcW w:w="773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▲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三孔位编码物镜转盘，软件可自动识别物镜倍率及总变倍，可自动添加标尺；</w:t>
            </w:r>
          </w:p>
        </w:tc>
      </w:tr>
      <w:tr w:rsidR="00D86AB5" w:rsidTr="00D86AB5">
        <w:trPr>
          <w:trHeight w:hRule="exact" w:val="561"/>
          <w:jc w:val="center"/>
        </w:trPr>
        <w:tc>
          <w:tcPr>
            <w:tcW w:w="773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带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3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位图像矫正模块，实现体视下样品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Z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轴拍摄无偏移。</w:t>
            </w:r>
          </w:p>
        </w:tc>
      </w:tr>
      <w:tr w:rsidR="00D86AB5" w:rsidTr="00D86AB5">
        <w:trPr>
          <w:trHeight w:hRule="exact" w:val="718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电动调焦立柱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450mm</w:t>
            </w:r>
            <w:r w:rsidRPr="00724AF2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自带调焦控制其，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Z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轴位置记忆功能，可一键操作移动至样品位置；</w:t>
            </w:r>
          </w:p>
        </w:tc>
      </w:tr>
      <w:tr w:rsidR="00D86AB5" w:rsidTr="00D86AB5">
        <w:trPr>
          <w:trHeight w:hRule="exact" w:val="563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调焦机构：谐波齿轮式电动调焦机构，支持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≥17kg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载荷；</w:t>
            </w:r>
          </w:p>
        </w:tc>
      </w:tr>
      <w:tr w:rsidR="00D86AB5" w:rsidTr="00D86AB5">
        <w:trPr>
          <w:trHeight w:hRule="exact" w:val="722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带人机学系统触控屏，可进行变焦、调焦和齐焦管理，进行透射光和反射光照明强度控制；</w:t>
            </w:r>
          </w:p>
        </w:tc>
      </w:tr>
      <w:tr w:rsidR="00D86AB5" w:rsidTr="00D86AB5">
        <w:trPr>
          <w:trHeight w:hRule="exact" w:val="846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防静电处理台面，耐磨损耐腐蚀材料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带黑、白漫射板，用于不同透光样品观察；</w:t>
            </w:r>
          </w:p>
        </w:tc>
      </w:tr>
      <w:tr w:rsidR="00D86AB5" w:rsidTr="00D86AB5">
        <w:trPr>
          <w:trHeight w:hRule="exact" w:val="844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照明系统：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≥3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个外置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LED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冷光源，光源亮度可通过控制器、触摸屏和软件控制，日光型色温调节装置；</w:t>
            </w:r>
          </w:p>
        </w:tc>
      </w:tr>
      <w:tr w:rsidR="00D86AB5" w:rsidTr="00D86AB5">
        <w:trPr>
          <w:trHeight w:hRule="exact" w:val="714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带分叉式鹅颈光纤，光纤照明角度可自由调整；</w:t>
            </w:r>
          </w:p>
        </w:tc>
      </w:tr>
      <w:tr w:rsidR="00D86AB5" w:rsidTr="00D86AB5">
        <w:trPr>
          <w:trHeight w:hRule="exact" w:val="713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带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2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个可拆卸式光纤照明聚光镜，用于高倍高亮度照明；</w:t>
            </w:r>
          </w:p>
        </w:tc>
      </w:tr>
      <w:tr w:rsidR="00D86AB5" w:rsidTr="00D86AB5">
        <w:trPr>
          <w:trHeight w:hRule="exact" w:val="855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sz w:val="18"/>
                <w:szCs w:val="18"/>
              </w:rPr>
            </w:pP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配置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方反射光检偏器和起偏器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与显微镜同品牌高分辨率、高灵敏显微镜专用彩色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CCD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物理像素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≥1200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万像素</w:t>
            </w:r>
          </w:p>
        </w:tc>
      </w:tr>
      <w:tr w:rsidR="00D86AB5" w:rsidTr="00D86AB5">
        <w:trPr>
          <w:trHeight w:val="834"/>
          <w:jc w:val="center"/>
        </w:trPr>
        <w:tc>
          <w:tcPr>
            <w:tcW w:w="773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▲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芯片规格：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Sony CMOS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彩色图像传感器，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≥14.1mm × 10.4mm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，对角线长度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 xml:space="preserve">≥17.5mm </w:t>
            </w:r>
          </w:p>
        </w:tc>
      </w:tr>
      <w:tr w:rsidR="00D86AB5" w:rsidTr="00D86AB5">
        <w:trPr>
          <w:trHeight w:val="574"/>
          <w:jc w:val="center"/>
        </w:trPr>
        <w:tc>
          <w:tcPr>
            <w:tcW w:w="773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  <w:hideMark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制冷系统：半导体制冷，工作温度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18℃</w:t>
            </w:r>
          </w:p>
        </w:tc>
      </w:tr>
      <w:tr w:rsidR="00D86AB5" w:rsidTr="00D86AB5">
        <w:trPr>
          <w:trHeight w:hRule="exact" w:val="573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测光方式：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3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测光方式，包括但不限于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自动，手动，多点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等</w:t>
            </w:r>
          </w:p>
        </w:tc>
      </w:tr>
      <w:tr w:rsidR="00D86AB5" w:rsidTr="00D86AB5">
        <w:trPr>
          <w:trHeight w:hRule="exact" w:val="850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图像兼容黑白、彩色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2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种模式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在全幅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4096×3008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像素下采集速度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≥23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幅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/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秒</w:t>
            </w:r>
          </w:p>
        </w:tc>
      </w:tr>
      <w:tr w:rsidR="00D86AB5" w:rsidTr="00D86AB5">
        <w:trPr>
          <w:trHeight w:hRule="exact" w:val="565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像素大小：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3.45μm × 3.45μm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，满阱电子容量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11000e-</w:t>
            </w:r>
          </w:p>
        </w:tc>
      </w:tr>
      <w:tr w:rsidR="00D86AB5" w:rsidTr="00D86AB5">
        <w:trPr>
          <w:trHeight w:hRule="exact" w:val="559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曝光时间范围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100μs - 60s</w:t>
            </w:r>
          </w:p>
        </w:tc>
      </w:tr>
      <w:tr w:rsidR="00D86AB5" w:rsidTr="00D86AB5">
        <w:trPr>
          <w:trHeight w:hRule="exact" w:val="852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宋体" w:hAnsi="宋体"/>
                <w:sz w:val="18"/>
                <w:szCs w:val="18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显微图像控制及分析软件除用于图像和显微镜控制外，可用于系统以外的任意计算机，以便于浏览、输出共图像。同时附带以下功能：</w:t>
            </w:r>
          </w:p>
        </w:tc>
      </w:tr>
      <w:tr w:rsidR="00D86AB5" w:rsidTr="00D86AB5">
        <w:trPr>
          <w:trHeight w:hRule="exact" w:val="992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Times New Roman" w:hAnsi="Times New Roman"/>
                <w:szCs w:val="21"/>
              </w:rPr>
            </w:pP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▲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软件自带暗室适应功能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，可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控制显微镜电动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Z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轴进行自动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Z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轴拍摄及景深扩展；带多通道荧光叠加（含明场）；带自动聚焦功能。</w:t>
            </w:r>
          </w:p>
        </w:tc>
      </w:tr>
      <w:tr w:rsidR="00D86AB5" w:rsidTr="00D86AB5">
        <w:trPr>
          <w:trHeight w:hRule="exact" w:val="1842"/>
          <w:jc w:val="center"/>
        </w:trPr>
        <w:tc>
          <w:tcPr>
            <w:tcW w:w="773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1" w:type="dxa"/>
            <w:vMerge/>
            <w:shd w:val="clear" w:color="000000" w:fill="FFFFFF"/>
            <w:vAlign w:val="center"/>
          </w:tcPr>
          <w:p w:rsidR="00D86AB5" w:rsidRPr="0038075C" w:rsidRDefault="00D86AB5" w:rsidP="00D86AB5"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vAlign w:val="center"/>
          </w:tcPr>
          <w:p w:rsidR="00D86AB5" w:rsidRPr="00E53D25" w:rsidRDefault="00D86AB5" w:rsidP="00D86AB5">
            <w:pPr>
              <w:pStyle w:val="aa"/>
              <w:widowControl/>
              <w:numPr>
                <w:ilvl w:val="0"/>
                <w:numId w:val="4"/>
              </w:numPr>
              <w:ind w:firstLineChars="0"/>
              <w:textAlignment w:val="baseline"/>
              <w:rPr>
                <w:rFonts w:ascii="Times New Roman" w:hAnsi="Times New Roman"/>
                <w:szCs w:val="21"/>
              </w:rPr>
            </w:pP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软件分析功能，包括但不限于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2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维图像格式转化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图像位深转化（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8/12/16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）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对比度调整及保存功能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标尺、长度、面积和荧光强度报告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不同通道的叠加、假色定义、输出功能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图像的数学运算功能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（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包括加、减、乘、除、比率（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ratio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）、移位、滤镜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），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2.5D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灰度地形图显示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平滑、中值滤波、边界锐化等多种图像处理算法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，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AVI</w:t>
            </w:r>
            <w:r w:rsidRPr="00EC3248">
              <w:rPr>
                <w:rFonts w:ascii="Times New Roman" w:hAnsi="Times New Roman"/>
                <w:bCs/>
                <w:kern w:val="0"/>
                <w:sz w:val="22"/>
              </w:rPr>
              <w:t>视频拍摄功能</w:t>
            </w:r>
            <w:r w:rsidRPr="00EC3248">
              <w:rPr>
                <w:rFonts w:ascii="Times New Roman" w:hAnsi="Times New Roman" w:hint="eastAsia"/>
                <w:bCs/>
                <w:kern w:val="0"/>
                <w:sz w:val="22"/>
              </w:rPr>
              <w:t>等</w:t>
            </w:r>
          </w:p>
        </w:tc>
      </w:tr>
      <w:tr w:rsidR="00984F80" w:rsidTr="00D86AB5">
        <w:trPr>
          <w:trHeight w:val="574"/>
          <w:jc w:val="center"/>
        </w:trPr>
        <w:tc>
          <w:tcPr>
            <w:tcW w:w="9565" w:type="dxa"/>
            <w:gridSpan w:val="3"/>
            <w:shd w:val="clear" w:color="000000" w:fill="FFFFFF"/>
            <w:vAlign w:val="center"/>
            <w:hideMark/>
          </w:tcPr>
          <w:p w:rsidR="00957E58" w:rsidRPr="004E69F7" w:rsidRDefault="00957E58" w:rsidP="00D86AB5">
            <w:pPr>
              <w:widowControl/>
              <w:textAlignment w:val="baseline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1"/>
              </w:rPr>
            </w:pPr>
            <w:r w:rsidRPr="004E69F7"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  <w:t>配置清单</w:t>
            </w:r>
            <w:r w:rsidR="004E69F7" w:rsidRPr="004E69F7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：</w:t>
            </w:r>
          </w:p>
        </w:tc>
      </w:tr>
      <w:tr w:rsidR="00CE7AA5" w:rsidTr="003F4E9A">
        <w:trPr>
          <w:trHeight w:val="2651"/>
          <w:jc w:val="center"/>
        </w:trPr>
        <w:tc>
          <w:tcPr>
            <w:tcW w:w="9565" w:type="dxa"/>
            <w:gridSpan w:val="3"/>
            <w:shd w:val="clear" w:color="000000" w:fill="FFFFFF"/>
            <w:vAlign w:val="center"/>
          </w:tcPr>
          <w:p w:rsidR="00CE7AA5" w:rsidRPr="00D86AB5" w:rsidRDefault="00D86AB5" w:rsidP="00D86AB5">
            <w:pPr>
              <w:widowControl/>
              <w:spacing w:line="360" w:lineRule="auto"/>
              <w:jc w:val="left"/>
              <w:rPr>
                <w:rFonts w:ascii="Times New Roman" w:hAnsi="Times New Roman"/>
                <w:bCs/>
                <w:kern w:val="0"/>
                <w:sz w:val="22"/>
              </w:rPr>
            </w:pP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电动体视显微镜主机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台；电动调焦组件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套；底座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个；三目观察筒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个；目镜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2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3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位物镜转盘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</w:t>
            </w:r>
            <w:bookmarkStart w:id="1" w:name="OLE_LINK2"/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平场复消色差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1X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物镜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</w:t>
            </w:r>
            <w:bookmarkEnd w:id="1"/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平场复消色差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1.5X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物镜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724AF2">
              <w:rPr>
                <w:rFonts w:ascii="Times New Roman" w:hAnsi="Times New Roman"/>
                <w:bCs/>
                <w:kern w:val="0"/>
                <w:sz w:val="22"/>
              </w:rPr>
              <w:t>个；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控制器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个；荧光滤色片组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套；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LED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冷光源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个；双支光纤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套；数码像机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个；显微成像控制软件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套；景深扩展软件模块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个；自动聚焦软件模块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1</w:t>
            </w:r>
            <w:r w:rsidRPr="00D86AB5">
              <w:rPr>
                <w:rFonts w:ascii="Times New Roman" w:hAnsi="Times New Roman"/>
                <w:bCs/>
                <w:kern w:val="0"/>
                <w:sz w:val="22"/>
              </w:rPr>
              <w:t>个</w:t>
            </w:r>
          </w:p>
        </w:tc>
      </w:tr>
    </w:tbl>
    <w:p w:rsidR="00F0699B" w:rsidRPr="00D86AB5" w:rsidRDefault="00F0699B" w:rsidP="00BE5B4B">
      <w:pPr>
        <w:spacing w:line="360" w:lineRule="exact"/>
        <w:jc w:val="left"/>
        <w:textAlignment w:val="baseline"/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sectPr w:rsidR="00F0699B" w:rsidRPr="00D86AB5" w:rsidSect="00A62D15">
          <w:footerReference w:type="default" r:id="rId8"/>
          <w:pgSz w:w="11906" w:h="16838" w:code="9"/>
          <w:pgMar w:top="1418" w:right="1134" w:bottom="1701" w:left="1134" w:header="851" w:footer="1361" w:gutter="0"/>
          <w:cols w:space="425"/>
          <w:docGrid w:type="lines" w:linePitch="312"/>
        </w:sectPr>
      </w:pPr>
    </w:p>
    <w:p w:rsidR="005E0B49" w:rsidRPr="005E0B49" w:rsidRDefault="005E0B49" w:rsidP="00223895">
      <w:pPr>
        <w:widowControl/>
        <w:jc w:val="left"/>
        <w:textAlignment w:val="baseline"/>
        <w:rPr>
          <w:b/>
          <w:bCs/>
          <w:sz w:val="24"/>
          <w:szCs w:val="32"/>
        </w:rPr>
      </w:pPr>
    </w:p>
    <w:sectPr w:rsidR="005E0B49" w:rsidRPr="005E0B49" w:rsidSect="001840D4">
      <w:footerReference w:type="default" r:id="rId9"/>
      <w:pgSz w:w="11906" w:h="16838" w:code="9"/>
      <w:pgMar w:top="1418" w:right="1418" w:bottom="1701" w:left="1418" w:header="851" w:footer="136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C58" w:rsidRDefault="00586C58" w:rsidP="00180716">
      <w:r>
        <w:separator/>
      </w:r>
    </w:p>
  </w:endnote>
  <w:endnote w:type="continuationSeparator" w:id="1">
    <w:p w:rsidR="00586C58" w:rsidRDefault="00586C58" w:rsidP="00180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197083"/>
      <w:docPartObj>
        <w:docPartGallery w:val="Page Numbers (Bottom of Page)"/>
        <w:docPartUnique/>
      </w:docPartObj>
    </w:sdtPr>
    <w:sdtEndPr>
      <w:rPr>
        <w:rFonts w:ascii="宋体" w:hAnsi="宋体"/>
      </w:rPr>
    </w:sdtEndPr>
    <w:sdtContent>
      <w:p w:rsidR="00CE7AA5" w:rsidRPr="00CE7AA5" w:rsidRDefault="00CE7AA5" w:rsidP="00CE7AA5">
        <w:pPr>
          <w:pStyle w:val="a4"/>
          <w:jc w:val="center"/>
          <w:rPr>
            <w:rFonts w:ascii="宋体" w:hAnsi="宋体"/>
          </w:rPr>
        </w:pPr>
        <w:r w:rsidRPr="00CE7AA5">
          <w:rPr>
            <w:rFonts w:ascii="宋体" w:hAnsi="宋体" w:hint="eastAsia"/>
            <w:lang w:eastAsia="zh-CN"/>
          </w:rPr>
          <w:t>第</w:t>
        </w:r>
        <w:r w:rsidR="00C77570" w:rsidRPr="00CE7AA5">
          <w:rPr>
            <w:rFonts w:ascii="宋体" w:hAnsi="宋体"/>
          </w:rPr>
          <w:fldChar w:fldCharType="begin"/>
        </w:r>
        <w:r w:rsidRPr="00CE7AA5">
          <w:rPr>
            <w:rFonts w:ascii="宋体" w:hAnsi="宋体"/>
          </w:rPr>
          <w:instrText>PAGE   \* MERGEFORMAT</w:instrText>
        </w:r>
        <w:r w:rsidR="00C77570" w:rsidRPr="00CE7AA5">
          <w:rPr>
            <w:rFonts w:ascii="宋体" w:hAnsi="宋体"/>
          </w:rPr>
          <w:fldChar w:fldCharType="separate"/>
        </w:r>
        <w:r w:rsidR="00223895" w:rsidRPr="00223895">
          <w:rPr>
            <w:rFonts w:ascii="宋体" w:hAnsi="宋体"/>
            <w:noProof/>
            <w:lang w:val="zh-CN" w:eastAsia="zh-CN"/>
          </w:rPr>
          <w:t>2</w:t>
        </w:r>
        <w:r w:rsidR="00C77570" w:rsidRPr="00CE7AA5">
          <w:rPr>
            <w:rFonts w:ascii="宋体" w:hAnsi="宋体"/>
          </w:rPr>
          <w:fldChar w:fldCharType="end"/>
        </w:r>
        <w:r w:rsidRPr="00CE7AA5">
          <w:rPr>
            <w:rFonts w:ascii="宋体" w:hAnsi="宋体" w:hint="eastAsia"/>
            <w:lang w:eastAsia="zh-CN"/>
          </w:rPr>
          <w:t>页共</w:t>
        </w:r>
        <w:fldSimple w:instr=" NUMPAGES  \* Arabic  \* MERGEFORMAT ">
          <w:r w:rsidR="00223895">
            <w:rPr>
              <w:rFonts w:ascii="宋体" w:hAnsi="宋体"/>
              <w:noProof/>
            </w:rPr>
            <w:t>3</w:t>
          </w:r>
        </w:fldSimple>
        <w:r w:rsidRPr="00CE7AA5">
          <w:rPr>
            <w:rFonts w:ascii="宋体" w:hAnsi="宋体" w:hint="eastAsia"/>
            <w:lang w:eastAsia="zh-CN"/>
          </w:rPr>
          <w:t>页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49" w:rsidRPr="00CE7AA5" w:rsidRDefault="005E0B49" w:rsidP="005E0B49">
    <w:pPr>
      <w:pStyle w:val="a4"/>
      <w:rPr>
        <w:rFonts w:ascii="宋体" w:hAnsi="宋体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C58" w:rsidRDefault="00586C58" w:rsidP="00180716">
      <w:r>
        <w:separator/>
      </w:r>
    </w:p>
  </w:footnote>
  <w:footnote w:type="continuationSeparator" w:id="1">
    <w:p w:rsidR="00586C58" w:rsidRDefault="00586C58" w:rsidP="00180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706A55"/>
    <w:multiLevelType w:val="singleLevel"/>
    <w:tmpl w:val="AA706A5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325C7FF"/>
    <w:multiLevelType w:val="singleLevel"/>
    <w:tmpl w:val="F325C7F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5D36852"/>
    <w:multiLevelType w:val="hybridMultilevel"/>
    <w:tmpl w:val="AA32E3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55A732C1"/>
    <w:multiLevelType w:val="hybridMultilevel"/>
    <w:tmpl w:val="7FAED154"/>
    <w:lvl w:ilvl="0" w:tplc="7CF8D7DA">
      <w:start w:val="1"/>
      <w:numFmt w:val="decimal"/>
      <w:lvlText w:val="%1．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716"/>
    <w:rsid w:val="0000651C"/>
    <w:rsid w:val="00015B52"/>
    <w:rsid w:val="00031B84"/>
    <w:rsid w:val="000736A6"/>
    <w:rsid w:val="0007571F"/>
    <w:rsid w:val="00081161"/>
    <w:rsid w:val="00092DBF"/>
    <w:rsid w:val="000B059A"/>
    <w:rsid w:val="000D08C9"/>
    <w:rsid w:val="000E0A0A"/>
    <w:rsid w:val="0010208D"/>
    <w:rsid w:val="00126E09"/>
    <w:rsid w:val="00127B98"/>
    <w:rsid w:val="00127D6B"/>
    <w:rsid w:val="0013726E"/>
    <w:rsid w:val="00141307"/>
    <w:rsid w:val="00153A42"/>
    <w:rsid w:val="00172832"/>
    <w:rsid w:val="00180716"/>
    <w:rsid w:val="001840D4"/>
    <w:rsid w:val="0018661F"/>
    <w:rsid w:val="001A58A1"/>
    <w:rsid w:val="001A7555"/>
    <w:rsid w:val="001D3C5C"/>
    <w:rsid w:val="001D4836"/>
    <w:rsid w:val="001E08BC"/>
    <w:rsid w:val="001F03C4"/>
    <w:rsid w:val="00207932"/>
    <w:rsid w:val="00223895"/>
    <w:rsid w:val="00250F0D"/>
    <w:rsid w:val="00277381"/>
    <w:rsid w:val="0029314A"/>
    <w:rsid w:val="002932F2"/>
    <w:rsid w:val="002B0F70"/>
    <w:rsid w:val="002B5517"/>
    <w:rsid w:val="002C0BFD"/>
    <w:rsid w:val="002D7284"/>
    <w:rsid w:val="002F1A31"/>
    <w:rsid w:val="00302F73"/>
    <w:rsid w:val="003202AE"/>
    <w:rsid w:val="003407BA"/>
    <w:rsid w:val="00357071"/>
    <w:rsid w:val="00360A36"/>
    <w:rsid w:val="00363A52"/>
    <w:rsid w:val="00372006"/>
    <w:rsid w:val="00375E5D"/>
    <w:rsid w:val="0038075C"/>
    <w:rsid w:val="003817D3"/>
    <w:rsid w:val="00386A50"/>
    <w:rsid w:val="003938A4"/>
    <w:rsid w:val="003E4CAD"/>
    <w:rsid w:val="003F252D"/>
    <w:rsid w:val="003F4E9A"/>
    <w:rsid w:val="004352F5"/>
    <w:rsid w:val="00447919"/>
    <w:rsid w:val="00447FAF"/>
    <w:rsid w:val="004607A8"/>
    <w:rsid w:val="0046248D"/>
    <w:rsid w:val="00481FBD"/>
    <w:rsid w:val="00485E99"/>
    <w:rsid w:val="00491986"/>
    <w:rsid w:val="004B052C"/>
    <w:rsid w:val="004B398D"/>
    <w:rsid w:val="004C1D63"/>
    <w:rsid w:val="004C6FD8"/>
    <w:rsid w:val="004E2F60"/>
    <w:rsid w:val="004E69F7"/>
    <w:rsid w:val="004F46EC"/>
    <w:rsid w:val="00520A60"/>
    <w:rsid w:val="0052293D"/>
    <w:rsid w:val="00527BE9"/>
    <w:rsid w:val="00536070"/>
    <w:rsid w:val="00562979"/>
    <w:rsid w:val="00586C58"/>
    <w:rsid w:val="00595DCD"/>
    <w:rsid w:val="005A247E"/>
    <w:rsid w:val="005A6616"/>
    <w:rsid w:val="005B4177"/>
    <w:rsid w:val="005E0B49"/>
    <w:rsid w:val="005E733F"/>
    <w:rsid w:val="00604C49"/>
    <w:rsid w:val="00613C5E"/>
    <w:rsid w:val="0062774E"/>
    <w:rsid w:val="00627FD6"/>
    <w:rsid w:val="00640511"/>
    <w:rsid w:val="0069070F"/>
    <w:rsid w:val="006B399A"/>
    <w:rsid w:val="006B7040"/>
    <w:rsid w:val="006B7069"/>
    <w:rsid w:val="006C1BAB"/>
    <w:rsid w:val="006F1147"/>
    <w:rsid w:val="006F1FD9"/>
    <w:rsid w:val="006F41C9"/>
    <w:rsid w:val="00717995"/>
    <w:rsid w:val="00724AF2"/>
    <w:rsid w:val="00730FDE"/>
    <w:rsid w:val="00760E61"/>
    <w:rsid w:val="007A4081"/>
    <w:rsid w:val="007C6858"/>
    <w:rsid w:val="007F5B1A"/>
    <w:rsid w:val="008143CB"/>
    <w:rsid w:val="00876F2F"/>
    <w:rsid w:val="00890077"/>
    <w:rsid w:val="008950B4"/>
    <w:rsid w:val="008B160B"/>
    <w:rsid w:val="008B7985"/>
    <w:rsid w:val="008F18EF"/>
    <w:rsid w:val="008F52E7"/>
    <w:rsid w:val="009022AC"/>
    <w:rsid w:val="0091437C"/>
    <w:rsid w:val="00915D2D"/>
    <w:rsid w:val="00917BB5"/>
    <w:rsid w:val="0092238F"/>
    <w:rsid w:val="0092593E"/>
    <w:rsid w:val="00957E58"/>
    <w:rsid w:val="0096101E"/>
    <w:rsid w:val="00962E91"/>
    <w:rsid w:val="00964F48"/>
    <w:rsid w:val="00972FDC"/>
    <w:rsid w:val="00973FA0"/>
    <w:rsid w:val="00980851"/>
    <w:rsid w:val="009836A4"/>
    <w:rsid w:val="00984F80"/>
    <w:rsid w:val="00992628"/>
    <w:rsid w:val="009A4E17"/>
    <w:rsid w:val="009F5F47"/>
    <w:rsid w:val="00A039A6"/>
    <w:rsid w:val="00A05FE5"/>
    <w:rsid w:val="00A15F7F"/>
    <w:rsid w:val="00A15F96"/>
    <w:rsid w:val="00A207F1"/>
    <w:rsid w:val="00A27D87"/>
    <w:rsid w:val="00A55349"/>
    <w:rsid w:val="00A62D15"/>
    <w:rsid w:val="00A70CB8"/>
    <w:rsid w:val="00A77062"/>
    <w:rsid w:val="00AA10B5"/>
    <w:rsid w:val="00AA2A2D"/>
    <w:rsid w:val="00AA72DE"/>
    <w:rsid w:val="00AB686E"/>
    <w:rsid w:val="00AD3004"/>
    <w:rsid w:val="00AD6603"/>
    <w:rsid w:val="00AF2364"/>
    <w:rsid w:val="00AF6656"/>
    <w:rsid w:val="00B13789"/>
    <w:rsid w:val="00B241AF"/>
    <w:rsid w:val="00B36021"/>
    <w:rsid w:val="00B37A82"/>
    <w:rsid w:val="00B37E2B"/>
    <w:rsid w:val="00B41CFC"/>
    <w:rsid w:val="00B41D2A"/>
    <w:rsid w:val="00B74596"/>
    <w:rsid w:val="00BB545A"/>
    <w:rsid w:val="00BE5B4B"/>
    <w:rsid w:val="00C046E8"/>
    <w:rsid w:val="00C27F8E"/>
    <w:rsid w:val="00C45C39"/>
    <w:rsid w:val="00C70023"/>
    <w:rsid w:val="00C70D64"/>
    <w:rsid w:val="00C717A1"/>
    <w:rsid w:val="00C75314"/>
    <w:rsid w:val="00C77570"/>
    <w:rsid w:val="00C941DA"/>
    <w:rsid w:val="00CA02EC"/>
    <w:rsid w:val="00CA02FA"/>
    <w:rsid w:val="00CA1F88"/>
    <w:rsid w:val="00CB5B02"/>
    <w:rsid w:val="00CC2C4C"/>
    <w:rsid w:val="00CE7AA5"/>
    <w:rsid w:val="00D00A17"/>
    <w:rsid w:val="00D16186"/>
    <w:rsid w:val="00D221EA"/>
    <w:rsid w:val="00D45134"/>
    <w:rsid w:val="00D650DC"/>
    <w:rsid w:val="00D86AB5"/>
    <w:rsid w:val="00D9394A"/>
    <w:rsid w:val="00DA1A00"/>
    <w:rsid w:val="00DB4AD0"/>
    <w:rsid w:val="00DC6540"/>
    <w:rsid w:val="00DD7743"/>
    <w:rsid w:val="00DE32DD"/>
    <w:rsid w:val="00DF6C0B"/>
    <w:rsid w:val="00E0716E"/>
    <w:rsid w:val="00E13D8B"/>
    <w:rsid w:val="00E312B5"/>
    <w:rsid w:val="00E42878"/>
    <w:rsid w:val="00E51A5F"/>
    <w:rsid w:val="00E53D25"/>
    <w:rsid w:val="00E74006"/>
    <w:rsid w:val="00E84839"/>
    <w:rsid w:val="00E87DEE"/>
    <w:rsid w:val="00EA0AF4"/>
    <w:rsid w:val="00EA3933"/>
    <w:rsid w:val="00EC33F7"/>
    <w:rsid w:val="00ED76B5"/>
    <w:rsid w:val="00F0699B"/>
    <w:rsid w:val="00F128E8"/>
    <w:rsid w:val="00F27399"/>
    <w:rsid w:val="00F550D6"/>
    <w:rsid w:val="00F75B00"/>
    <w:rsid w:val="00FD1CD9"/>
    <w:rsid w:val="00FD640E"/>
    <w:rsid w:val="00FF6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1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47F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3">
    <w:name w:val="heading 3"/>
    <w:basedOn w:val="a"/>
    <w:next w:val="a"/>
    <w:link w:val="3Char"/>
    <w:uiPriority w:val="9"/>
    <w:unhideWhenUsed/>
    <w:qFormat/>
    <w:rsid w:val="00481FB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0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1807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8071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180716"/>
    <w:rPr>
      <w:sz w:val="18"/>
      <w:szCs w:val="18"/>
    </w:rPr>
  </w:style>
  <w:style w:type="table" w:styleId="a5">
    <w:name w:val="Table Grid"/>
    <w:basedOn w:val="a1"/>
    <w:uiPriority w:val="59"/>
    <w:rsid w:val="00CA1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Char1"/>
    <w:uiPriority w:val="99"/>
    <w:semiHidden/>
    <w:unhideWhenUsed/>
    <w:rsid w:val="009836A4"/>
    <w:pPr>
      <w:jc w:val="left"/>
    </w:pPr>
    <w:rPr>
      <w:lang/>
    </w:rPr>
  </w:style>
  <w:style w:type="character" w:customStyle="1" w:styleId="Char1">
    <w:name w:val="批注文字 Char"/>
    <w:link w:val="a6"/>
    <w:uiPriority w:val="99"/>
    <w:semiHidden/>
    <w:rsid w:val="009836A4"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9836A4"/>
    <w:rPr>
      <w:sz w:val="21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C046E8"/>
    <w:rPr>
      <w:sz w:val="18"/>
      <w:szCs w:val="18"/>
      <w:lang/>
    </w:rPr>
  </w:style>
  <w:style w:type="character" w:customStyle="1" w:styleId="Char2">
    <w:name w:val="批注框文本 Char"/>
    <w:link w:val="a8"/>
    <w:uiPriority w:val="99"/>
    <w:semiHidden/>
    <w:rsid w:val="00C046E8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447FAF"/>
    <w:rPr>
      <w:b/>
      <w:bCs/>
      <w:kern w:val="44"/>
      <w:sz w:val="44"/>
      <w:szCs w:val="44"/>
    </w:rPr>
  </w:style>
  <w:style w:type="character" w:customStyle="1" w:styleId="table0020normalchar">
    <w:name w:val="table_0020normal__char"/>
    <w:basedOn w:val="a0"/>
    <w:rsid w:val="002932F2"/>
  </w:style>
  <w:style w:type="character" w:customStyle="1" w:styleId="3Char">
    <w:name w:val="标题 3 Char"/>
    <w:link w:val="3"/>
    <w:uiPriority w:val="9"/>
    <w:rsid w:val="00481FBD"/>
    <w:rPr>
      <w:b/>
      <w:bCs/>
      <w:kern w:val="2"/>
      <w:sz w:val="32"/>
      <w:szCs w:val="32"/>
    </w:rPr>
  </w:style>
  <w:style w:type="paragraph" w:styleId="a9">
    <w:name w:val="Body Text"/>
    <w:basedOn w:val="a"/>
    <w:link w:val="Char3"/>
    <w:rsid w:val="005E0B49"/>
    <w:pPr>
      <w:jc w:val="center"/>
    </w:pPr>
    <w:rPr>
      <w:rFonts w:ascii="宋体" w:eastAsia="等线" w:hAnsi="宋体" w:cs="等线"/>
      <w:color w:val="FF0000"/>
      <w:szCs w:val="24"/>
    </w:rPr>
  </w:style>
  <w:style w:type="character" w:customStyle="1" w:styleId="Char3">
    <w:name w:val="正文文本 Char"/>
    <w:basedOn w:val="a0"/>
    <w:link w:val="a9"/>
    <w:rsid w:val="005E0B49"/>
    <w:rPr>
      <w:rFonts w:ascii="宋体" w:eastAsia="等线" w:hAnsi="宋体" w:cs="等线"/>
      <w:color w:val="FF0000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E53D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B51E0-C485-4077-BA14-19D599B3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</Words>
  <Characters>1218</Characters>
  <Application>Microsoft Office Word</Application>
  <DocSecurity>0</DocSecurity>
  <Lines>10</Lines>
  <Paragraphs>2</Paragraphs>
  <ScaleCrop>false</ScaleCrop>
  <Company>Sky123.Org</Company>
  <LinksUpToDate>false</LinksUpToDate>
  <CharactersWithSpaces>1429</CharactersWithSpaces>
  <SharedDoc>false</SharedDoc>
  <HLinks>
    <vt:vector size="6" baseType="variant">
      <vt:variant>
        <vt:i4>2687080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http://www.baidu.com/link?url=b4xlkPrZ0ybizYeIygVLG8i4RZKCiJwuJP-EuyJokHEZ2G6dRH5-B5jt-U3-zKyV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2</cp:revision>
  <cp:lastPrinted>2022-09-22T06:45:00Z</cp:lastPrinted>
  <dcterms:created xsi:type="dcterms:W3CDTF">2024-12-04T03:28:00Z</dcterms:created>
  <dcterms:modified xsi:type="dcterms:W3CDTF">2024-12-04T03:28:00Z</dcterms:modified>
</cp:coreProperties>
</file>