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9C182">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5258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78F4BA4D">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78125625">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5848C854">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42E8C9BF">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045CE7DD">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4E08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40E64ED6">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162A0C02">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735F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670D1029">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4ABF75CE">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2700CC21">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57C5FA81">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24CE1E9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5E1A010B">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398ABA5E">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2C073ABE">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40C32E09">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15BFE33D">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5361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596313DD">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4A5F81C9">
            <w:pPr>
              <w:spacing w:line="300" w:lineRule="exact"/>
              <w:jc w:val="center"/>
              <w:rPr>
                <w:rFonts w:ascii="宋体" w:hAnsi="宋体" w:eastAsia="等线"/>
                <w:szCs w:val="21"/>
              </w:rPr>
            </w:pPr>
            <w:r>
              <w:rPr>
                <w:rFonts w:hint="eastAsia" w:ascii="宋体" w:hAnsi="宋体" w:eastAsia="等线"/>
                <w:szCs w:val="21"/>
              </w:rPr>
              <w:t>产品对比</w:t>
            </w:r>
          </w:p>
          <w:p w14:paraId="486E2A4B">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530881CB">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6C03D316">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116FB3E5">
            <w:pPr>
              <w:spacing w:line="300" w:lineRule="exact"/>
              <w:rPr>
                <w:rFonts w:ascii="宋体" w:hAnsi="宋体" w:eastAsia="等线"/>
                <w:szCs w:val="21"/>
              </w:rPr>
            </w:pPr>
            <w:r>
              <w:rPr>
                <w:rFonts w:ascii="等线" w:hAnsi="等线" w:eastAsia="等线"/>
                <w:szCs w:val="21"/>
              </w:rPr>
              <w:t>A、好  ；得20分；</w:t>
            </w:r>
          </w:p>
          <w:p w14:paraId="6654E227">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74095F1E">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45D1A227">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61FBE22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2E43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5B408347">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E51F5CC">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55B20705">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2AF8883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47C2FB2F">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038C559A">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0BF774C6">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12B8907C">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4C225A54">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1F93345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563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4484702F">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07425601">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6F93881F">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626AC1E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2A39E9A2">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5F7A88EA">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632E9BFE">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65601700">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2066F21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5E60B73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7FED2FA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2731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2A5E5302">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051ADF9C">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64CA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4681AD2E">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199A6954">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44AC0884">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536F8E1F">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44FED87B">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0ABBA640">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3AA8E31C">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6DEEA2E4">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6EA935EA">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26ED1E9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2816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622B8AB7">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013F20FC">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08B66698">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2BAD8054">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2DC5228D">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17D15BE7">
            <w:pPr>
              <w:spacing w:line="300" w:lineRule="exact"/>
              <w:jc w:val="left"/>
              <w:rPr>
                <w:rFonts w:ascii="宋体" w:hAnsi="宋体" w:eastAsia="等线"/>
                <w:szCs w:val="21"/>
              </w:rPr>
            </w:pPr>
            <w:r>
              <w:rPr>
                <w:rFonts w:ascii="宋体" w:hAnsi="宋体" w:eastAsia="等线"/>
                <w:szCs w:val="21"/>
              </w:rPr>
              <w:t xml:space="preserve">B、服务较好或两项承诺：4分； </w:t>
            </w:r>
          </w:p>
          <w:p w14:paraId="693691BE">
            <w:pPr>
              <w:spacing w:line="300" w:lineRule="exact"/>
              <w:jc w:val="left"/>
              <w:rPr>
                <w:rFonts w:ascii="宋体" w:hAnsi="宋体" w:eastAsia="等线"/>
                <w:szCs w:val="21"/>
              </w:rPr>
            </w:pPr>
            <w:r>
              <w:rPr>
                <w:rFonts w:ascii="宋体" w:hAnsi="宋体" w:eastAsia="等线"/>
                <w:szCs w:val="21"/>
              </w:rPr>
              <w:t xml:space="preserve">C、服务一般或一项承诺：2分； </w:t>
            </w:r>
          </w:p>
          <w:p w14:paraId="49D980C2">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5DC534BB">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2F0D8F7B">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126FD38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0FF5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4848E03B">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3C80F390">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268C200E">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2484D1D0">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65DB2CEA">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3DA01DF9">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7EF4A254">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7CA1578D">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570E2094">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74609071">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4F17A6F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2E32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1CD449BF">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68274699">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152A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39C595FD">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8936847">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738574EE">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3E7F5834">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770B1A9C">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2692E0E5">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7AAC67E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38FA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4D413278">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0047A0BA">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68E55572">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6689418B">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1A70DCB4">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7CAA1AE0">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1B7E3137">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2F49454E">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054E191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5702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3BF0BBAF">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7971F8B4">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2DF24320">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045885D0">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04565F47">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0450D78D">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0EB1EC30">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5DE1AA9C">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06D87030">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3AC7F1F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07B2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7A7BB79F">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6489F509">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26C8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4E16531A">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14B1EC5">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116A991D">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5208C044">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72E1B68E">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5E0DDC54">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4FFFE5D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56C99086">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0E34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27AA954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03937B6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29119EB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79FB395D">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14E559DF">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4F763EE5">
      <w:pPr>
        <w:widowControl/>
        <w:spacing w:before="100" w:beforeAutospacing="1" w:after="100" w:afterAutospacing="1"/>
        <w:jc w:val="center"/>
        <w:rPr>
          <w:rFonts w:hint="eastAsia" w:ascii="宋体" w:hAnsi="宋体"/>
          <w:b/>
          <w:bCs/>
          <w:sz w:val="28"/>
        </w:rPr>
      </w:pPr>
    </w:p>
    <w:p w14:paraId="38AA06DF">
      <w:pPr>
        <w:widowControl/>
        <w:spacing w:before="100" w:beforeAutospacing="1" w:after="100" w:afterAutospacing="1"/>
        <w:jc w:val="center"/>
        <w:rPr>
          <w:rFonts w:hint="eastAsia" w:ascii="宋体" w:hAnsi="宋体"/>
          <w:b/>
          <w:bCs/>
          <w:sz w:val="28"/>
        </w:rPr>
      </w:pPr>
    </w:p>
    <w:p w14:paraId="500CB0EF">
      <w:pPr>
        <w:widowControl/>
        <w:spacing w:before="100" w:beforeAutospacing="1" w:after="100" w:afterAutospacing="1"/>
        <w:jc w:val="center"/>
        <w:rPr>
          <w:rFonts w:hint="eastAsia" w:ascii="宋体" w:hAnsi="宋体"/>
          <w:b/>
          <w:bCs/>
          <w:sz w:val="28"/>
        </w:rPr>
      </w:pPr>
    </w:p>
    <w:p w14:paraId="682CFEF8">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6"/>
        <w:tblW w:w="984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7009"/>
      </w:tblGrid>
      <w:tr w14:paraId="0D71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2E22A7FA">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48545138">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7009" w:type="dxa"/>
            <w:tcBorders>
              <w:top w:val="single" w:color="auto" w:sz="4" w:space="0"/>
              <w:left w:val="single" w:color="auto" w:sz="4" w:space="0"/>
              <w:bottom w:val="single" w:color="auto" w:sz="4" w:space="0"/>
              <w:right w:val="single" w:color="auto" w:sz="4" w:space="0"/>
            </w:tcBorders>
            <w:vAlign w:val="center"/>
          </w:tcPr>
          <w:p w14:paraId="337319D1">
            <w:pPr>
              <w:widowControl/>
              <w:spacing w:before="100" w:beforeAutospacing="1" w:after="100" w:afterAutospacing="1"/>
              <w:jc w:val="center"/>
              <w:rPr>
                <w:rFonts w:cs="宋体" w:asciiTheme="minorEastAsia" w:hAnsiTheme="minorEastAsia" w:eastAsiaTheme="minorEastAsia"/>
                <w:kern w:val="0"/>
                <w:sz w:val="24"/>
              </w:rPr>
            </w:pPr>
            <w:bookmarkStart w:id="1" w:name="_GoBack"/>
            <w:bookmarkEnd w:id="1"/>
            <w:r>
              <w:rPr>
                <w:rFonts w:hint="eastAsia" w:cs="宋体" w:asciiTheme="minorEastAsia" w:hAnsiTheme="minorEastAsia" w:eastAsiaTheme="minorEastAsia"/>
                <w:kern w:val="0"/>
                <w:sz w:val="24"/>
              </w:rPr>
              <w:t>具体参数需求</w:t>
            </w:r>
          </w:p>
        </w:tc>
      </w:tr>
      <w:tr w14:paraId="19D3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4" w:hRule="atLeast"/>
        </w:trPr>
        <w:tc>
          <w:tcPr>
            <w:tcW w:w="710" w:type="dxa"/>
            <w:tcBorders>
              <w:top w:val="single" w:color="auto" w:sz="4" w:space="0"/>
              <w:left w:val="single" w:color="auto" w:sz="4" w:space="0"/>
              <w:bottom w:val="single" w:color="auto" w:sz="4" w:space="0"/>
              <w:right w:val="single" w:color="auto" w:sz="4" w:space="0"/>
            </w:tcBorders>
            <w:vAlign w:val="center"/>
          </w:tcPr>
          <w:p w14:paraId="19DEBECA">
            <w:pPr>
              <w:widowControl/>
              <w:spacing w:before="100" w:beforeAutospacing="1" w:after="100" w:afterAutospacing="1"/>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2126" w:type="dxa"/>
            <w:tcBorders>
              <w:top w:val="single" w:color="auto" w:sz="4" w:space="0"/>
              <w:left w:val="single" w:color="auto" w:sz="4" w:space="0"/>
              <w:bottom w:val="single" w:color="auto" w:sz="4" w:space="0"/>
              <w:right w:val="single" w:color="auto" w:sz="4" w:space="0"/>
            </w:tcBorders>
            <w:vAlign w:val="center"/>
          </w:tcPr>
          <w:p w14:paraId="223DB54D">
            <w:pPr>
              <w:widowControl/>
              <w:spacing w:before="100" w:beforeAutospacing="1" w:after="100" w:afterAutospacing="1"/>
              <w:jc w:val="center"/>
              <w:rPr>
                <w:rFonts w:hint="eastAsia" w:cs="宋体" w:asciiTheme="minorEastAsia" w:hAnsiTheme="minorEastAsia" w:eastAsiaTheme="minorEastAsia"/>
                <w:kern w:val="0"/>
                <w:sz w:val="24"/>
                <w:lang w:val="en-US" w:eastAsia="zh-CN"/>
              </w:rPr>
            </w:pPr>
            <w:bookmarkStart w:id="0" w:name="OLE_LINK1"/>
          </w:p>
          <w:p w14:paraId="7AF89A6B">
            <w:pPr>
              <w:widowControl/>
              <w:spacing w:before="100" w:beforeAutospacing="1" w:after="100" w:afterAutospacing="1"/>
              <w:jc w:val="center"/>
              <w:rPr>
                <w:rFonts w:hint="eastAsia" w:cs="宋体" w:asciiTheme="minorEastAsia" w:hAnsiTheme="minorEastAsia" w:eastAsiaTheme="minorEastAsia"/>
                <w:kern w:val="0"/>
                <w:sz w:val="24"/>
                <w:lang w:val="en-US" w:eastAsia="zh-CN"/>
              </w:rPr>
            </w:pPr>
          </w:p>
          <w:p w14:paraId="068A0B12">
            <w:pPr>
              <w:widowControl/>
              <w:spacing w:before="100" w:beforeAutospacing="1" w:after="100" w:afterAutospacing="1"/>
              <w:jc w:val="center"/>
              <w:rPr>
                <w:rFonts w:hint="eastAsia" w:cs="宋体" w:asciiTheme="minorEastAsia" w:hAnsiTheme="minorEastAsia" w:eastAsiaTheme="minorEastAsia"/>
                <w:kern w:val="0"/>
                <w:sz w:val="24"/>
                <w:lang w:val="en-US" w:eastAsia="zh-CN"/>
              </w:rPr>
            </w:pPr>
          </w:p>
          <w:p w14:paraId="5EE7FB23">
            <w:pPr>
              <w:widowControl/>
              <w:spacing w:before="100" w:beforeAutospacing="1" w:after="100" w:afterAutospacing="1"/>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一次性使用支气管堵塞器</w:t>
            </w:r>
            <w:bookmarkEnd w:id="0"/>
          </w:p>
          <w:p w14:paraId="6804F0A7">
            <w:pPr>
              <w:widowControl/>
              <w:tabs>
                <w:tab w:val="right" w:pos="1910"/>
              </w:tabs>
              <w:spacing w:before="100" w:beforeAutospacing="1" w:after="100" w:afterAutospacing="1"/>
              <w:jc w:val="center"/>
              <w:rPr>
                <w:rFonts w:hint="eastAsia" w:cs="宋体" w:asciiTheme="minorEastAsia" w:hAnsiTheme="minorEastAsia" w:eastAsiaTheme="minorEastAsia"/>
                <w:kern w:val="0"/>
                <w:sz w:val="24"/>
                <w:lang w:val="en-US" w:eastAsia="zh-CN"/>
              </w:rPr>
            </w:pPr>
          </w:p>
          <w:p w14:paraId="1AE883BB">
            <w:pPr>
              <w:widowControl/>
              <w:tabs>
                <w:tab w:val="right" w:pos="1910"/>
              </w:tabs>
              <w:spacing w:before="100" w:beforeAutospacing="1" w:after="100" w:afterAutospacing="1"/>
              <w:jc w:val="center"/>
              <w:rPr>
                <w:rFonts w:hint="default" w:cs="宋体" w:asciiTheme="minorEastAsia" w:hAnsiTheme="minorEastAsia" w:eastAsiaTheme="minorEastAsia"/>
                <w:kern w:val="0"/>
                <w:sz w:val="24"/>
                <w:lang w:val="en-US" w:eastAsia="zh-CN"/>
              </w:rPr>
            </w:pPr>
          </w:p>
          <w:p w14:paraId="1DD1DEEF">
            <w:pPr>
              <w:widowControl/>
              <w:tabs>
                <w:tab w:val="right" w:pos="1910"/>
              </w:tabs>
              <w:spacing w:before="100" w:beforeAutospacing="1" w:after="100" w:afterAutospacing="1"/>
              <w:jc w:val="center"/>
              <w:rPr>
                <w:rFonts w:hint="default" w:cs="宋体" w:asciiTheme="minorEastAsia" w:hAnsiTheme="minorEastAsia" w:eastAsiaTheme="minorEastAsia"/>
                <w:kern w:val="0"/>
                <w:sz w:val="24"/>
                <w:lang w:val="en-US" w:eastAsia="zh-CN"/>
              </w:rPr>
            </w:pPr>
          </w:p>
        </w:tc>
        <w:tc>
          <w:tcPr>
            <w:tcW w:w="7009" w:type="dxa"/>
            <w:tcBorders>
              <w:top w:val="single" w:color="auto" w:sz="4" w:space="0"/>
              <w:left w:val="single" w:color="auto" w:sz="4" w:space="0"/>
              <w:bottom w:val="single" w:color="auto" w:sz="4" w:space="0"/>
              <w:right w:val="single" w:color="auto" w:sz="4" w:space="0"/>
            </w:tcBorders>
            <w:vAlign w:val="center"/>
          </w:tcPr>
          <w:p w14:paraId="0DDCEFCF">
            <w:pPr>
              <w:widowControl/>
              <w:spacing w:before="100" w:beforeAutospacing="1" w:after="100" w:afterAutospacing="1"/>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1、PU超薄球囊设计，超薄球囊为预塑型，高容量，低压力，对目标肺段的压迫损伤小。皱褶少，容易通过气管插管，封堵效果理想。不需要对球囊进行补气。                                        2、旋盖固定封堵管，固定更牢靠；纤支镜入口盖帽柔软，纤支镜进出通畅，避免损伤。</w:t>
            </w:r>
          </w:p>
          <w:p w14:paraId="5BE4808B">
            <w:pPr>
              <w:widowControl/>
              <w:spacing w:before="100" w:beforeAutospacing="1" w:after="100" w:afterAutospacing="1"/>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3、头端弯角设计，管身较硬，可在纤支镜视野下选择左侧或者右侧。</w:t>
            </w:r>
          </w:p>
          <w:p w14:paraId="589E4F0A">
            <w:pPr>
              <w:widowControl/>
              <w:spacing w:before="100" w:beforeAutospacing="1" w:after="100" w:afterAutospacing="1"/>
              <w:jc w:val="center"/>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4、配有无墨菲孔的气管插管，方便纤支镜和封堵器进出</w:t>
            </w:r>
          </w:p>
        </w:tc>
      </w:tr>
    </w:tbl>
    <w:p w14:paraId="0184A11D">
      <w:pPr>
        <w:ind w:firstLine="2209" w:firstLineChars="500"/>
        <w:rPr>
          <w:rFonts w:hint="eastAsia" w:ascii="宋体" w:hAnsi="宋体"/>
          <w:b/>
          <w:bCs/>
          <w:sz w:val="44"/>
          <w:szCs w:val="44"/>
        </w:rPr>
      </w:pPr>
    </w:p>
    <w:p w14:paraId="38657458">
      <w:pPr>
        <w:ind w:firstLine="2209" w:firstLineChars="500"/>
        <w:rPr>
          <w:rFonts w:hint="eastAsia" w:ascii="宋体" w:hAnsi="宋体"/>
          <w:b/>
          <w:bCs/>
          <w:sz w:val="44"/>
          <w:szCs w:val="44"/>
        </w:rPr>
      </w:pPr>
    </w:p>
    <w:p w14:paraId="05A22CF6">
      <w:pPr>
        <w:ind w:firstLine="2209" w:firstLineChars="500"/>
        <w:rPr>
          <w:rFonts w:hint="eastAsia" w:ascii="宋体" w:hAnsi="宋体"/>
          <w:b/>
          <w:bCs/>
          <w:sz w:val="44"/>
          <w:szCs w:val="44"/>
        </w:rPr>
      </w:pPr>
    </w:p>
    <w:p w14:paraId="7C93E9CD">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33DBB227">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216F012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6E00F9"/>
    <w:rsid w:val="0AC171C3"/>
    <w:rsid w:val="0BA13F3D"/>
    <w:rsid w:val="0C8A2C23"/>
    <w:rsid w:val="1350586A"/>
    <w:rsid w:val="135E0534"/>
    <w:rsid w:val="1A2C7DEE"/>
    <w:rsid w:val="2418246B"/>
    <w:rsid w:val="246464CF"/>
    <w:rsid w:val="24CF176E"/>
    <w:rsid w:val="26435EC5"/>
    <w:rsid w:val="269C2E17"/>
    <w:rsid w:val="26EE059E"/>
    <w:rsid w:val="288B5A00"/>
    <w:rsid w:val="47164442"/>
    <w:rsid w:val="48AE321A"/>
    <w:rsid w:val="48F8086D"/>
    <w:rsid w:val="4C943432"/>
    <w:rsid w:val="54D57D13"/>
    <w:rsid w:val="598444C5"/>
    <w:rsid w:val="5A761F7B"/>
    <w:rsid w:val="5DE57C1F"/>
    <w:rsid w:val="5FF2755C"/>
    <w:rsid w:val="60B540C1"/>
    <w:rsid w:val="690507DD"/>
    <w:rsid w:val="704B11CB"/>
    <w:rsid w:val="72BFB1C7"/>
    <w:rsid w:val="799D7E4B"/>
    <w:rsid w:val="7D5772B8"/>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字符"/>
    <w:basedOn w:val="8"/>
    <w:link w:val="5"/>
    <w:autoRedefine/>
    <w:qFormat/>
    <w:uiPriority w:val="99"/>
    <w:rPr>
      <w:rFonts w:ascii="Calibri" w:hAnsi="Calibri" w:eastAsia="宋体" w:cs="Times New Roman"/>
      <w:sz w:val="18"/>
      <w:szCs w:val="18"/>
    </w:rPr>
  </w:style>
  <w:style w:type="character" w:customStyle="1" w:styleId="11">
    <w:name w:val="页脚 字符"/>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字符"/>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1887</Words>
  <Characters>1942</Characters>
  <Lines>21</Lines>
  <Paragraphs>6</Paragraphs>
  <TotalTime>5</TotalTime>
  <ScaleCrop>false</ScaleCrop>
  <LinksUpToDate>false</LinksUpToDate>
  <CharactersWithSpaces>2675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2024-10-14T07:01:14Z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E975240488DB46829A15B5AFFDC7C9EC_13</vt:lpwstr>
  </property>
</Properties>
</file>