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64056">
      <w:pPr>
        <w:pStyle w:val="4"/>
        <w:numPr>
          <w:numId w:val="0"/>
        </w:numPr>
        <w:bidi w:val="0"/>
        <w:ind w:left="0" w:leftChars="0" w:firstLine="0" w:firstLineChars="0"/>
        <w:rPr>
          <w:rFonts w:hint="eastAsia" w:ascii="黑体" w:hAnsi="黑体" w:eastAsia="黑体" w:cs="黑体"/>
          <w:sz w:val="44"/>
          <w:szCs w:val="44"/>
        </w:rPr>
      </w:pPr>
      <w:r>
        <w:rPr>
          <w:rFonts w:hint="eastAsia" w:ascii="黑体" w:hAnsi="黑体" w:eastAsia="黑体" w:cs="黑体"/>
          <w:sz w:val="44"/>
          <w:szCs w:val="44"/>
        </w:rPr>
        <w:t>深圳市儿童医院设备采购需求参数表</w:t>
      </w:r>
      <w:bookmarkStart w:id="1" w:name="_GoBack"/>
      <w:bookmarkEnd w:id="1"/>
    </w:p>
    <w:tbl>
      <w:tblPr>
        <w:tblStyle w:val="13"/>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147"/>
        <w:gridCol w:w="1023"/>
        <w:gridCol w:w="6871"/>
      </w:tblGrid>
      <w:tr w14:paraId="4F957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06" w:type="dxa"/>
            <w:tcBorders>
              <w:tl2br w:val="nil"/>
              <w:tr2bl w:val="nil"/>
            </w:tcBorders>
            <w:shd w:val="clear" w:color="000000" w:fill="FFFFFF"/>
            <w:vAlign w:val="center"/>
          </w:tcPr>
          <w:p w14:paraId="697EE973">
            <w:pPr>
              <w:widowControl/>
              <w:spacing w:line="360" w:lineRule="auto"/>
              <w:jc w:val="center"/>
              <w:rPr>
                <w:rFonts w:hint="default" w:ascii="Times New Roman" w:hAnsi="Times New Roman" w:eastAsia="宋体" w:cs="Times New Roman"/>
                <w:b/>
                <w:bCs/>
                <w:kern w:val="0"/>
                <w:sz w:val="22"/>
                <w:szCs w:val="22"/>
              </w:rPr>
            </w:pPr>
            <w:r>
              <w:rPr>
                <w:rFonts w:hint="default" w:ascii="Times New Roman" w:hAnsi="Times New Roman" w:eastAsia="宋体" w:cs="Times New Roman"/>
                <w:b/>
                <w:bCs/>
                <w:kern w:val="0"/>
                <w:sz w:val="22"/>
                <w:szCs w:val="22"/>
              </w:rPr>
              <w:t>序号</w:t>
            </w:r>
          </w:p>
        </w:tc>
        <w:tc>
          <w:tcPr>
            <w:tcW w:w="1147" w:type="dxa"/>
            <w:tcBorders>
              <w:tl2br w:val="nil"/>
              <w:tr2bl w:val="nil"/>
            </w:tcBorders>
            <w:shd w:val="clear" w:color="000000" w:fill="FFFFFF"/>
            <w:vAlign w:val="center"/>
          </w:tcPr>
          <w:p w14:paraId="44CEC22F">
            <w:pPr>
              <w:widowControl/>
              <w:spacing w:line="360" w:lineRule="auto"/>
              <w:jc w:val="center"/>
              <w:rPr>
                <w:rFonts w:hint="default" w:ascii="Times New Roman" w:hAnsi="Times New Roman" w:eastAsia="宋体" w:cs="Times New Roman"/>
                <w:b/>
                <w:bCs/>
                <w:kern w:val="0"/>
                <w:sz w:val="22"/>
                <w:szCs w:val="22"/>
              </w:rPr>
            </w:pPr>
            <w:r>
              <w:rPr>
                <w:rFonts w:hint="default" w:ascii="Times New Roman" w:hAnsi="Times New Roman" w:eastAsia="宋体" w:cs="Times New Roman"/>
                <w:b/>
                <w:bCs/>
                <w:kern w:val="0"/>
                <w:sz w:val="22"/>
                <w:szCs w:val="22"/>
              </w:rPr>
              <w:t>项目名称</w:t>
            </w:r>
          </w:p>
        </w:tc>
        <w:tc>
          <w:tcPr>
            <w:tcW w:w="7894" w:type="dxa"/>
            <w:gridSpan w:val="2"/>
            <w:tcBorders>
              <w:tl2br w:val="nil"/>
              <w:tr2bl w:val="nil"/>
            </w:tcBorders>
            <w:shd w:val="clear" w:color="000000" w:fill="FFFFFF"/>
            <w:vAlign w:val="center"/>
          </w:tcPr>
          <w:p w14:paraId="4AFC6402">
            <w:pPr>
              <w:widowControl/>
              <w:spacing w:line="360" w:lineRule="auto"/>
              <w:jc w:val="center"/>
              <w:rPr>
                <w:rFonts w:hint="default" w:ascii="Times New Roman" w:hAnsi="Times New Roman" w:eastAsia="宋体" w:cs="Times New Roman"/>
                <w:b/>
                <w:bCs/>
                <w:kern w:val="0"/>
                <w:sz w:val="22"/>
                <w:szCs w:val="22"/>
              </w:rPr>
            </w:pPr>
            <w:r>
              <w:rPr>
                <w:rFonts w:hint="default" w:ascii="Times New Roman" w:hAnsi="Times New Roman" w:eastAsia="宋体" w:cs="Times New Roman"/>
                <w:b/>
                <w:bCs/>
                <w:kern w:val="0"/>
                <w:sz w:val="22"/>
                <w:szCs w:val="22"/>
              </w:rPr>
              <w:t>招标事项及要求</w:t>
            </w:r>
          </w:p>
        </w:tc>
      </w:tr>
      <w:tr w14:paraId="60C9F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706" w:type="dxa"/>
            <w:vMerge w:val="restart"/>
            <w:tcBorders>
              <w:tl2br w:val="nil"/>
              <w:tr2bl w:val="nil"/>
            </w:tcBorders>
            <w:shd w:val="clear" w:color="000000" w:fill="FFFFFF"/>
            <w:vAlign w:val="center"/>
          </w:tcPr>
          <w:p w14:paraId="3557F52B">
            <w:pPr>
              <w:widowControl/>
              <w:spacing w:line="360" w:lineRule="auto"/>
              <w:jc w:val="center"/>
              <w:rPr>
                <w:rFonts w:hint="default" w:ascii="Times New Roman" w:hAnsi="Times New Roman" w:eastAsia="宋体" w:cs="Times New Roman"/>
                <w:b/>
                <w:bCs/>
                <w:kern w:val="0"/>
                <w:sz w:val="22"/>
                <w:szCs w:val="22"/>
              </w:rPr>
            </w:pPr>
            <w:r>
              <w:rPr>
                <w:rFonts w:hint="default" w:ascii="Times New Roman" w:hAnsi="Times New Roman" w:eastAsia="宋体" w:cs="Times New Roman"/>
                <w:b/>
                <w:bCs/>
                <w:kern w:val="0"/>
                <w:sz w:val="22"/>
                <w:szCs w:val="22"/>
              </w:rPr>
              <w:t>1</w:t>
            </w:r>
          </w:p>
        </w:tc>
        <w:tc>
          <w:tcPr>
            <w:tcW w:w="1147" w:type="dxa"/>
            <w:vMerge w:val="restart"/>
            <w:tcBorders>
              <w:tl2br w:val="nil"/>
              <w:tr2bl w:val="nil"/>
            </w:tcBorders>
            <w:shd w:val="clear" w:color="000000" w:fill="FFFFFF"/>
            <w:vAlign w:val="center"/>
          </w:tcPr>
          <w:p w14:paraId="0A6533F6">
            <w:pPr>
              <w:widowControl/>
              <w:spacing w:line="360" w:lineRule="auto"/>
              <w:jc w:val="center"/>
              <w:rPr>
                <w:rFonts w:hint="default" w:ascii="Times New Roman" w:hAnsi="Times New Roman" w:eastAsia="宋体" w:cs="Times New Roman"/>
                <w:b/>
                <w:bCs/>
                <w:kern w:val="0"/>
                <w:sz w:val="22"/>
                <w:szCs w:val="22"/>
              </w:rPr>
            </w:pPr>
            <w:r>
              <w:rPr>
                <w:rFonts w:hint="default" w:ascii="Times New Roman" w:hAnsi="Times New Roman" w:eastAsia="宋体" w:cs="Times New Roman"/>
                <w:b/>
                <w:bCs/>
                <w:sz w:val="22"/>
                <w:szCs w:val="22"/>
              </w:rPr>
              <w:t>麻精药品智能管理系统</w:t>
            </w:r>
          </w:p>
        </w:tc>
        <w:tc>
          <w:tcPr>
            <w:tcW w:w="1023" w:type="dxa"/>
            <w:tcBorders>
              <w:tl2br w:val="nil"/>
              <w:tr2bl w:val="nil"/>
            </w:tcBorders>
            <w:shd w:val="clear" w:color="000000" w:fill="FFFFFF"/>
            <w:vAlign w:val="center"/>
          </w:tcPr>
          <w:p w14:paraId="678726D4">
            <w:pPr>
              <w:spacing w:line="360" w:lineRule="auto"/>
              <w:jc w:val="center"/>
              <w:rPr>
                <w:rFonts w:hint="default" w:ascii="Times New Roman" w:hAnsi="Times New Roman" w:eastAsia="宋体" w:cs="Times New Roman"/>
                <w:b/>
                <w:bCs/>
                <w:kern w:val="0"/>
                <w:sz w:val="22"/>
                <w:szCs w:val="22"/>
              </w:rPr>
            </w:pPr>
            <w:r>
              <w:rPr>
                <w:rFonts w:hint="default" w:ascii="Times New Roman" w:hAnsi="Times New Roman" w:eastAsia="宋体" w:cs="Times New Roman"/>
                <w:b/>
                <w:bCs/>
                <w:sz w:val="22"/>
                <w:szCs w:val="22"/>
              </w:rPr>
              <w:t>智能药品管控柜</w:t>
            </w:r>
          </w:p>
        </w:tc>
        <w:tc>
          <w:tcPr>
            <w:tcW w:w="6871" w:type="dxa"/>
            <w:tcBorders>
              <w:tl2br w:val="nil"/>
              <w:tr2bl w:val="nil"/>
            </w:tcBorders>
            <w:shd w:val="clear" w:color="000000" w:fill="FFFFFF"/>
            <w:vAlign w:val="center"/>
          </w:tcPr>
          <w:p w14:paraId="46E97146">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1、登录方式</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外置≥15英寸触摸操作显示终端，支持指纹、密码、ID卡、戴口罩人脸识别登录等多种登录方式，各登录模块均一体化集成在操作显示终端。（提供产品实物使用照片，可清晰显示ID卡识别模块、人脸识别模块、指纹登录模块均一体化集成于显示屏）</w:t>
            </w:r>
          </w:p>
          <w:p w14:paraId="04AB779B">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2、★操作系统</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智能终端操作系统为Linux系统，并支持双系统设置，支持开机时切换为国产操作系统；主控系统CPU为I5十代及以上，内存≥16G，硬盘≥256G。（提供智能终端操作系统界面及系统配置实拍照片、切换为国产操作系统实拍照片证明和国家认可的第三方检测机构出具的检测报告）</w:t>
            </w:r>
          </w:p>
          <w:p w14:paraId="41181B5F">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3、扫描模块</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集成在操作显示终端上，支持一维码、二维码高速扫描。（提供扫描模块集成在操作显示终端的实拍照片和经国家认可的第三方检测机构出具的检测报告）</w:t>
            </w:r>
          </w:p>
          <w:p w14:paraId="54DEEFD7">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4、语音系统</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系统自带扬声器，具备语音系统。</w:t>
            </w:r>
          </w:p>
          <w:p w14:paraId="07A3ED44">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5、材质</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柜体主体由金属钢材质组成，满足国家对毒麻药品管理规范的安全要求：五专、双人双锁、三铁一器。</w:t>
            </w:r>
          </w:p>
          <w:p w14:paraId="36D1FB3B">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6、柜体尺寸</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考虑使用科室安装空间环境条件，柜体尺寸需满足宽700~750深650~700mm高1500~1600mm。</w:t>
            </w:r>
          </w:p>
          <w:p w14:paraId="309FE2BF">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7、▲药品存储单元</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整柜模块化设计，支持同时选配常温自动称重抽屉模组、冷藏自动称重抽屉模组、红外单支自动计数抽屉模组、大包装存储模组，满足不同规格，包装大小药品的存储发放需求。（提供以上不同抽屉模组组合在一起的实拍照片和国家认可的第三方检测机构出具的检测报告）</w:t>
            </w:r>
          </w:p>
          <w:p w14:paraId="00CA8AD7">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8、抽屉单元</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整柜配置≥6层抽屉，支持具备≥2种等倍高抽屉规格，为保障实用性，可根据临床各科室实际需求选择确定不同类型抽屉配置；抽屉把手位于抽屉两侧，保证抽屉正面平整无凹槽设计，便于防尘及清洁消毒处理。</w:t>
            </w:r>
          </w:p>
          <w:p w14:paraId="753CF839">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9、药盒单元</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整柜配置≥60个药盒，支持具备≥2种等倍容量药盒规格。单层抽屉内可配置≥2种规格药盒，支持拆零和整盒药品分格存储。</w:t>
            </w:r>
          </w:p>
          <w:p w14:paraId="3F0BA3A9">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10、麻精药品管控</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配置独立的麻精药品管控抽屉，抽屉外部和每个储药单元带有提示灯提示取药层位置，每层≥12个重力感应计数药盒。</w:t>
            </w:r>
          </w:p>
          <w:p w14:paraId="3C9260A3">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11、普通药品管控</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单层抽屉可配置≥12个容量≥0.5L的重力感应计数药盒或配置≥6个容量≥3L的重力感应计数药盒。</w:t>
            </w:r>
          </w:p>
          <w:p w14:paraId="569229AD">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12、智能监控计数</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所有智能药盒可全自动记录药品数量，出库、入库等，非人工记录（即拿即记录）；记录反应时间≤0.5s。</w:t>
            </w:r>
          </w:p>
          <w:p w14:paraId="3C19064C">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13、▲麻精药品单支追溯管理</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可根据临床需求选配麻精药品红外单支自动计数抽屉，每支药品具备独立存储孔位，支持麻精药品和空瓶精准自动计数管理，抽屉内不同规格存储模块可根据要求进行取出替换配置。（提供单层抽屉内不同规格存储模块可取出替换过程的实物照片证明和国家认可的第三方检测机构出具的检测报告）</w:t>
            </w:r>
          </w:p>
          <w:p w14:paraId="2713605C">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14、▲麻精药品单支智能指引</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取药时系统自动根据药品近效期弹开相应盒盖，药盒内对应近效期单支孔位指示灯智能导引，实现“先进先出”原则，保障取药的准确性，当取错位置药盒指示灯高亮报警提示，规避取药错误。（提供取药时单支孔位指示灯亮灯的实物操作照片证明和国家认可的第三方检测机构出具的检测报告）</w:t>
            </w:r>
          </w:p>
          <w:p w14:paraId="2D647F97">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15、▲麻精药品单支管控存储规格</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红外单支管控抽屉可配置≥6种不同品规药盒，每个药孔内有独立传感器，可配置1ml、2ml、5ml、10ml、20ml、50ml药盒，满足不同针剂规格的药品管理。（提供6种不同规格红外药盒实物照片证明和国家认可的第三方检测机构出具的检测报告）</w:t>
            </w:r>
          </w:p>
          <w:p w14:paraId="037F995A">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16、▲小容量针剂单支管理</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红外单支管控1ml药盒可放置≥10支药品，单层抽屉最多可配置≥40个1ml药盒，最多可满足≥400支1ml/2ml药品存储。（提供单层抽屉配置≥40个药盒及放置≥400支药品实物照片证明和国家认可的第三方检测机构出具的检测报告）</w:t>
            </w:r>
          </w:p>
          <w:p w14:paraId="117F6947">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17、▲大容量针剂单支管理</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红外单支管控抽屉可管理20ml、50ml丙泊酚等大容量针剂药品。（提供20ml、50ml丙泊酚药品放入红外管控药盒内实物照片证明）</w:t>
            </w:r>
          </w:p>
          <w:p w14:paraId="4055B13B">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18、▲药品标识管理</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每个重力感应计数药盒配置彩色电子显示屏，支持显示7种色彩，可实时显示药品名称、规格及库存数，且可根据管理要求显示麻、精等国家规定的重要药品标识图片便于药品管理。（提供药盒显示屏彩色显示不同药品标识的实物照片和经国家认可的第三方检测机构出具的检测报告）</w:t>
            </w:r>
          </w:p>
          <w:p w14:paraId="327D070A">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19、▲温湿度安全监测</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药柜正面显著位置配置独立的温度和湿度显示屏（非操作显示屏显示）,可分别实时显示柜内存储模块温度和湿度值，当温湿度超过规定范围时可报警提醒（提供柜体正面独立于操作显示屏外的显示温湿度模块的整柜实物照片）</w:t>
            </w:r>
          </w:p>
          <w:p w14:paraId="0183E5F9">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20、视频监控</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外置高清全景摄像头，可根据用户需求设置监控存储时间，调整监控角度；视频可本地存储，支持登录操作录像本地存储≥180天。</w:t>
            </w:r>
          </w:p>
          <w:p w14:paraId="3C1A450B">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21、应急锁</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柜体正面配置应急锁，在断电或故障等特殊情况下，可通过应急锁钥匙打开所有抽屉，并保持柜体完整性，无需拆开后盖或其他柜体部件。</w:t>
            </w:r>
          </w:p>
          <w:p w14:paraId="0050851F">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空安瓿瓶回收盒：可根据临床需求选配空安瓿瓶回收盒，具备对≥6种麻精药品进行回收，可自动监测并记录空瓶回收数量，同时可根据临床需求配置单支单孔空瓶计数模块，单个1ml、2ml空瓶药盒具有≥10个孔位，单层抽屉最多可配置≥40个空瓶药盒，可存储≥400支1ml/2ml空瓶（提供使用现场可清晰显示单个空瓶药盒具有≥10个孔位及整层抽屉≥40个空瓶药盒实拍照片）。</w:t>
            </w:r>
          </w:p>
          <w:p w14:paraId="56D78AB1">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23、▲空瓶回收管理：为避免人员废瓶割伤风险，毒麻单支管控抽屉内单支单孔红外空瓶存储药盒内所有空瓶可一次整体取出，做到集中回收与清洁。（提供抽屉内单支单孔红外空瓶储存模块整体取出前后实物照片证明）。</w:t>
            </w:r>
          </w:p>
          <w:p w14:paraId="17D72414">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24、▲医疗电源控制</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采用医疗电源相关的专业控制系统，保证药柜操作使用安全。（提供国家权威部门出具的电源控制系统证书复印件）</w:t>
            </w:r>
          </w:p>
          <w:p w14:paraId="338FD86D">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25、▲电路保护</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具备直流电源马达转动控制模块，保护电路安全，防止过压、过流、过充、过放。（提供国家权威部门出具的制造商马达转动控制模块证书复印件）</w:t>
            </w:r>
          </w:p>
          <w:p w14:paraId="306E9A2D">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26、▲电气安全管理</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产品需通过医疗电气IEC 60601-1、IEC 60601-1-2安全检测标准。（提供智能柜制造商产品IEC医疗电气安全检测报告复印件）</w:t>
            </w:r>
          </w:p>
          <w:p w14:paraId="6C347D29">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27、知识产权管理</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制造商拥有智能柜自主设计生产知识产权，具有完善的知识产权管理体系，并通过GB/T29490-2013认证。（提供智能柜制造商认证证书复印件）</w:t>
            </w:r>
          </w:p>
          <w:p w14:paraId="34B28CE6">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28、信息安全</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保障信息系统安全，智能柜制造商通过了ISO 27001信息安全管理体系认证和ISO 20000信息技术服务管理体系认证。（提供智能柜制造商认证证书复印件）</w:t>
            </w:r>
          </w:p>
          <w:p w14:paraId="40D428E6">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29、安规管理体系</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智能柜制造商具备完善的安全生产管理体系，并同时通过ISO9001、ISO14001、ISO45001、ISO13485、安全生产标准化企业认证。（提供智能柜制造商认证证书复印件）</w:t>
            </w:r>
          </w:p>
          <w:p w14:paraId="2631D520">
            <w:pPr>
              <w:pStyle w:val="25"/>
              <w:spacing w:line="360" w:lineRule="auto"/>
              <w:ind w:firstLine="0" w:firstLineChars="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30、辐射安全</w:t>
            </w:r>
            <w:r>
              <w:rPr>
                <w:rFonts w:hint="default" w:ascii="Times New Roman" w:hAnsi="Times New Roman" w:eastAsia="宋体" w:cs="Times New Roman"/>
                <w:kern w:val="0"/>
                <w:sz w:val="22"/>
                <w:szCs w:val="22"/>
              </w:rPr>
              <w:t>：</w:t>
            </w:r>
            <w:r>
              <w:rPr>
                <w:rFonts w:hint="default" w:ascii="Times New Roman" w:hAnsi="Times New Roman" w:eastAsia="宋体" w:cs="Times New Roman"/>
                <w:sz w:val="22"/>
                <w:szCs w:val="22"/>
              </w:rPr>
              <w:t>基于人体健康安全和保护环境要求，智能柜制造商具备辐射安全许可证。（提供智能柜制造商认证证书复印件）</w:t>
            </w:r>
          </w:p>
        </w:tc>
      </w:tr>
      <w:tr w14:paraId="2198F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706" w:type="dxa"/>
            <w:vMerge w:val="continue"/>
            <w:tcBorders>
              <w:tl2br w:val="nil"/>
              <w:tr2bl w:val="nil"/>
            </w:tcBorders>
            <w:shd w:val="clear" w:color="000000" w:fill="FFFFFF"/>
            <w:vAlign w:val="center"/>
          </w:tcPr>
          <w:p w14:paraId="3E253A68">
            <w:pPr>
              <w:widowControl/>
              <w:spacing w:line="360" w:lineRule="auto"/>
              <w:jc w:val="center"/>
              <w:rPr>
                <w:rFonts w:hint="default" w:ascii="Times New Roman" w:hAnsi="Times New Roman" w:eastAsia="宋体" w:cs="Times New Roman"/>
                <w:b/>
                <w:bCs/>
                <w:kern w:val="0"/>
                <w:sz w:val="22"/>
                <w:szCs w:val="22"/>
              </w:rPr>
            </w:pPr>
            <w:bookmarkStart w:id="0" w:name="_Hlk174555224"/>
          </w:p>
        </w:tc>
        <w:tc>
          <w:tcPr>
            <w:tcW w:w="1147" w:type="dxa"/>
            <w:vMerge w:val="continue"/>
            <w:tcBorders>
              <w:tl2br w:val="nil"/>
              <w:tr2bl w:val="nil"/>
            </w:tcBorders>
            <w:shd w:val="clear" w:color="000000" w:fill="FFFFFF"/>
            <w:vAlign w:val="center"/>
          </w:tcPr>
          <w:p w14:paraId="353E8704">
            <w:pPr>
              <w:widowControl/>
              <w:spacing w:line="360" w:lineRule="auto"/>
              <w:jc w:val="center"/>
              <w:rPr>
                <w:rFonts w:hint="default" w:ascii="Times New Roman" w:hAnsi="Times New Roman" w:eastAsia="宋体" w:cs="Times New Roman"/>
                <w:b/>
                <w:bCs/>
                <w:sz w:val="22"/>
                <w:szCs w:val="22"/>
              </w:rPr>
            </w:pPr>
          </w:p>
        </w:tc>
        <w:tc>
          <w:tcPr>
            <w:tcW w:w="1023" w:type="dxa"/>
            <w:tcBorders>
              <w:tl2br w:val="nil"/>
              <w:tr2bl w:val="nil"/>
            </w:tcBorders>
            <w:shd w:val="clear" w:color="000000" w:fill="FFFFFF"/>
            <w:vAlign w:val="center"/>
          </w:tcPr>
          <w:p w14:paraId="3ACE791F">
            <w:pPr>
              <w:spacing w:line="360" w:lineRule="auto"/>
              <w:jc w:val="center"/>
              <w:rPr>
                <w:rFonts w:hint="default" w:ascii="Times New Roman" w:hAnsi="Times New Roman" w:eastAsia="宋体" w:cs="Times New Roman"/>
                <w:b/>
                <w:bCs/>
                <w:kern w:val="0"/>
                <w:sz w:val="22"/>
                <w:szCs w:val="22"/>
              </w:rPr>
            </w:pPr>
            <w:r>
              <w:rPr>
                <w:rFonts w:hint="default" w:ascii="Times New Roman" w:hAnsi="Times New Roman" w:eastAsia="宋体" w:cs="Times New Roman"/>
                <w:b/>
                <w:bCs/>
                <w:sz w:val="22"/>
                <w:szCs w:val="22"/>
              </w:rPr>
              <w:t>智能药品保险柜</w:t>
            </w:r>
          </w:p>
        </w:tc>
        <w:tc>
          <w:tcPr>
            <w:tcW w:w="6871" w:type="dxa"/>
            <w:tcBorders>
              <w:tl2br w:val="nil"/>
              <w:tr2bl w:val="nil"/>
            </w:tcBorders>
            <w:shd w:val="clear" w:color="000000" w:fill="FFFFFF"/>
            <w:vAlign w:val="center"/>
          </w:tcPr>
          <w:p w14:paraId="1E097DD8">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1、主体结构：配置≥2个柜门，主体结构由高强度金属钢组成，由操控区、保险区构成，可放置不同剂型的药品，满足特需大量及不同剂型药品的管理以及异形、拆零和针剂等不同药品的管理。</w:t>
            </w:r>
          </w:p>
          <w:p w14:paraId="6D2D8A4D">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2、柜体尺寸：考虑使用科室安装空间环境条件，柜体尺寸需满足宽750~800mm*深650~700mm*高1900~1950mm。</w:t>
            </w:r>
          </w:p>
          <w:p w14:paraId="071FAD14">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3、▲保险单元：格栅配置≥7层，每层格栅≥4个货位，为方便补药格栅可整体抽出进行补药操作。（提供格栅整体抽出的实物照片和经国家认可的第三方检测机构出具的检测报告）</w:t>
            </w:r>
          </w:p>
          <w:p w14:paraId="653F8A8A">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4、▲药品拆零+整盒管理：支持按临床需求选配拆零和整盒药品规范管理，每个储药格可根据临床需求配置为单层单列拆零+整盒药格，拆零和整盒药盒独立区分，非同格存储，单列同一个显示屏可同时显示拆零及整盒药品数量。（提供使用现场整机拆零+整盒药盒及显示屏实拍照片，单个显示屏可清晰分别显示拆零及整盒药品数量）</w:t>
            </w:r>
          </w:p>
          <w:p w14:paraId="51B2CBC4">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5、药品质量管控</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配置≥26种大容积药品品规，取药、补药、盘点时，货位指示灯亮起指示位置且显示屏实时显示应取、应补充、库存数量。（提供不同操作时显示屏不同颜色显示的实物照片和经国家认可的第三方检测机构出具的检测报告）</w:t>
            </w:r>
          </w:p>
          <w:p w14:paraId="533FECCD">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6、智能监控计数：所有货位可全自动记录药品数量，出库、入库等均能准确自动记录，非人工记录（即拿即记录）；记录反应时间≤0.5s。</w:t>
            </w:r>
          </w:p>
          <w:p w14:paraId="566C6311">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7、▲药品标识色标管理：每个货位配置≥3.5英寸彩色电子显示屏，可显示7种色彩，显示屏可清晰显示“毒”“麻”“高危”等国家规定的重要药品标识图片和“看似”“听似”“避光”的重要药品标识图片，单个显示屏支持不同标识图片同时显示功能。（提供显示屏显示不同彩色药品标识的实物照片和经国家认可的第三方检测机构出具的检测报告）</w:t>
            </w:r>
          </w:p>
          <w:p w14:paraId="172160EA">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8、取药错误报警提示</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：药品应取、已取数量不符时，软件界面立即提醒，显示屏相应位置红色提示，同时自动触发语音提示取药错误。</w:t>
            </w:r>
          </w:p>
          <w:p w14:paraId="768FAD66">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9、视频监控：外置高清全景摄像头，可清晰的拍摄到操作动作，根据用户需求设置监控存储时间，调整监控角度；视频可本地存储，支持登录操作录像本地存储≥180天。</w:t>
            </w:r>
          </w:p>
          <w:p w14:paraId="00FC0B55">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10、报警装置：具有防盗报警功能，当药柜出现外力破坏时具有完备的报警功能。</w:t>
            </w:r>
          </w:p>
          <w:p w14:paraId="604B774C">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11、▲温湿度监测与显示：药柜正面显著位置配置独立的温度和湿度显示屏（非操作显示屏显示）,可分别实时显示柜内存储模块温度和湿度值，当温湿度超过规定范围时可报警提醒（提供柜体正面独立于操作显示屏外的显示温湿度模块的整柜实物照片）</w:t>
            </w:r>
          </w:p>
          <w:p w14:paraId="4A2C7A06">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12、双锁结构：每个柜门正面配置应急锁和安全锁，在断电或故障等特殊情况下，必须通过一把应急锁钥匙和一把安全管控钥匙方可打开柜体，并保持柜体完整性，无需拆开后盖或其他柜体部件。</w:t>
            </w:r>
          </w:p>
          <w:p w14:paraId="27520E33">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13、▲保险柜门：保险柜门厚度≥6cm，柜门外正面均配置门把手，门把手整体长度≥13cm，宽度大于2.5cm，便于开启柜门。（提供医院现场使用柜门厚度及门把手尺寸实测照片，可清晰显示门体厚度及门把手尺寸）</w:t>
            </w:r>
          </w:p>
          <w:p w14:paraId="11F78216">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14、医疗电源控制：采用医疗电源相关的专业控制系统，保证药柜操作使用安全。</w:t>
            </w:r>
          </w:p>
          <w:p w14:paraId="5F464B60">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15、电路保护：具备直流电源马达转动控制模块，保护电路安全，防止过压、过流、过充、过放。</w:t>
            </w:r>
          </w:p>
          <w:p w14:paraId="26C6835C">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16、▲电气安全管理：产品需通过医疗电气IEC 60601-1、IEC 60601-1-2安全检测标准。（提供智能柜制造商产品IEC医疗电气安全检测报告复印件）</w:t>
            </w:r>
          </w:p>
          <w:p w14:paraId="28AA1FF6">
            <w:pPr>
              <w:pStyle w:val="25"/>
              <w:spacing w:line="360" w:lineRule="auto"/>
              <w:ind w:left="-1" w:leftChars="-7" w:hanging="13" w:hangingChars="6"/>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rPr>
              <w:t>17、▲公共安全产品认证：产品保险柜模块通过《安全技术防范产品自愿性认证实施规则安防实体防护产品》的认证要求，符合GB10409-2019《防盗保险柜（箱）》标准，满足国家、医院药事管理规范化的要求。（提供智能柜制造商保险模块公共安全产品认证证书复印件）</w:t>
            </w:r>
          </w:p>
        </w:tc>
      </w:tr>
      <w:tr w14:paraId="47AF9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Merge w:val="continue"/>
            <w:tcBorders>
              <w:tl2br w:val="nil"/>
              <w:tr2bl w:val="nil"/>
            </w:tcBorders>
            <w:vAlign w:val="center"/>
          </w:tcPr>
          <w:p w14:paraId="04F192DC">
            <w:pPr>
              <w:widowControl/>
              <w:spacing w:line="360" w:lineRule="auto"/>
              <w:jc w:val="center"/>
              <w:rPr>
                <w:rFonts w:hint="default" w:ascii="Times New Roman" w:hAnsi="Times New Roman" w:eastAsia="宋体" w:cs="Times New Roman"/>
                <w:b/>
                <w:bCs/>
                <w:kern w:val="0"/>
                <w:sz w:val="22"/>
                <w:szCs w:val="22"/>
              </w:rPr>
            </w:pPr>
          </w:p>
        </w:tc>
        <w:tc>
          <w:tcPr>
            <w:tcW w:w="1147" w:type="dxa"/>
            <w:vMerge w:val="continue"/>
            <w:tcBorders>
              <w:tl2br w:val="nil"/>
              <w:tr2bl w:val="nil"/>
            </w:tcBorders>
            <w:vAlign w:val="center"/>
          </w:tcPr>
          <w:p w14:paraId="429BBFBD">
            <w:pPr>
              <w:widowControl/>
              <w:spacing w:line="360" w:lineRule="auto"/>
              <w:jc w:val="center"/>
              <w:rPr>
                <w:rFonts w:hint="default" w:ascii="Times New Roman" w:hAnsi="Times New Roman" w:eastAsia="宋体" w:cs="Times New Roman"/>
                <w:b/>
                <w:bCs/>
                <w:kern w:val="0"/>
                <w:sz w:val="22"/>
                <w:szCs w:val="22"/>
              </w:rPr>
            </w:pPr>
          </w:p>
        </w:tc>
        <w:tc>
          <w:tcPr>
            <w:tcW w:w="1023" w:type="dxa"/>
            <w:tcBorders>
              <w:tl2br w:val="nil"/>
              <w:tr2bl w:val="nil"/>
            </w:tcBorders>
            <w:vAlign w:val="center"/>
          </w:tcPr>
          <w:p w14:paraId="6C1789E1">
            <w:pPr>
              <w:spacing w:line="360" w:lineRule="auto"/>
              <w:jc w:val="center"/>
              <w:rPr>
                <w:rFonts w:hint="default" w:ascii="Times New Roman" w:hAnsi="Times New Roman" w:eastAsia="宋体" w:cs="Times New Roman"/>
                <w:b/>
                <w:bCs/>
                <w:kern w:val="0"/>
                <w:sz w:val="22"/>
                <w:szCs w:val="22"/>
              </w:rPr>
            </w:pPr>
            <w:r>
              <w:rPr>
                <w:rFonts w:hint="default" w:ascii="Times New Roman" w:hAnsi="Times New Roman" w:eastAsia="宋体" w:cs="Times New Roman"/>
                <w:b/>
                <w:bCs/>
                <w:kern w:val="0"/>
                <w:sz w:val="22"/>
                <w:szCs w:val="22"/>
              </w:rPr>
              <w:t>智能药品单元柜</w:t>
            </w:r>
          </w:p>
        </w:tc>
        <w:tc>
          <w:tcPr>
            <w:tcW w:w="6871" w:type="dxa"/>
            <w:tcBorders>
              <w:tl2br w:val="nil"/>
              <w:tr2bl w:val="nil"/>
            </w:tcBorders>
            <w:vAlign w:val="center"/>
          </w:tcPr>
          <w:p w14:paraId="5E115CDF">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主体结构</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主体结构由高强度金属钢+钢化玻璃组成，可灵活配置，满足不同包装规格药品的管理。</w:t>
            </w:r>
          </w:p>
          <w:p w14:paraId="5B24B2A6">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2</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柜体尺寸</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考虑使用科室安装空间环境条件，柜体尺寸需满足宽700~750mm*深650~700mm*高1900~1950mm。</w:t>
            </w:r>
          </w:p>
          <w:p w14:paraId="29E669C4">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3</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▲储存单元</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格栅配置≥7层，每层格栅≥4个货位，为方便补药格栅可整体抽出进行补药操作。（提供格栅整体抽出的实物照片和经国家认可的第三方检测机构出具的检测报告）</w:t>
            </w:r>
          </w:p>
          <w:p w14:paraId="0774476B">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4</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药品质量管控</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配置≥26种药品品规管理，取药、补药、盘点时，货位指示灯亮起指示位置且显示屏实时显示应取、应补充、库存数量。（提供不同操作时显示屏不同颜色显示的实物照片和经国家认可的第三方检测机构出具的检测报告）</w:t>
            </w:r>
          </w:p>
          <w:p w14:paraId="12E484BA">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5</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▲药品拆零+整盒管理</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支持按临床需求选配拆零和整盒药品规范管理，每个储药格可根据临床需求配置为单层单列拆零+整盒药格，拆零和整盒药盒独立区分，非同格存储，单列同一个显示屏可同时显示拆零及整盒药品数量。（提供使用现场整机拆零+整盒药盒及显示屏实拍照片，单个显示屏可清晰分别显示拆零及整盒药品数量）。</w:t>
            </w:r>
          </w:p>
          <w:p w14:paraId="63C49787">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6</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智能监控计数</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所有药盒可全自动记录药品数量，出库、入库等均能准确自动记录，非人工记录（即拿即记录）；记录反应时间≤0.5s。</w:t>
            </w:r>
          </w:p>
          <w:p w14:paraId="07F60C95">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7</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▲药品标识色标管理</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每个货位配置≥3.5英寸彩色电子显示屏，可显示7种色彩，显示屏可清晰显示“毒”“麻”“高危”等国家规定的重要药品标识图片和“看似”“听似”“避光”的重要药品标识图片，单个显示屏支持不同标识图片同时显示功能。（提供显示屏显示不同彩色药品标识的实物照片和经国家认可的第三方检测机构出具的检测报告）</w:t>
            </w:r>
          </w:p>
          <w:p w14:paraId="054D713F">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8</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取药错误报警提示</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药品应取、已取数量不符时，软件界面立即提醒，显示屏相应位置红色提示，同时自动触发语音提示取药错误。</w:t>
            </w:r>
          </w:p>
          <w:p w14:paraId="06FE2B72">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9</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报警装置</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具有防盗报警功能，当药柜出现外力破坏时具有完备的报警功能。</w:t>
            </w:r>
          </w:p>
          <w:p w14:paraId="5FD578AC">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10</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应急锁</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柜体正面下方配置应急锁，在断电或故障等特殊情况下，可通过应急锁钥匙打开柜门，并保持柜体完整性，无需拆开后盖或其他柜体部件。</w:t>
            </w:r>
          </w:p>
          <w:p w14:paraId="1B834A89">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11</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应急锁密码盒</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柜体配置壁挂式钥匙密码盒，用于存储应急钥匙，密码盒使用至少四位密码锁，防止撬动，紧急情况下可通过密码取出钥匙。</w:t>
            </w:r>
          </w:p>
          <w:p w14:paraId="16CF1A67">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12</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▲温湿度监测与显示</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药柜正面显著位置配置独立的温度和湿度显示屏（非操作显示屏显示）,可分别实时显示柜内存储模块温度和湿度值，当温湿度超过规定范围时可报警提醒（提供柜体正面独立于操作显示屏外的显示温湿度模块的整柜实物照片）</w:t>
            </w:r>
          </w:p>
          <w:p w14:paraId="2234907A">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13</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医疗电源控制</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采用医疗电源相关的专业控制系统，保证药柜操作使用安全。</w:t>
            </w:r>
          </w:p>
          <w:p w14:paraId="55974E7E">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14</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电路保护</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具备直流电源马达转动控制模块，保护电路安全，防止过压、过流、过充、过放。</w:t>
            </w:r>
          </w:p>
          <w:p w14:paraId="28AB1E21">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15</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▲电气安全管理</w:t>
            </w:r>
            <w:r>
              <w:rPr>
                <w:rFonts w:hint="default" w:ascii="Times New Roman" w:hAnsi="Times New Roman" w:eastAsia="宋体" w:cs="Times New Roman"/>
                <w:kern w:val="0"/>
                <w:sz w:val="22"/>
                <w:szCs w:val="22"/>
              </w:rPr>
              <w:tab/>
            </w:r>
            <w:r>
              <w:rPr>
                <w:rFonts w:hint="default" w:ascii="Times New Roman" w:hAnsi="Times New Roman" w:eastAsia="宋体" w:cs="Times New Roman"/>
                <w:kern w:val="0"/>
                <w:sz w:val="22"/>
                <w:szCs w:val="22"/>
              </w:rPr>
              <w:t>产品需通过医疗电气IEC 60601-1、IEC 60601-1-2安全检测标准。（提供智能柜制造商产品IEC医疗电气安全检测报告复印件）</w:t>
            </w:r>
          </w:p>
        </w:tc>
      </w:tr>
      <w:tr w14:paraId="4E3F9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Merge w:val="continue"/>
            <w:tcBorders>
              <w:tl2br w:val="nil"/>
              <w:tr2bl w:val="nil"/>
            </w:tcBorders>
            <w:vAlign w:val="center"/>
          </w:tcPr>
          <w:p w14:paraId="35385DE3">
            <w:pPr>
              <w:widowControl/>
              <w:spacing w:line="360" w:lineRule="auto"/>
              <w:jc w:val="center"/>
              <w:rPr>
                <w:rFonts w:hint="default" w:ascii="Times New Roman" w:hAnsi="Times New Roman" w:eastAsia="宋体" w:cs="Times New Roman"/>
                <w:b/>
                <w:bCs/>
                <w:kern w:val="0"/>
                <w:sz w:val="22"/>
                <w:szCs w:val="22"/>
              </w:rPr>
            </w:pPr>
          </w:p>
        </w:tc>
        <w:tc>
          <w:tcPr>
            <w:tcW w:w="1147" w:type="dxa"/>
            <w:vMerge w:val="continue"/>
            <w:tcBorders>
              <w:tl2br w:val="nil"/>
              <w:tr2bl w:val="nil"/>
            </w:tcBorders>
            <w:vAlign w:val="center"/>
          </w:tcPr>
          <w:p w14:paraId="4E768D87">
            <w:pPr>
              <w:widowControl/>
              <w:spacing w:line="360" w:lineRule="auto"/>
              <w:jc w:val="center"/>
              <w:rPr>
                <w:rFonts w:hint="default" w:ascii="Times New Roman" w:hAnsi="Times New Roman" w:eastAsia="宋体" w:cs="Times New Roman"/>
                <w:b/>
                <w:bCs/>
                <w:kern w:val="0"/>
                <w:sz w:val="22"/>
                <w:szCs w:val="22"/>
              </w:rPr>
            </w:pPr>
          </w:p>
        </w:tc>
        <w:tc>
          <w:tcPr>
            <w:tcW w:w="1023" w:type="dxa"/>
            <w:tcBorders>
              <w:tl2br w:val="nil"/>
              <w:tr2bl w:val="nil"/>
            </w:tcBorders>
            <w:vAlign w:val="center"/>
          </w:tcPr>
          <w:p w14:paraId="3520597F">
            <w:pPr>
              <w:spacing w:line="360" w:lineRule="auto"/>
              <w:jc w:val="center"/>
              <w:rPr>
                <w:rFonts w:hint="default" w:ascii="Times New Roman" w:hAnsi="Times New Roman" w:eastAsia="宋体" w:cs="Times New Roman"/>
                <w:b/>
                <w:bCs/>
                <w:kern w:val="0"/>
                <w:sz w:val="22"/>
                <w:szCs w:val="22"/>
              </w:rPr>
            </w:pPr>
            <w:r>
              <w:rPr>
                <w:rFonts w:hint="default" w:ascii="Times New Roman" w:hAnsi="Times New Roman" w:eastAsia="宋体" w:cs="Times New Roman"/>
                <w:b/>
                <w:bCs/>
                <w:sz w:val="22"/>
                <w:szCs w:val="22"/>
              </w:rPr>
              <w:t>智能药品冷藏柜</w:t>
            </w:r>
          </w:p>
        </w:tc>
        <w:tc>
          <w:tcPr>
            <w:tcW w:w="6871" w:type="dxa"/>
            <w:tcBorders>
              <w:tl2br w:val="nil"/>
              <w:tr2bl w:val="nil"/>
            </w:tcBorders>
            <w:vAlign w:val="center"/>
          </w:tcPr>
          <w:p w14:paraId="351634BB">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1、主体结构</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主体结构由高强度金属钢+钢化玻璃组成，内含发泡保温结构， 由操控区、拉门区构成，可放置不同剂型的药品，具备扩展性，满足特需大量及不同剂型药品的管理以及异形、拆零和针剂等不同药品的管理。</w:t>
            </w:r>
          </w:p>
          <w:p w14:paraId="2FF1AA60">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2、柜体尺寸</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考虑使用科室安装空间环境条件，柜体尺寸需满足宽720~770mm*深720~770mm*高1900~1950mm。</w:t>
            </w:r>
          </w:p>
          <w:p w14:paraId="6521E071">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3、▲储存单元</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配置1个可视安全玻璃门，柜门含智能除雾功能，格栅配置≥5层，每层格栅≥4个货位，为方便补药格栅可整体抽出进行补药操作。（提供格栅整体抽出的实物照片和经国家认可的第三方检测机构出具的检测报告）</w:t>
            </w:r>
          </w:p>
          <w:p w14:paraId="5FAC3866">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4、药品质量管控</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配置≥20种大容积药品品规，取药、补药、盘点时，货位指示灯亮起指示位置且显示屏实时显示应取、应补充、库存数量。（提供不同操作时显示屏不同颜色显示的实物照片和经国家认可的第三方检测机构出具的检测报告）</w:t>
            </w:r>
          </w:p>
          <w:p w14:paraId="6CFC89BA">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5、▲药品拆零+整盒管理</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支持按临床需求选配拆零和整盒药品规范管理，每个储药格可根据临床需求配置为单层单列拆零+整盒药格，拆零和整盒药盒独立区分，非同格存储，单列同一个显示屏可同时显示拆零及整盒药品数量。（提供使用现场整机拆零+整盒药盒及显示屏实拍照片，单个显示屏可清晰分别显示拆零及整盒药品数量）。</w:t>
            </w:r>
          </w:p>
          <w:p w14:paraId="2F3C9B42">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6、智能监控计数</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所有药盒可全自动记录药品数量，出库、入库等，非人工记录（即拿即记录）；记录反应时间≤0.5s。</w:t>
            </w:r>
          </w:p>
          <w:p w14:paraId="431D0207">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7、▲药品标识色标管理</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每个货位配置≥3.5英寸彩色电子显示屏，可显示7种色彩，显示屏可清晰显示“毒”“麻”“高危”等国家规定的重要药品标识图片和“看似”“听似”“避光”的重要药品标识图片，单个显示屏支持不同标识图片同时显示功能。（提供显示屏显示不同彩色药品标识的实物照片和经国家认可的第三方检测机构出具的检测报告）</w:t>
            </w:r>
          </w:p>
          <w:p w14:paraId="4AE39238">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8、▲药格显示屏防水功能</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药格显示屏具备防水性能，通过IPX7防水测试。（提供经国家认可的第三方检测机构出具防水测试检测报告，测试报告中包含显示屏侵泡水中实物照片且申请人为智能柜制造商）</w:t>
            </w:r>
          </w:p>
          <w:p w14:paraId="176D59B8">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9、取药错误报警提示</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药品应取、已取数量不符时，软件界面立即提醒，显示屏相应位置红色提示，同时自动触发语音提示取药错误。</w:t>
            </w:r>
          </w:p>
          <w:p w14:paraId="5917A67C">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10、报警装置</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配置报警装置，在断电时也可在被非常规使用或破坏时能报警提示。</w:t>
            </w:r>
          </w:p>
          <w:p w14:paraId="7B5AB730">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11、温度范围</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2~8℃，控温精度0.1℃，温度均匀性≤1.5℃，温度波动性±2℃</w:t>
            </w:r>
          </w:p>
          <w:p w14:paraId="6232ABF7">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12、温湿度调节</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360度无死角循环制冷，风冷无霜。</w:t>
            </w:r>
          </w:p>
          <w:p w14:paraId="4CFC0290">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13、▲温湿度监测与显示</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药柜正面显著位置配置独立的温度和湿度显示屏（非操作显示屏显示）,可分别实时显示柜内存储模块温度和湿度值，当温湿度超过规定范围时可报警提醒（提供柜体正面独立于操作显示屏外的显示温湿度模块的整柜实物照片）</w:t>
            </w:r>
          </w:p>
          <w:p w14:paraId="7AFB345D">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14、▲风冷方式</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冷藏室配置风幕式设计，开门时气流会阻隔外部热空气，有效阻隔外部热空气进入间室，开门时冷藏室温度仍可保证在2-8℃内。（提供风幕式设计风流场图）</w:t>
            </w:r>
          </w:p>
          <w:p w14:paraId="1214BCC3">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15、温湿度预警</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当温、湿度超过预设配置的温度、湿度时，系统可以自动发送信息预警。同时药柜系统、药品管理平台都可以随时查询药柜内的温度、湿度记录。</w:t>
            </w:r>
          </w:p>
          <w:p w14:paraId="409A4AC0">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16、应急锁</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柜体正面配置应急锁，在断电或故障等特殊情况下，可通过应急锁钥匙打开柜门，并保持柜体完整性，无需拆开后盖或其他柜体部件。</w:t>
            </w:r>
          </w:p>
          <w:p w14:paraId="7A326D48">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17、应急锁密码盒</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柜体配置壁挂式钥匙密码盒，用于存储应急钥匙，密码盒使用至少四位密码锁，防止撬动，紧急情况下可通过密码取出钥匙。</w:t>
            </w:r>
          </w:p>
          <w:p w14:paraId="7B975292">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18、▲安全规范</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整柜冷藏模块通过CFDA认证，质量安全符合国家医疗器械管理法规要求，（提供冷藏模块CFDA认证证书和加盖冷藏模块厂商公章的设备运用冷藏模块的使用证明）。</w:t>
            </w:r>
          </w:p>
          <w:p w14:paraId="7747AF22">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19、医疗电源控制</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采用医疗电源相关的专业控制系统，保证药柜操作使用安全。</w:t>
            </w:r>
          </w:p>
          <w:p w14:paraId="1416B48C">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20、电路保护</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具备直流电源马达转动控制模块，保护电路安全，防止过压、过流、过充、过放。</w:t>
            </w:r>
          </w:p>
          <w:p w14:paraId="461928D0">
            <w:pPr>
              <w:pStyle w:val="25"/>
              <w:spacing w:line="360" w:lineRule="auto"/>
              <w:ind w:firstLine="0" w:firstLineChars="0"/>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21、▲电气安全管理</w:t>
            </w:r>
            <w:r>
              <w:rPr>
                <w:rFonts w:hint="default" w:ascii="Times New Roman" w:hAnsi="Times New Roman" w:eastAsia="宋体" w:cs="Times New Roman"/>
                <w:sz w:val="22"/>
                <w:szCs w:val="22"/>
              </w:rPr>
              <w:t>：</w:t>
            </w:r>
            <w:r>
              <w:rPr>
                <w:rFonts w:hint="default" w:ascii="Times New Roman" w:hAnsi="Times New Roman" w:eastAsia="宋体" w:cs="Times New Roman"/>
                <w:kern w:val="0"/>
                <w:sz w:val="22"/>
                <w:szCs w:val="22"/>
              </w:rPr>
              <w:t>产品需通过医疗电气IEC 60601-1、IEC 60601-1-2安全检测标准。（提供智能柜制造商产品IEC医疗电气安全检测报告复印件）</w:t>
            </w:r>
          </w:p>
        </w:tc>
      </w:tr>
      <w:tr w14:paraId="251DB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Merge w:val="continue"/>
            <w:tcBorders>
              <w:bottom w:val="single" w:color="auto" w:sz="4" w:space="0"/>
              <w:tl2br w:val="nil"/>
              <w:tr2bl w:val="nil"/>
            </w:tcBorders>
            <w:vAlign w:val="center"/>
          </w:tcPr>
          <w:p w14:paraId="78BB8798">
            <w:pPr>
              <w:widowControl/>
              <w:spacing w:line="360" w:lineRule="auto"/>
              <w:jc w:val="center"/>
              <w:rPr>
                <w:rFonts w:hint="default" w:ascii="Times New Roman" w:hAnsi="Times New Roman" w:eastAsia="宋体" w:cs="Times New Roman"/>
                <w:b/>
                <w:bCs/>
                <w:kern w:val="0"/>
                <w:sz w:val="22"/>
                <w:szCs w:val="22"/>
              </w:rPr>
            </w:pPr>
          </w:p>
        </w:tc>
        <w:tc>
          <w:tcPr>
            <w:tcW w:w="1147" w:type="dxa"/>
            <w:vMerge w:val="continue"/>
            <w:tcBorders>
              <w:bottom w:val="single" w:color="auto" w:sz="4" w:space="0"/>
              <w:tl2br w:val="nil"/>
              <w:tr2bl w:val="nil"/>
            </w:tcBorders>
            <w:vAlign w:val="center"/>
          </w:tcPr>
          <w:p w14:paraId="4D4DC41C">
            <w:pPr>
              <w:widowControl/>
              <w:spacing w:line="360" w:lineRule="auto"/>
              <w:jc w:val="center"/>
              <w:rPr>
                <w:rFonts w:hint="default" w:ascii="Times New Roman" w:hAnsi="Times New Roman" w:eastAsia="宋体" w:cs="Times New Roman"/>
                <w:b/>
                <w:bCs/>
                <w:kern w:val="0"/>
                <w:sz w:val="22"/>
                <w:szCs w:val="22"/>
              </w:rPr>
            </w:pPr>
          </w:p>
        </w:tc>
        <w:tc>
          <w:tcPr>
            <w:tcW w:w="1023" w:type="dxa"/>
            <w:tcBorders>
              <w:bottom w:val="single" w:color="auto" w:sz="4" w:space="0"/>
              <w:tl2br w:val="nil"/>
              <w:tr2bl w:val="nil"/>
            </w:tcBorders>
            <w:vAlign w:val="center"/>
          </w:tcPr>
          <w:p w14:paraId="3B69439C">
            <w:pPr>
              <w:spacing w:line="360" w:lineRule="auto"/>
              <w:jc w:val="center"/>
              <w:rPr>
                <w:rFonts w:hint="default" w:ascii="Times New Roman" w:hAnsi="Times New Roman" w:eastAsia="宋体" w:cs="Times New Roman"/>
                <w:b/>
                <w:bCs/>
                <w:kern w:val="0"/>
                <w:sz w:val="22"/>
                <w:szCs w:val="22"/>
              </w:rPr>
            </w:pPr>
            <w:r>
              <w:rPr>
                <w:rFonts w:hint="default" w:ascii="Times New Roman" w:hAnsi="Times New Roman" w:eastAsia="宋体" w:cs="Times New Roman"/>
                <w:b/>
                <w:bCs/>
                <w:kern w:val="0"/>
                <w:sz w:val="22"/>
                <w:szCs w:val="22"/>
              </w:rPr>
              <w:t>手术室药房药品管理系统</w:t>
            </w:r>
          </w:p>
        </w:tc>
        <w:tc>
          <w:tcPr>
            <w:tcW w:w="6871" w:type="dxa"/>
            <w:tcBorders>
              <w:bottom w:val="single" w:color="auto" w:sz="4" w:space="0"/>
              <w:tl2br w:val="nil"/>
              <w:tr2bl w:val="nil"/>
            </w:tcBorders>
            <w:vAlign w:val="center"/>
          </w:tcPr>
          <w:p w14:paraId="50537E8E">
            <w:pPr>
              <w:spacing w:line="360" w:lineRule="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1、数据同步：支持与医院信息系统对接，同步科室信息/用户信息/住院患者信息/患者手术信息；</w:t>
            </w:r>
          </w:p>
          <w:p w14:paraId="2E2AE0FC">
            <w:pPr>
              <w:spacing w:line="360" w:lineRule="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2、用户登录：支持用户名密码登录、指纹登录、RFID工卡登录、人脸登录；</w:t>
            </w:r>
          </w:p>
          <w:p w14:paraId="3E05DD64">
            <w:pPr>
              <w:spacing w:line="360" w:lineRule="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3、查询管理：支持查询指定时间范围内所有出入库记录、盘点记录、库存信息、温湿度记录、空瓶记录查询、交接班记录；</w:t>
            </w:r>
          </w:p>
          <w:p w14:paraId="020B27DD">
            <w:pPr>
              <w:spacing w:line="360" w:lineRule="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4、个人中心：支持维护用户登录密码、指纹信息、RFID工卡信息、人脸信息；</w:t>
            </w:r>
          </w:p>
          <w:p w14:paraId="0104F74C">
            <w:pPr>
              <w:spacing w:line="360" w:lineRule="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5、消息通知：支持近效期药品提醒、库存预警、温湿度异常报警；</w:t>
            </w:r>
          </w:p>
          <w:p w14:paraId="368FBFF5">
            <w:pPr>
              <w:spacing w:line="360" w:lineRule="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6、系统设置：支持维护通知设置、药品管控设置、温湿度预警设置、防盗报警设置；</w:t>
            </w:r>
          </w:p>
          <w:p w14:paraId="43C3DDF5">
            <w:pPr>
              <w:spacing w:line="360" w:lineRule="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7、交接日结管理：支持对库存药品、空安瓿、消耗药品信息进行交接，并生成交接班记录，日结信息；</w:t>
            </w:r>
          </w:p>
          <w:p w14:paraId="4C26E36F">
            <w:pPr>
              <w:spacing w:line="360" w:lineRule="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8、补药：支持按入库单补药、按药品位置补药；支持补药时，自动指引补药位置及数量；</w:t>
            </w:r>
          </w:p>
          <w:p w14:paraId="0AEFF497">
            <w:pPr>
              <w:spacing w:line="360" w:lineRule="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9、麻醉医师取药：支持对接手术麻醉系统排班数据，支持取药、还药、空瓶回收、关联患者、核对计费、日清管理、处方管理；</w:t>
            </w:r>
          </w:p>
          <w:p w14:paraId="32870179">
            <w:pPr>
              <w:spacing w:line="360" w:lineRule="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10、盘点：支持盘点库存药品数量，账盘和机盘数量对比，异常提醒。支持修正异常盘点数据，生成盘点记录单；</w:t>
            </w:r>
          </w:p>
          <w:p w14:paraId="005056C7">
            <w:pPr>
              <w:spacing w:line="360" w:lineRule="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11、专账专册管理：支持生成麻醉、第一类精神药品专用账册、使用登记专册、交接班记录表、空安瓿回收登记；</w:t>
            </w:r>
          </w:p>
        </w:tc>
      </w:tr>
      <w:bookmarkEnd w:id="0"/>
    </w:tbl>
    <w:p w14:paraId="013FB601">
      <w:pPr>
        <w:ind w:firstLine="480"/>
      </w:pPr>
    </w:p>
    <w:p w14:paraId="0435F080">
      <w:pPr>
        <w:pStyle w:val="2"/>
        <w:ind w:firstLine="210"/>
      </w:pPr>
    </w:p>
    <w:p w14:paraId="24581174">
      <w:pPr>
        <w:pStyle w:val="4"/>
        <w:numPr>
          <w:numId w:val="0"/>
        </w:numPr>
        <w:ind w:left="0" w:leftChars="0" w:firstLine="0" w:firstLineChars="0"/>
      </w:pPr>
      <w:r>
        <w:rPr>
          <w:rFonts w:hint="eastAsia"/>
        </w:rPr>
        <w:t>配置清单</w:t>
      </w:r>
    </w:p>
    <w:tbl>
      <w:tblPr>
        <w:tblStyle w:val="14"/>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3011"/>
        <w:gridCol w:w="1991"/>
        <w:gridCol w:w="3787"/>
      </w:tblGrid>
      <w:tr w14:paraId="407DE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947" w:type="dxa"/>
            <w:vAlign w:val="center"/>
          </w:tcPr>
          <w:p w14:paraId="61A261E4">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序号</w:t>
            </w:r>
          </w:p>
        </w:tc>
        <w:tc>
          <w:tcPr>
            <w:tcW w:w="3011" w:type="dxa"/>
            <w:vAlign w:val="center"/>
          </w:tcPr>
          <w:p w14:paraId="2D926512">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名称</w:t>
            </w:r>
          </w:p>
        </w:tc>
        <w:tc>
          <w:tcPr>
            <w:tcW w:w="1991" w:type="dxa"/>
            <w:vAlign w:val="center"/>
          </w:tcPr>
          <w:p w14:paraId="643C41A6">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数量</w:t>
            </w:r>
          </w:p>
        </w:tc>
        <w:tc>
          <w:tcPr>
            <w:tcW w:w="3787" w:type="dxa"/>
            <w:vAlign w:val="center"/>
          </w:tcPr>
          <w:p w14:paraId="76AF5C89">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配置</w:t>
            </w:r>
          </w:p>
        </w:tc>
      </w:tr>
      <w:tr w14:paraId="6B5B8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Align w:val="center"/>
          </w:tcPr>
          <w:p w14:paraId="3A3F1234">
            <w:pPr>
              <w:pStyle w:val="25"/>
              <w:widowControl/>
              <w:numPr>
                <w:ilvl w:val="0"/>
                <w:numId w:val="2"/>
              </w:numPr>
              <w:spacing w:line="360" w:lineRule="auto"/>
              <w:ind w:firstLineChars="0"/>
              <w:jc w:val="center"/>
              <w:rPr>
                <w:rFonts w:hint="eastAsia" w:ascii="宋体" w:hAnsi="宋体" w:eastAsia="宋体" w:cs="宋体"/>
                <w:b w:val="0"/>
                <w:bCs w:val="0"/>
                <w:kern w:val="0"/>
                <w:sz w:val="22"/>
                <w:szCs w:val="20"/>
              </w:rPr>
            </w:pPr>
          </w:p>
        </w:tc>
        <w:tc>
          <w:tcPr>
            <w:tcW w:w="3011" w:type="dxa"/>
            <w:vAlign w:val="center"/>
          </w:tcPr>
          <w:p w14:paraId="20AA25AA">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智能药品管控柜</w:t>
            </w:r>
          </w:p>
        </w:tc>
        <w:tc>
          <w:tcPr>
            <w:tcW w:w="1991" w:type="dxa"/>
            <w:vAlign w:val="center"/>
          </w:tcPr>
          <w:p w14:paraId="3A73BD41">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2台</w:t>
            </w:r>
          </w:p>
        </w:tc>
        <w:tc>
          <w:tcPr>
            <w:tcW w:w="3787" w:type="dxa"/>
            <w:vAlign w:val="center"/>
          </w:tcPr>
          <w:p w14:paraId="05303FEF">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主控系统：1套</w:t>
            </w:r>
          </w:p>
          <w:p w14:paraId="271154B8">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用户交互模组：1套</w:t>
            </w:r>
          </w:p>
          <w:p w14:paraId="5EEBE6B7">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电源管理系统：1套</w:t>
            </w:r>
          </w:p>
          <w:p w14:paraId="1AFEEC73">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震动报警系统：1套</w:t>
            </w:r>
          </w:p>
          <w:p w14:paraId="40C1B5D1">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智能药品管控柜标准柜体：1套</w:t>
            </w:r>
          </w:p>
          <w:p w14:paraId="6268FC0C">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抽屉组件：1套</w:t>
            </w:r>
          </w:p>
          <w:p w14:paraId="709A527D">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固定配件：1套</w:t>
            </w:r>
          </w:p>
        </w:tc>
      </w:tr>
      <w:tr w14:paraId="665D5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Align w:val="center"/>
          </w:tcPr>
          <w:p w14:paraId="318EE4DE">
            <w:pPr>
              <w:pStyle w:val="25"/>
              <w:widowControl/>
              <w:numPr>
                <w:ilvl w:val="0"/>
                <w:numId w:val="2"/>
              </w:numPr>
              <w:spacing w:line="360" w:lineRule="auto"/>
              <w:ind w:firstLineChars="0"/>
              <w:jc w:val="center"/>
              <w:rPr>
                <w:rFonts w:hint="eastAsia" w:ascii="宋体" w:hAnsi="宋体" w:eastAsia="宋体" w:cs="宋体"/>
                <w:b w:val="0"/>
                <w:bCs w:val="0"/>
                <w:kern w:val="0"/>
                <w:sz w:val="22"/>
                <w:szCs w:val="20"/>
              </w:rPr>
            </w:pPr>
          </w:p>
        </w:tc>
        <w:tc>
          <w:tcPr>
            <w:tcW w:w="3011" w:type="dxa"/>
            <w:vAlign w:val="center"/>
          </w:tcPr>
          <w:p w14:paraId="51EEF5EF">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智能药品保险柜</w:t>
            </w:r>
          </w:p>
        </w:tc>
        <w:tc>
          <w:tcPr>
            <w:tcW w:w="1991" w:type="dxa"/>
            <w:vAlign w:val="center"/>
          </w:tcPr>
          <w:p w14:paraId="575DB122">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1台</w:t>
            </w:r>
          </w:p>
        </w:tc>
        <w:tc>
          <w:tcPr>
            <w:tcW w:w="3787" w:type="dxa"/>
            <w:vAlign w:val="center"/>
          </w:tcPr>
          <w:p w14:paraId="406140FD">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电源显示系统：1套</w:t>
            </w:r>
          </w:p>
          <w:p w14:paraId="6E07095E">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震动报警系统：1套</w:t>
            </w:r>
          </w:p>
          <w:p w14:paraId="1EFF44BA">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智能药品保险柜标准柜体：1套</w:t>
            </w:r>
          </w:p>
          <w:p w14:paraId="41FC4480">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储药层组件：1套</w:t>
            </w:r>
          </w:p>
          <w:p w14:paraId="7DF62102">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固定配件：1套</w:t>
            </w:r>
          </w:p>
        </w:tc>
      </w:tr>
      <w:tr w14:paraId="55FEE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Align w:val="center"/>
          </w:tcPr>
          <w:p w14:paraId="2603891A">
            <w:pPr>
              <w:pStyle w:val="25"/>
              <w:widowControl/>
              <w:numPr>
                <w:ilvl w:val="0"/>
                <w:numId w:val="2"/>
              </w:numPr>
              <w:spacing w:line="360" w:lineRule="auto"/>
              <w:ind w:firstLineChars="0"/>
              <w:jc w:val="center"/>
              <w:rPr>
                <w:rFonts w:hint="eastAsia" w:ascii="宋体" w:hAnsi="宋体" w:eastAsia="宋体" w:cs="宋体"/>
                <w:b w:val="0"/>
                <w:bCs w:val="0"/>
                <w:kern w:val="0"/>
                <w:sz w:val="22"/>
                <w:szCs w:val="20"/>
              </w:rPr>
            </w:pPr>
          </w:p>
        </w:tc>
        <w:tc>
          <w:tcPr>
            <w:tcW w:w="3011" w:type="dxa"/>
            <w:vAlign w:val="center"/>
          </w:tcPr>
          <w:p w14:paraId="70AF6809">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智能药品单元柜</w:t>
            </w:r>
          </w:p>
        </w:tc>
        <w:tc>
          <w:tcPr>
            <w:tcW w:w="1991" w:type="dxa"/>
            <w:vAlign w:val="center"/>
          </w:tcPr>
          <w:p w14:paraId="143706F3">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2台</w:t>
            </w:r>
          </w:p>
        </w:tc>
        <w:tc>
          <w:tcPr>
            <w:tcW w:w="3787" w:type="dxa"/>
            <w:vAlign w:val="center"/>
          </w:tcPr>
          <w:p w14:paraId="1E125E7D">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电源管理系统：1套</w:t>
            </w:r>
          </w:p>
          <w:p w14:paraId="41BF9C74">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震动报警系统：1套</w:t>
            </w:r>
          </w:p>
          <w:p w14:paraId="6EE1ED12">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智能药品单元柜标准柜体：1套</w:t>
            </w:r>
          </w:p>
          <w:p w14:paraId="6C50D10F">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储药层组件：1套</w:t>
            </w:r>
          </w:p>
          <w:p w14:paraId="737120A9">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固定配件：1套</w:t>
            </w:r>
          </w:p>
        </w:tc>
      </w:tr>
      <w:tr w14:paraId="369C7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Align w:val="center"/>
          </w:tcPr>
          <w:p w14:paraId="2F419870">
            <w:pPr>
              <w:pStyle w:val="25"/>
              <w:widowControl/>
              <w:numPr>
                <w:ilvl w:val="0"/>
                <w:numId w:val="2"/>
              </w:numPr>
              <w:spacing w:line="360" w:lineRule="auto"/>
              <w:ind w:firstLineChars="0"/>
              <w:jc w:val="center"/>
              <w:rPr>
                <w:rFonts w:hint="eastAsia" w:ascii="宋体" w:hAnsi="宋体" w:eastAsia="宋体" w:cs="宋体"/>
                <w:b w:val="0"/>
                <w:bCs w:val="0"/>
                <w:kern w:val="0"/>
                <w:sz w:val="22"/>
                <w:szCs w:val="20"/>
              </w:rPr>
            </w:pPr>
          </w:p>
        </w:tc>
        <w:tc>
          <w:tcPr>
            <w:tcW w:w="3011" w:type="dxa"/>
            <w:vAlign w:val="center"/>
          </w:tcPr>
          <w:p w14:paraId="0281BC2F">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智能药品冷藏柜</w:t>
            </w:r>
          </w:p>
        </w:tc>
        <w:tc>
          <w:tcPr>
            <w:tcW w:w="1991" w:type="dxa"/>
            <w:vAlign w:val="center"/>
          </w:tcPr>
          <w:p w14:paraId="461D1317">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1台</w:t>
            </w:r>
          </w:p>
        </w:tc>
        <w:tc>
          <w:tcPr>
            <w:tcW w:w="3787" w:type="dxa"/>
            <w:vAlign w:val="center"/>
          </w:tcPr>
          <w:p w14:paraId="64724627">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电源管理系统：1套</w:t>
            </w:r>
          </w:p>
          <w:p w14:paraId="0EFA2D1F">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震动报警系统：1套</w:t>
            </w:r>
          </w:p>
          <w:p w14:paraId="2EA1C7C5">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智能药品冷藏柜标准柜体：1套</w:t>
            </w:r>
          </w:p>
          <w:p w14:paraId="0F798B50">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储药层组件：1套</w:t>
            </w:r>
          </w:p>
          <w:p w14:paraId="44E23F20">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固定配件：1套</w:t>
            </w:r>
          </w:p>
        </w:tc>
      </w:tr>
      <w:tr w14:paraId="5817E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vAlign w:val="center"/>
          </w:tcPr>
          <w:p w14:paraId="2BB0CB7C">
            <w:pPr>
              <w:pStyle w:val="25"/>
              <w:widowControl/>
              <w:numPr>
                <w:ilvl w:val="0"/>
                <w:numId w:val="2"/>
              </w:numPr>
              <w:spacing w:line="360" w:lineRule="auto"/>
              <w:ind w:firstLineChars="0"/>
              <w:jc w:val="center"/>
              <w:rPr>
                <w:rFonts w:hint="eastAsia" w:ascii="宋体" w:hAnsi="宋体" w:eastAsia="宋体" w:cs="宋体"/>
                <w:b w:val="0"/>
                <w:bCs w:val="0"/>
                <w:kern w:val="0"/>
                <w:sz w:val="22"/>
                <w:szCs w:val="20"/>
              </w:rPr>
            </w:pPr>
          </w:p>
        </w:tc>
        <w:tc>
          <w:tcPr>
            <w:tcW w:w="3011" w:type="dxa"/>
            <w:vAlign w:val="center"/>
          </w:tcPr>
          <w:p w14:paraId="387B2379">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手术室药房药品管理系统</w:t>
            </w:r>
          </w:p>
        </w:tc>
        <w:tc>
          <w:tcPr>
            <w:tcW w:w="1991" w:type="dxa"/>
            <w:vAlign w:val="center"/>
          </w:tcPr>
          <w:p w14:paraId="670CA11C">
            <w:pPr>
              <w:widowControl/>
              <w:spacing w:line="360" w:lineRule="auto"/>
              <w:jc w:val="center"/>
              <w:rPr>
                <w:rFonts w:hint="eastAsia" w:ascii="宋体" w:hAnsi="宋体" w:eastAsia="宋体" w:cs="宋体"/>
                <w:b w:val="0"/>
                <w:bCs w:val="0"/>
                <w:kern w:val="0"/>
                <w:sz w:val="22"/>
                <w:szCs w:val="20"/>
              </w:rPr>
            </w:pPr>
            <w:r>
              <w:rPr>
                <w:rFonts w:hint="eastAsia" w:ascii="宋体" w:hAnsi="宋体" w:eastAsia="宋体" w:cs="宋体"/>
                <w:b w:val="0"/>
                <w:bCs w:val="0"/>
                <w:kern w:val="0"/>
                <w:sz w:val="22"/>
                <w:szCs w:val="20"/>
              </w:rPr>
              <w:t>1套</w:t>
            </w:r>
          </w:p>
        </w:tc>
        <w:tc>
          <w:tcPr>
            <w:tcW w:w="3787" w:type="dxa"/>
            <w:vAlign w:val="center"/>
          </w:tcPr>
          <w:p w14:paraId="6A8DAC4D">
            <w:pPr>
              <w:widowControl/>
              <w:spacing w:line="360" w:lineRule="auto"/>
              <w:jc w:val="center"/>
              <w:rPr>
                <w:rFonts w:hint="eastAsia" w:ascii="宋体" w:hAnsi="宋体" w:eastAsia="宋体" w:cs="宋体"/>
                <w:b w:val="0"/>
                <w:bCs w:val="0"/>
                <w:kern w:val="0"/>
                <w:sz w:val="22"/>
                <w:szCs w:val="20"/>
              </w:rPr>
            </w:pPr>
          </w:p>
        </w:tc>
      </w:tr>
    </w:tbl>
    <w:p w14:paraId="28E629BC">
      <w:pPr>
        <w:pStyle w:val="2"/>
        <w:ind w:firstLine="0" w:firstLineChars="0"/>
      </w:pPr>
    </w:p>
    <w:p w14:paraId="20DBD02A">
      <w:pPr>
        <w:pStyle w:val="5"/>
        <w:numPr>
          <w:numId w:val="0"/>
        </w:numPr>
        <w:bidi w:val="0"/>
        <w:ind w:left="0" w:leftChars="0" w:firstLine="0" w:firstLineChars="0"/>
        <w:jc w:val="center"/>
      </w:pPr>
      <w:r>
        <w:rPr>
          <w:rFonts w:hint="eastAsia"/>
        </w:rPr>
        <w:t>设备配套耗材试剂情况</w:t>
      </w:r>
    </w:p>
    <w:p w14:paraId="2BCD9DF2">
      <w:pPr>
        <w:jc w:val="left"/>
        <w:rPr>
          <w:rFonts w:hint="eastAsia" w:ascii="宋体" w:hAnsi="宋体" w:cs="宋体"/>
          <w:b/>
          <w:bCs/>
          <w:kern w:val="0"/>
          <w:sz w:val="24"/>
          <w:szCs w:val="24"/>
        </w:rPr>
      </w:pPr>
      <w:r>
        <w:rPr>
          <w:rFonts w:hint="eastAsia" w:ascii="宋体" w:hAnsi="宋体" w:cs="宋体"/>
          <w:b/>
          <w:bCs/>
          <w:kern w:val="0"/>
          <w:sz w:val="28"/>
          <w:szCs w:val="28"/>
        </w:rPr>
        <w:t xml:space="preserve">配套耗材或试剂  （开放□ </w:t>
      </w:r>
      <w:r>
        <w:rPr>
          <w:rFonts w:ascii="宋体" w:hAnsi="宋体" w:cs="宋体"/>
          <w:b/>
          <w:bCs/>
          <w:kern w:val="0"/>
          <w:sz w:val="28"/>
          <w:szCs w:val="28"/>
        </w:rPr>
        <w:t xml:space="preserve">  </w:t>
      </w:r>
      <w:r>
        <w:rPr>
          <w:rFonts w:hint="eastAsia" w:ascii="宋体" w:hAnsi="宋体" w:cs="宋体"/>
          <w:b/>
          <w:bCs/>
          <w:kern w:val="0"/>
          <w:sz w:val="28"/>
          <w:szCs w:val="28"/>
        </w:rPr>
        <w:t xml:space="preserve">专用□ </w:t>
      </w:r>
      <w:r>
        <w:rPr>
          <w:rFonts w:ascii="宋体" w:hAnsi="宋体" w:cs="宋体"/>
          <w:b/>
          <w:bCs/>
          <w:kern w:val="0"/>
          <w:sz w:val="28"/>
          <w:szCs w:val="28"/>
        </w:rPr>
        <w:t xml:space="preserve"> </w:t>
      </w:r>
      <w:r>
        <w:rPr>
          <w:rFonts w:hint="eastAsia" w:ascii="宋体" w:hAnsi="宋体" w:cs="宋体"/>
          <w:b/>
          <w:bCs/>
          <w:kern w:val="0"/>
          <w:sz w:val="28"/>
          <w:szCs w:val="28"/>
        </w:rPr>
        <w:t xml:space="preserve"> 无☑） </w:t>
      </w:r>
    </w:p>
    <w:p w14:paraId="0A3119B8">
      <w:pPr>
        <w:jc w:val="left"/>
        <w:rPr>
          <w:rFonts w:hint="eastAsia" w:ascii="宋体" w:hAnsi="宋体" w:cs="宋体"/>
          <w:b/>
          <w:bCs/>
          <w:kern w:val="0"/>
          <w:sz w:val="24"/>
          <w:szCs w:val="24"/>
        </w:rPr>
      </w:pPr>
      <w:r>
        <w:rPr>
          <w:rFonts w:hint="eastAsia" w:ascii="宋体" w:hAnsi="宋体" w:cs="宋体"/>
          <w:b/>
          <w:bCs/>
          <w:kern w:val="0"/>
          <w:sz w:val="24"/>
          <w:szCs w:val="24"/>
        </w:rPr>
        <w:t>配套耗材</w:t>
      </w:r>
    </w:p>
    <w:tbl>
      <w:tblPr>
        <w:tblStyle w:val="13"/>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14:paraId="07FF1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14:paraId="18B4624A">
            <w:pPr>
              <w:jc w:val="center"/>
              <w:rPr>
                <w:rFonts w:ascii="Times New Roman" w:hAnsi="Times New Roman"/>
                <w:b/>
                <w:sz w:val="22"/>
              </w:rPr>
            </w:pPr>
            <w:r>
              <w:rPr>
                <w:rFonts w:ascii="Times New Roman" w:hAnsi="Times New Roman"/>
                <w:b/>
                <w:sz w:val="22"/>
              </w:rPr>
              <w:t>序号</w:t>
            </w:r>
          </w:p>
        </w:tc>
        <w:tc>
          <w:tcPr>
            <w:tcW w:w="5094" w:type="dxa"/>
            <w:vAlign w:val="center"/>
          </w:tcPr>
          <w:p w14:paraId="5B2B7E6F">
            <w:pPr>
              <w:jc w:val="center"/>
              <w:rPr>
                <w:rFonts w:ascii="Times New Roman" w:hAnsi="Times New Roman"/>
                <w:b/>
                <w:sz w:val="22"/>
              </w:rPr>
            </w:pPr>
            <w:r>
              <w:rPr>
                <w:rFonts w:ascii="Times New Roman" w:hAnsi="Times New Roman"/>
                <w:b/>
                <w:sz w:val="22"/>
              </w:rPr>
              <w:t>名称</w:t>
            </w:r>
          </w:p>
        </w:tc>
        <w:tc>
          <w:tcPr>
            <w:tcW w:w="1985" w:type="dxa"/>
            <w:vAlign w:val="center"/>
          </w:tcPr>
          <w:p w14:paraId="2E9E4217">
            <w:pPr>
              <w:jc w:val="center"/>
              <w:rPr>
                <w:rFonts w:ascii="Times New Roman" w:hAnsi="Times New Roman"/>
                <w:b/>
                <w:sz w:val="22"/>
              </w:rPr>
            </w:pPr>
            <w:r>
              <w:rPr>
                <w:rFonts w:ascii="Times New Roman" w:hAnsi="Times New Roman"/>
                <w:b/>
                <w:sz w:val="22"/>
              </w:rPr>
              <w:t>单位</w:t>
            </w:r>
          </w:p>
        </w:tc>
        <w:tc>
          <w:tcPr>
            <w:tcW w:w="2126" w:type="dxa"/>
            <w:vAlign w:val="center"/>
          </w:tcPr>
          <w:p w14:paraId="085A3710">
            <w:pPr>
              <w:jc w:val="center"/>
              <w:rPr>
                <w:rFonts w:ascii="Times New Roman" w:hAnsi="Times New Roman"/>
                <w:b/>
                <w:sz w:val="22"/>
              </w:rPr>
            </w:pPr>
            <w:r>
              <w:rPr>
                <w:rFonts w:ascii="Times New Roman" w:hAnsi="Times New Roman"/>
                <w:b/>
                <w:sz w:val="22"/>
              </w:rPr>
              <w:t>预算单价（元）</w:t>
            </w:r>
          </w:p>
        </w:tc>
      </w:tr>
      <w:tr w14:paraId="0746E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0" w:type="dxa"/>
            <w:vAlign w:val="center"/>
          </w:tcPr>
          <w:p w14:paraId="60470637">
            <w:pPr>
              <w:jc w:val="center"/>
              <w:rPr>
                <w:rFonts w:ascii="Times New Roman" w:hAnsi="Times New Roman"/>
                <w:b/>
                <w:sz w:val="22"/>
              </w:rPr>
            </w:pPr>
            <w:r>
              <w:rPr>
                <w:rFonts w:ascii="Times New Roman" w:hAnsi="Times New Roman"/>
                <w:b/>
                <w:sz w:val="22"/>
              </w:rPr>
              <w:t>1</w:t>
            </w:r>
          </w:p>
        </w:tc>
        <w:tc>
          <w:tcPr>
            <w:tcW w:w="5094" w:type="dxa"/>
            <w:vAlign w:val="center"/>
          </w:tcPr>
          <w:p w14:paraId="1FC6619F">
            <w:pPr>
              <w:jc w:val="center"/>
              <w:rPr>
                <w:rFonts w:ascii="仿宋_GB2312" w:hAnsi="Times New Roman" w:eastAsia="仿宋_GB2312"/>
                <w:sz w:val="24"/>
                <w:szCs w:val="21"/>
              </w:rPr>
            </w:pPr>
            <w:r>
              <w:rPr>
                <w:rFonts w:hint="eastAsia" w:ascii="仿宋_GB2312" w:hAnsi="Times New Roman" w:eastAsia="仿宋_GB2312"/>
                <w:sz w:val="24"/>
                <w:szCs w:val="21"/>
              </w:rPr>
              <w:t>/</w:t>
            </w:r>
          </w:p>
        </w:tc>
        <w:tc>
          <w:tcPr>
            <w:tcW w:w="1985" w:type="dxa"/>
            <w:vAlign w:val="center"/>
          </w:tcPr>
          <w:p w14:paraId="189BCAFC">
            <w:pPr>
              <w:jc w:val="center"/>
              <w:rPr>
                <w:rFonts w:ascii="仿宋_GB2312" w:hAnsi="Times New Roman" w:eastAsia="仿宋_GB2312"/>
                <w:sz w:val="24"/>
                <w:szCs w:val="21"/>
              </w:rPr>
            </w:pPr>
            <w:r>
              <w:rPr>
                <w:rFonts w:hint="eastAsia" w:ascii="仿宋_GB2312" w:hAnsi="Times New Roman" w:eastAsia="仿宋_GB2312"/>
                <w:sz w:val="24"/>
                <w:szCs w:val="21"/>
              </w:rPr>
              <w:t>/</w:t>
            </w:r>
          </w:p>
        </w:tc>
        <w:tc>
          <w:tcPr>
            <w:tcW w:w="2126" w:type="dxa"/>
            <w:vAlign w:val="center"/>
          </w:tcPr>
          <w:p w14:paraId="2BC6DE32">
            <w:pPr>
              <w:jc w:val="center"/>
              <w:rPr>
                <w:rFonts w:ascii="仿宋_GB2312" w:hAnsi="Times New Roman" w:eastAsia="仿宋_GB2312"/>
                <w:sz w:val="24"/>
                <w:szCs w:val="21"/>
              </w:rPr>
            </w:pPr>
            <w:r>
              <w:rPr>
                <w:rFonts w:hint="eastAsia" w:ascii="仿宋_GB2312" w:hAnsi="Times New Roman" w:eastAsia="仿宋_GB2312"/>
                <w:sz w:val="24"/>
                <w:szCs w:val="21"/>
              </w:rPr>
              <w:t>/</w:t>
            </w:r>
          </w:p>
        </w:tc>
      </w:tr>
    </w:tbl>
    <w:p w14:paraId="45A2EB0A">
      <w:pPr>
        <w:jc w:val="left"/>
        <w:rPr>
          <w:rFonts w:ascii="Times New Roman" w:hAnsi="Times New Roman"/>
          <w:szCs w:val="21"/>
        </w:rPr>
      </w:pPr>
    </w:p>
    <w:p w14:paraId="161FC6B6">
      <w:pPr>
        <w:jc w:val="left"/>
        <w:rPr>
          <w:rFonts w:hint="eastAsia" w:ascii="宋体" w:hAnsi="宋体" w:cs="宋体"/>
          <w:b/>
          <w:bCs/>
          <w:kern w:val="0"/>
          <w:sz w:val="24"/>
          <w:szCs w:val="24"/>
        </w:rPr>
      </w:pPr>
      <w:r>
        <w:rPr>
          <w:rFonts w:hint="eastAsia" w:ascii="宋体" w:hAnsi="宋体" w:cs="宋体"/>
          <w:b/>
          <w:bCs/>
          <w:kern w:val="0"/>
          <w:sz w:val="24"/>
          <w:szCs w:val="24"/>
        </w:rPr>
        <w:t xml:space="preserve">配套试剂 </w:t>
      </w:r>
    </w:p>
    <w:tbl>
      <w:tblPr>
        <w:tblStyle w:val="13"/>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14:paraId="7B5C0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14:paraId="5C16F30E">
            <w:pPr>
              <w:jc w:val="center"/>
              <w:rPr>
                <w:rFonts w:ascii="Times New Roman" w:hAnsi="Times New Roman"/>
                <w:b/>
                <w:sz w:val="22"/>
              </w:rPr>
            </w:pPr>
            <w:r>
              <w:rPr>
                <w:rFonts w:ascii="Times New Roman" w:hAnsi="Times New Roman"/>
                <w:b/>
                <w:sz w:val="22"/>
              </w:rPr>
              <w:t>序号</w:t>
            </w:r>
          </w:p>
        </w:tc>
        <w:tc>
          <w:tcPr>
            <w:tcW w:w="5094" w:type="dxa"/>
            <w:vAlign w:val="center"/>
          </w:tcPr>
          <w:p w14:paraId="7777501A">
            <w:pPr>
              <w:jc w:val="center"/>
              <w:rPr>
                <w:rFonts w:ascii="Times New Roman" w:hAnsi="Times New Roman"/>
                <w:b/>
                <w:sz w:val="22"/>
              </w:rPr>
            </w:pPr>
            <w:r>
              <w:rPr>
                <w:rFonts w:ascii="Times New Roman" w:hAnsi="Times New Roman"/>
                <w:b/>
                <w:sz w:val="22"/>
              </w:rPr>
              <w:t>名称</w:t>
            </w:r>
          </w:p>
        </w:tc>
        <w:tc>
          <w:tcPr>
            <w:tcW w:w="1985" w:type="dxa"/>
            <w:vAlign w:val="center"/>
          </w:tcPr>
          <w:p w14:paraId="3748E47D">
            <w:pPr>
              <w:jc w:val="center"/>
              <w:rPr>
                <w:rFonts w:ascii="Times New Roman" w:hAnsi="Times New Roman"/>
                <w:b/>
                <w:sz w:val="22"/>
              </w:rPr>
            </w:pPr>
            <w:r>
              <w:rPr>
                <w:rFonts w:ascii="Times New Roman" w:hAnsi="Times New Roman"/>
                <w:b/>
                <w:sz w:val="22"/>
              </w:rPr>
              <w:t>单位</w:t>
            </w:r>
          </w:p>
        </w:tc>
        <w:tc>
          <w:tcPr>
            <w:tcW w:w="2126" w:type="dxa"/>
            <w:vAlign w:val="center"/>
          </w:tcPr>
          <w:p w14:paraId="027270BF">
            <w:pPr>
              <w:jc w:val="center"/>
              <w:rPr>
                <w:rFonts w:ascii="Times New Roman" w:hAnsi="Times New Roman"/>
                <w:b/>
                <w:sz w:val="22"/>
              </w:rPr>
            </w:pPr>
            <w:r>
              <w:rPr>
                <w:rFonts w:ascii="Times New Roman" w:hAnsi="Times New Roman"/>
                <w:b/>
                <w:sz w:val="22"/>
              </w:rPr>
              <w:t>预算单价（元）</w:t>
            </w:r>
          </w:p>
        </w:tc>
      </w:tr>
      <w:tr w14:paraId="15628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0" w:type="dxa"/>
            <w:vAlign w:val="center"/>
          </w:tcPr>
          <w:p w14:paraId="139ECD32">
            <w:pPr>
              <w:jc w:val="center"/>
              <w:rPr>
                <w:rFonts w:ascii="Times New Roman" w:hAnsi="Times New Roman"/>
                <w:b/>
                <w:sz w:val="22"/>
              </w:rPr>
            </w:pPr>
            <w:r>
              <w:rPr>
                <w:rFonts w:ascii="Times New Roman" w:hAnsi="Times New Roman"/>
                <w:b/>
                <w:sz w:val="22"/>
              </w:rPr>
              <w:t>1</w:t>
            </w:r>
          </w:p>
        </w:tc>
        <w:tc>
          <w:tcPr>
            <w:tcW w:w="5094" w:type="dxa"/>
            <w:vAlign w:val="center"/>
          </w:tcPr>
          <w:p w14:paraId="4E32B521">
            <w:pPr>
              <w:jc w:val="center"/>
              <w:rPr>
                <w:rFonts w:ascii="仿宋_GB2312" w:hAnsi="Times New Roman" w:eastAsia="仿宋_GB2312"/>
                <w:sz w:val="24"/>
                <w:szCs w:val="21"/>
              </w:rPr>
            </w:pPr>
            <w:r>
              <w:rPr>
                <w:rFonts w:hint="eastAsia" w:ascii="仿宋_GB2312" w:hAnsi="Times New Roman" w:eastAsia="仿宋_GB2312"/>
                <w:sz w:val="24"/>
                <w:szCs w:val="21"/>
              </w:rPr>
              <w:t>/</w:t>
            </w:r>
          </w:p>
        </w:tc>
        <w:tc>
          <w:tcPr>
            <w:tcW w:w="1985" w:type="dxa"/>
            <w:vAlign w:val="center"/>
          </w:tcPr>
          <w:p w14:paraId="0A5B9526">
            <w:pPr>
              <w:jc w:val="center"/>
              <w:rPr>
                <w:rFonts w:ascii="仿宋_GB2312" w:hAnsi="Times New Roman" w:eastAsia="仿宋_GB2312"/>
                <w:sz w:val="24"/>
                <w:szCs w:val="21"/>
              </w:rPr>
            </w:pPr>
            <w:r>
              <w:rPr>
                <w:rFonts w:hint="eastAsia" w:ascii="仿宋_GB2312" w:hAnsi="Times New Roman" w:eastAsia="仿宋_GB2312"/>
                <w:sz w:val="24"/>
                <w:szCs w:val="21"/>
              </w:rPr>
              <w:t>/</w:t>
            </w:r>
          </w:p>
        </w:tc>
        <w:tc>
          <w:tcPr>
            <w:tcW w:w="2126" w:type="dxa"/>
            <w:vAlign w:val="center"/>
          </w:tcPr>
          <w:p w14:paraId="76758454">
            <w:pPr>
              <w:jc w:val="center"/>
              <w:rPr>
                <w:rFonts w:ascii="仿宋_GB2312" w:hAnsi="Times New Roman" w:eastAsia="仿宋_GB2312"/>
                <w:sz w:val="24"/>
                <w:szCs w:val="21"/>
              </w:rPr>
            </w:pPr>
            <w:r>
              <w:rPr>
                <w:rFonts w:hint="eastAsia" w:ascii="仿宋_GB2312" w:hAnsi="Times New Roman" w:eastAsia="仿宋_GB2312"/>
                <w:sz w:val="24"/>
                <w:szCs w:val="21"/>
              </w:rPr>
              <w:t>/</w:t>
            </w:r>
          </w:p>
        </w:tc>
      </w:tr>
    </w:tbl>
    <w:p w14:paraId="00CF6241">
      <w:pPr>
        <w:jc w:val="center"/>
        <w:rPr>
          <w:rFonts w:hint="eastAsia" w:ascii="微软雅黑" w:hAnsi="微软雅黑" w:eastAsia="微软雅黑" w:cs="宋体"/>
          <w:color w:val="3F3F3F"/>
          <w:kern w:val="0"/>
          <w:szCs w:val="21"/>
        </w:rPr>
      </w:pPr>
    </w:p>
    <w:p w14:paraId="2EF8F5BC">
      <w:pPr>
        <w:pStyle w:val="2"/>
        <w:ind w:firstLine="0" w:firstLineChars="0"/>
      </w:pPr>
    </w:p>
    <w:sectPr>
      <w:pgSz w:w="11906" w:h="16838"/>
      <w:pgMar w:top="1418" w:right="1418" w:bottom="1418" w:left="1418" w:header="851" w:footer="992" w:gutter="0"/>
      <w:cols w:space="425" w:num="1"/>
      <w:docGrid w:type="linesAndChar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4A3EB3"/>
    <w:multiLevelType w:val="multilevel"/>
    <w:tmpl w:val="3B4A3EB3"/>
    <w:lvl w:ilvl="0" w:tentative="0">
      <w:start w:val="1"/>
      <w:numFmt w:val="decimal"/>
      <w:suff w:val="nothing"/>
      <w:lvlText w:val="%1"/>
      <w:lvlJc w:val="center"/>
      <w:pPr>
        <w:ind w:left="0" w:firstLine="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56E4358C"/>
    <w:multiLevelType w:val="multilevel"/>
    <w:tmpl w:val="56E4358C"/>
    <w:lvl w:ilvl="0" w:tentative="0">
      <w:start w:val="1"/>
      <w:numFmt w:val="decimal"/>
      <w:pStyle w:val="4"/>
      <w:lvlText w:val="%1、"/>
      <w:lvlJc w:val="left"/>
      <w:pPr>
        <w:ind w:left="0" w:firstLine="0"/>
      </w:pPr>
      <w:rPr>
        <w:rFonts w:hint="eastAsia" w:ascii="楷体" w:hAnsi="楷体" w:eastAsia="楷体"/>
        <w:b/>
        <w:i w:val="0"/>
        <w:sz w:val="36"/>
      </w:rPr>
    </w:lvl>
    <w:lvl w:ilvl="1" w:tentative="0">
      <w:start w:val="1"/>
      <w:numFmt w:val="decimal"/>
      <w:pStyle w:val="5"/>
      <w:lvlText w:val="%1.%2"/>
      <w:lvlJc w:val="left"/>
      <w:pPr>
        <w:ind w:left="992" w:hanging="567"/>
      </w:pPr>
      <w:rPr>
        <w:rFonts w:hint="eastAsia" w:ascii="楷体" w:hAnsi="楷体" w:eastAsia="楷体"/>
        <w:b/>
        <w:i w:val="0"/>
        <w:sz w:val="32"/>
      </w:rPr>
    </w:lvl>
    <w:lvl w:ilvl="2" w:tentative="0">
      <w:start w:val="1"/>
      <w:numFmt w:val="decimal"/>
      <w:pStyle w:val="6"/>
      <w:lvlText w:val="%1.%2.%3"/>
      <w:lvlJc w:val="left"/>
      <w:pPr>
        <w:ind w:left="1418" w:hanging="567"/>
      </w:pPr>
      <w:rPr>
        <w:rFonts w:hint="eastAsia" w:ascii="楷体" w:hAnsi="楷体" w:eastAsia="楷体"/>
        <w:b/>
        <w:i w:val="0"/>
        <w:sz w:val="28"/>
      </w:rPr>
    </w:lvl>
    <w:lvl w:ilvl="3" w:tentative="0">
      <w:start w:val="1"/>
      <w:numFmt w:val="decimal"/>
      <w:pStyle w:val="7"/>
      <w:lvlText w:val="%1.%2.%3.%4"/>
      <w:lvlJc w:val="left"/>
      <w:pPr>
        <w:ind w:left="1984" w:hanging="708"/>
      </w:pPr>
      <w:rPr>
        <w:rFonts w:hint="eastAsia" w:ascii="楷体" w:hAnsi="楷体" w:eastAsia="楷体"/>
        <w:b/>
        <w:i w:val="0"/>
        <w:sz w:val="24"/>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332063"/>
    <w:rsid w:val="000330EA"/>
    <w:rsid w:val="0004085A"/>
    <w:rsid w:val="0004388C"/>
    <w:rsid w:val="000758CA"/>
    <w:rsid w:val="000E0BF7"/>
    <w:rsid w:val="00100856"/>
    <w:rsid w:val="00190171"/>
    <w:rsid w:val="001C64CB"/>
    <w:rsid w:val="001E6D77"/>
    <w:rsid w:val="002220D0"/>
    <w:rsid w:val="00241433"/>
    <w:rsid w:val="002418D0"/>
    <w:rsid w:val="002A05B0"/>
    <w:rsid w:val="002C07A6"/>
    <w:rsid w:val="00332063"/>
    <w:rsid w:val="003460C2"/>
    <w:rsid w:val="00406C93"/>
    <w:rsid w:val="004558AA"/>
    <w:rsid w:val="004627BE"/>
    <w:rsid w:val="004F35E3"/>
    <w:rsid w:val="00514186"/>
    <w:rsid w:val="00522C9A"/>
    <w:rsid w:val="00535AD3"/>
    <w:rsid w:val="00557230"/>
    <w:rsid w:val="005807EB"/>
    <w:rsid w:val="00592B46"/>
    <w:rsid w:val="005E4AEC"/>
    <w:rsid w:val="005F5919"/>
    <w:rsid w:val="0061128B"/>
    <w:rsid w:val="00621462"/>
    <w:rsid w:val="00676862"/>
    <w:rsid w:val="00693C4E"/>
    <w:rsid w:val="00735A43"/>
    <w:rsid w:val="00761EA9"/>
    <w:rsid w:val="00787A60"/>
    <w:rsid w:val="007B347A"/>
    <w:rsid w:val="00804DE0"/>
    <w:rsid w:val="00807701"/>
    <w:rsid w:val="008414DF"/>
    <w:rsid w:val="008524BE"/>
    <w:rsid w:val="009032D0"/>
    <w:rsid w:val="009667CC"/>
    <w:rsid w:val="009A05BB"/>
    <w:rsid w:val="00A15A2E"/>
    <w:rsid w:val="00A63986"/>
    <w:rsid w:val="00A81A0C"/>
    <w:rsid w:val="00A90D41"/>
    <w:rsid w:val="00AB12FB"/>
    <w:rsid w:val="00AE7E6C"/>
    <w:rsid w:val="00BD73C2"/>
    <w:rsid w:val="00C470FE"/>
    <w:rsid w:val="00C57C0F"/>
    <w:rsid w:val="00C606E2"/>
    <w:rsid w:val="00CD3801"/>
    <w:rsid w:val="00D02E8E"/>
    <w:rsid w:val="00D82828"/>
    <w:rsid w:val="00D85DA9"/>
    <w:rsid w:val="00DE1D67"/>
    <w:rsid w:val="00E2245F"/>
    <w:rsid w:val="00E25FC0"/>
    <w:rsid w:val="00E90413"/>
    <w:rsid w:val="00E954D6"/>
    <w:rsid w:val="00EA20C7"/>
    <w:rsid w:val="00F33563"/>
    <w:rsid w:val="00F6051F"/>
    <w:rsid w:val="00F8237D"/>
    <w:rsid w:val="00FB67AD"/>
    <w:rsid w:val="00FD3B53"/>
    <w:rsid w:val="00FF0505"/>
    <w:rsid w:val="44E96D1E"/>
    <w:rsid w:val="FE9CC46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link w:val="16"/>
    <w:qFormat/>
    <w:uiPriority w:val="9"/>
    <w:pPr>
      <w:keepNext/>
      <w:keepLines/>
      <w:numPr>
        <w:ilvl w:val="0"/>
        <w:numId w:val="1"/>
      </w:numPr>
      <w:spacing w:after="163" w:afterLines="50"/>
      <w:jc w:val="center"/>
      <w:outlineLvl w:val="0"/>
    </w:pPr>
    <w:rPr>
      <w:rFonts w:cstheme="minorBidi"/>
      <w:b/>
      <w:bCs/>
      <w:kern w:val="44"/>
      <w:sz w:val="36"/>
      <w:szCs w:val="44"/>
    </w:rPr>
  </w:style>
  <w:style w:type="paragraph" w:styleId="5">
    <w:name w:val="heading 2"/>
    <w:basedOn w:val="1"/>
    <w:next w:val="1"/>
    <w:link w:val="17"/>
    <w:unhideWhenUsed/>
    <w:qFormat/>
    <w:uiPriority w:val="0"/>
    <w:pPr>
      <w:keepNext/>
      <w:keepLines/>
      <w:numPr>
        <w:ilvl w:val="1"/>
        <w:numId w:val="1"/>
      </w:numPr>
      <w:ind w:left="0" w:firstLine="0"/>
      <w:jc w:val="left"/>
      <w:outlineLvl w:val="1"/>
    </w:pPr>
    <w:rPr>
      <w:rFonts w:ascii="宋体" w:hAnsi="宋体" w:cstheme="majorBidi"/>
      <w:b/>
      <w:bCs/>
      <w:sz w:val="32"/>
      <w:szCs w:val="32"/>
    </w:rPr>
  </w:style>
  <w:style w:type="paragraph" w:styleId="6">
    <w:name w:val="heading 3"/>
    <w:basedOn w:val="1"/>
    <w:next w:val="1"/>
    <w:link w:val="18"/>
    <w:unhideWhenUsed/>
    <w:qFormat/>
    <w:uiPriority w:val="9"/>
    <w:pPr>
      <w:keepNext/>
      <w:keepLines/>
      <w:numPr>
        <w:ilvl w:val="2"/>
        <w:numId w:val="1"/>
      </w:numPr>
      <w:outlineLvl w:val="2"/>
    </w:pPr>
    <w:rPr>
      <w:rFonts w:ascii="微软雅黑" w:hAnsi="微软雅黑" w:eastAsia="微软雅黑" w:cstheme="minorBidi"/>
      <w:b/>
      <w:bCs/>
      <w:sz w:val="28"/>
      <w:szCs w:val="32"/>
    </w:rPr>
  </w:style>
  <w:style w:type="paragraph" w:styleId="7">
    <w:name w:val="heading 4"/>
    <w:basedOn w:val="1"/>
    <w:next w:val="1"/>
    <w:link w:val="19"/>
    <w:unhideWhenUsed/>
    <w:qFormat/>
    <w:uiPriority w:val="9"/>
    <w:pPr>
      <w:keepNext/>
      <w:keepLines/>
      <w:numPr>
        <w:ilvl w:val="3"/>
        <w:numId w:val="1"/>
      </w:numPr>
      <w:ind w:firstLine="0"/>
      <w:outlineLvl w:val="3"/>
    </w:pPr>
    <w:rPr>
      <w:rFonts w:ascii="微软雅黑" w:hAnsi="微软雅黑" w:eastAsia="微软雅黑" w:cstheme="majorBidi"/>
      <w:b/>
      <w:bCs/>
      <w:szCs w:val="28"/>
    </w:rPr>
  </w:style>
  <w:style w:type="paragraph" w:styleId="8">
    <w:name w:val="heading 5"/>
    <w:basedOn w:val="1"/>
    <w:next w:val="1"/>
    <w:link w:val="24"/>
    <w:unhideWhenUsed/>
    <w:qFormat/>
    <w:uiPriority w:val="9"/>
    <w:pPr>
      <w:keepNext/>
      <w:keepLines/>
      <w:snapToGrid w:val="0"/>
      <w:spacing w:line="377" w:lineRule="auto"/>
      <w:outlineLvl w:val="4"/>
    </w:pPr>
    <w:rPr>
      <w:rFonts w:ascii="微软雅黑" w:hAnsi="微软雅黑" w:eastAsia="微软雅黑" w:cstheme="minorBidi"/>
      <w:b/>
      <w:bCs/>
      <w:szCs w:val="28"/>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Body Text First Indent"/>
    <w:basedOn w:val="3"/>
    <w:link w:val="23"/>
    <w:semiHidden/>
    <w:unhideWhenUsed/>
    <w:uiPriority w:val="99"/>
    <w:pPr>
      <w:ind w:firstLine="420" w:firstLineChars="100"/>
    </w:pPr>
  </w:style>
  <w:style w:type="paragraph" w:styleId="3">
    <w:name w:val="Body Text"/>
    <w:basedOn w:val="1"/>
    <w:link w:val="22"/>
    <w:semiHidden/>
    <w:unhideWhenUsed/>
    <w:qFormat/>
    <w:uiPriority w:val="99"/>
    <w:pPr>
      <w:spacing w:after="120"/>
    </w:pPr>
  </w:style>
  <w:style w:type="paragraph" w:styleId="9">
    <w:name w:val="Body Text Indent"/>
    <w:basedOn w:val="1"/>
    <w:link w:val="20"/>
    <w:semiHidden/>
    <w:unhideWhenUsed/>
    <w:qFormat/>
    <w:uiPriority w:val="99"/>
    <w:pPr>
      <w:spacing w:after="120"/>
      <w:ind w:left="420" w:leftChars="200"/>
    </w:pPr>
  </w:style>
  <w:style w:type="paragraph" w:styleId="10">
    <w:name w:val="footer"/>
    <w:basedOn w:val="1"/>
    <w:link w:val="27"/>
    <w:unhideWhenUsed/>
    <w:uiPriority w:val="99"/>
    <w:pPr>
      <w:tabs>
        <w:tab w:val="center" w:pos="4153"/>
        <w:tab w:val="right" w:pos="8306"/>
      </w:tabs>
      <w:snapToGrid w:val="0"/>
      <w:jc w:val="left"/>
    </w:pPr>
    <w:rPr>
      <w:sz w:val="18"/>
      <w:szCs w:val="18"/>
    </w:rPr>
  </w:style>
  <w:style w:type="paragraph" w:styleId="11">
    <w:name w:val="header"/>
    <w:basedOn w:val="1"/>
    <w:link w:val="26"/>
    <w:unhideWhenUsed/>
    <w:uiPriority w:val="99"/>
    <w:pPr>
      <w:tabs>
        <w:tab w:val="center" w:pos="4153"/>
        <w:tab w:val="right" w:pos="8306"/>
      </w:tabs>
      <w:snapToGrid w:val="0"/>
      <w:jc w:val="center"/>
    </w:pPr>
    <w:rPr>
      <w:sz w:val="18"/>
      <w:szCs w:val="18"/>
    </w:rPr>
  </w:style>
  <w:style w:type="paragraph" w:styleId="12">
    <w:name w:val="Body Text First Indent 2"/>
    <w:basedOn w:val="9"/>
    <w:link w:val="21"/>
    <w:semiHidden/>
    <w:unhideWhenUsed/>
    <w:uiPriority w:val="99"/>
    <w:pPr>
      <w:ind w:firstLine="420"/>
    </w:pPr>
  </w:style>
  <w:style w:type="table" w:styleId="14">
    <w:name w:val="Table Grid"/>
    <w:basedOn w:val="13"/>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1 字符"/>
    <w:basedOn w:val="15"/>
    <w:link w:val="4"/>
    <w:qFormat/>
    <w:uiPriority w:val="9"/>
    <w:rPr>
      <w:rFonts w:ascii="宋体" w:hAnsi="宋体" w:eastAsia="宋体"/>
      <w:b/>
      <w:bCs/>
      <w:kern w:val="44"/>
      <w:sz w:val="36"/>
      <w:szCs w:val="44"/>
    </w:rPr>
  </w:style>
  <w:style w:type="character" w:customStyle="1" w:styleId="17">
    <w:name w:val="标题 2 字符"/>
    <w:basedOn w:val="15"/>
    <w:link w:val="5"/>
    <w:uiPriority w:val="0"/>
    <w:rPr>
      <w:rFonts w:ascii="宋体" w:hAnsi="宋体" w:eastAsia="宋体" w:cstheme="majorBidi"/>
      <w:b/>
      <w:bCs/>
      <w:sz w:val="32"/>
      <w:szCs w:val="32"/>
    </w:rPr>
  </w:style>
  <w:style w:type="character" w:customStyle="1" w:styleId="18">
    <w:name w:val="标题 3 字符"/>
    <w:basedOn w:val="15"/>
    <w:link w:val="6"/>
    <w:uiPriority w:val="9"/>
    <w:rPr>
      <w:rFonts w:ascii="微软雅黑" w:hAnsi="微软雅黑" w:eastAsia="微软雅黑"/>
      <w:b/>
      <w:bCs/>
      <w:sz w:val="28"/>
      <w:szCs w:val="32"/>
    </w:rPr>
  </w:style>
  <w:style w:type="character" w:customStyle="1" w:styleId="19">
    <w:name w:val="标题 4 字符"/>
    <w:basedOn w:val="15"/>
    <w:link w:val="7"/>
    <w:qFormat/>
    <w:uiPriority w:val="9"/>
    <w:rPr>
      <w:rFonts w:ascii="微软雅黑" w:hAnsi="微软雅黑" w:eastAsia="微软雅黑" w:cstheme="majorBidi"/>
      <w:b/>
      <w:bCs/>
      <w:sz w:val="24"/>
      <w:szCs w:val="28"/>
    </w:rPr>
  </w:style>
  <w:style w:type="character" w:customStyle="1" w:styleId="20">
    <w:name w:val="正文文本缩进 字符"/>
    <w:basedOn w:val="15"/>
    <w:link w:val="9"/>
    <w:semiHidden/>
    <w:uiPriority w:val="99"/>
    <w:rPr>
      <w:rFonts w:ascii="Times New Roman" w:hAnsi="Times New Roman" w:eastAsia="宋体" w:cs="Times New Roman"/>
      <w:sz w:val="24"/>
      <w:szCs w:val="24"/>
    </w:rPr>
  </w:style>
  <w:style w:type="character" w:customStyle="1" w:styleId="21">
    <w:name w:val="正文文本首行缩进 2 字符"/>
    <w:basedOn w:val="20"/>
    <w:link w:val="12"/>
    <w:semiHidden/>
    <w:uiPriority w:val="99"/>
    <w:rPr>
      <w:rFonts w:ascii="Times New Roman" w:hAnsi="Times New Roman" w:eastAsia="宋体" w:cs="Times New Roman"/>
      <w:sz w:val="24"/>
      <w:szCs w:val="24"/>
    </w:rPr>
  </w:style>
  <w:style w:type="character" w:customStyle="1" w:styleId="22">
    <w:name w:val="正文文本 字符"/>
    <w:basedOn w:val="15"/>
    <w:link w:val="3"/>
    <w:semiHidden/>
    <w:uiPriority w:val="99"/>
    <w:rPr>
      <w:rFonts w:ascii="Times New Roman" w:hAnsi="Times New Roman" w:eastAsia="宋体" w:cs="Times New Roman"/>
      <w:sz w:val="24"/>
      <w:szCs w:val="24"/>
    </w:rPr>
  </w:style>
  <w:style w:type="character" w:customStyle="1" w:styleId="23">
    <w:name w:val="正文文本首行缩进 字符"/>
    <w:basedOn w:val="22"/>
    <w:link w:val="2"/>
    <w:semiHidden/>
    <w:qFormat/>
    <w:uiPriority w:val="99"/>
    <w:rPr>
      <w:rFonts w:ascii="Times New Roman" w:hAnsi="Times New Roman" w:eastAsia="宋体" w:cs="Times New Roman"/>
      <w:sz w:val="24"/>
      <w:szCs w:val="24"/>
    </w:rPr>
  </w:style>
  <w:style w:type="character" w:customStyle="1" w:styleId="24">
    <w:name w:val="标题 5 字符"/>
    <w:basedOn w:val="15"/>
    <w:link w:val="8"/>
    <w:qFormat/>
    <w:uiPriority w:val="9"/>
    <w:rPr>
      <w:rFonts w:ascii="微软雅黑" w:hAnsi="微软雅黑" w:eastAsia="微软雅黑"/>
      <w:b/>
      <w:bCs/>
      <w:sz w:val="24"/>
      <w:szCs w:val="28"/>
    </w:rPr>
  </w:style>
  <w:style w:type="paragraph" w:customStyle="1" w:styleId="25">
    <w:name w:val="列出段落1"/>
    <w:basedOn w:val="1"/>
    <w:unhideWhenUsed/>
    <w:qFormat/>
    <w:uiPriority w:val="34"/>
    <w:pPr>
      <w:ind w:firstLine="420" w:firstLineChars="200"/>
    </w:pPr>
  </w:style>
  <w:style w:type="character" w:customStyle="1" w:styleId="26">
    <w:name w:val="页眉 字符"/>
    <w:basedOn w:val="15"/>
    <w:link w:val="11"/>
    <w:uiPriority w:val="99"/>
    <w:rPr>
      <w:rFonts w:ascii="Calibri" w:hAnsi="Calibri" w:eastAsia="宋体" w:cs="Times New Roman"/>
      <w:kern w:val="2"/>
      <w:sz w:val="18"/>
      <w:szCs w:val="18"/>
    </w:rPr>
  </w:style>
  <w:style w:type="character" w:customStyle="1" w:styleId="27">
    <w:name w:val="页脚 字符"/>
    <w:basedOn w:val="15"/>
    <w:link w:val="10"/>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7479</Words>
  <Characters>7920</Characters>
  <Lines>57</Lines>
  <Paragraphs>16</Paragraphs>
  <TotalTime>51</TotalTime>
  <ScaleCrop>false</ScaleCrop>
  <LinksUpToDate>false</LinksUpToDate>
  <CharactersWithSpaces>7973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2024-08-14T18:36:00Z</dcterms:created>
  <dc:creator>admin</dc:creator>
  <cp:lastModifiedBy>WE</cp:lastModifiedBy>
  <dcterms:modified xsi:type="dcterms:W3CDTF">2024-09-30T06:46:05Z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F2310C972B1E45B283E9F94A0A2B9434_12</vt:lpwstr>
  </property>
</Properties>
</file>