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49513B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rFonts w:hint="eastAsia"/>
        </w:rPr>
      </w:pPr>
      <w:r>
        <w:rPr>
          <w:rFonts w:hint="eastAsia"/>
        </w:rPr>
        <w:t>深圳市儿童医院设备采购需求参数表</w:t>
      </w:r>
    </w:p>
    <w:tbl>
      <w:tblPr>
        <w:tblStyle w:val="9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846"/>
        <w:gridCol w:w="8107"/>
      </w:tblGrid>
      <w:tr w14:paraId="7A4994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01" w:type="dxa"/>
            <w:tcBorders>
              <w:top w:val="single" w:color="auto" w:sz="4" w:space="0"/>
              <w:left w:val="single" w:color="auto" w:sz="4" w:space="0"/>
              <w:bottom w:val="single" w:color="3F3F3F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E809F3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</w:rPr>
              <w:t>序号</w:t>
            </w:r>
          </w:p>
        </w:tc>
        <w:tc>
          <w:tcPr>
            <w:tcW w:w="846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1AAE756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</w:rPr>
              <w:t>项目名称</w:t>
            </w:r>
          </w:p>
        </w:tc>
        <w:tc>
          <w:tcPr>
            <w:tcW w:w="8107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CB4CC3B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 w:themeColor="text1"/>
                <w:kern w:val="0"/>
                <w:sz w:val="22"/>
              </w:rPr>
              <w:t>招标事项及要求</w:t>
            </w:r>
          </w:p>
        </w:tc>
      </w:tr>
      <w:tr w14:paraId="7D3FA4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90BB739"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846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C424A4C"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</w:rPr>
              <w:t>低温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等离子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</w:rPr>
              <w:t>体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</w:rPr>
              <w:t>手术</w:t>
            </w: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kern w:val="0"/>
                <w:sz w:val="22"/>
                <w:szCs w:val="22"/>
                <w:lang w:val="en-US" w:eastAsia="zh-CN"/>
              </w:rPr>
              <w:t>系统</w:t>
            </w: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3F1E5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一、产品基本信息</w:t>
            </w:r>
          </w:p>
        </w:tc>
      </w:tr>
      <w:tr w14:paraId="5CB83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E45051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A5241E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7DBBB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1.产品获得SFDA Ⅲ类注册证；</w:t>
            </w:r>
          </w:p>
        </w:tc>
      </w:tr>
      <w:tr w14:paraId="4A7E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343A29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133F25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6D2770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▲2.设备主机和电极为同一品牌（需提供产品注册证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详细页，并对相关内容进行标注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</w:tr>
      <w:tr w14:paraId="28923D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19B9C8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392A7B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59EA5E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二、性能指标和技术参数</w:t>
            </w:r>
          </w:p>
        </w:tc>
      </w:tr>
      <w:tr w14:paraId="740D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2A11BB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4E7965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7B36CF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▲1.切割消融模式：至少1-9档可调，精准细腻功率输出（需提供产品彩页或技术白皮书扫描件）</w:t>
            </w:r>
          </w:p>
        </w:tc>
      </w:tr>
      <w:tr w14:paraId="6F888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15CBBA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A2990C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322192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▲2.凝固止血模式：至少1-5档可调，最高不得超过65W（需提供产品彩页或技术白皮书扫描件）</w:t>
            </w:r>
          </w:p>
        </w:tc>
      </w:tr>
      <w:tr w14:paraId="39DB6B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86A711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FDAAA7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46BD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3.消融时间：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1-9秒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，可预设，自动响应工作；</w:t>
            </w:r>
          </w:p>
        </w:tc>
      </w:tr>
      <w:tr w14:paraId="22598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157F8C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D40A9A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1683FA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4.等离子激发时间≤180ns，等离子效能快速输出</w:t>
            </w:r>
          </w:p>
        </w:tc>
      </w:tr>
      <w:tr w14:paraId="166166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A3A782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AF405D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61CF6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5.电磁辐射：设备工作时射频信号对其它设备的干扰小于-30dbm；</w:t>
            </w:r>
          </w:p>
        </w:tc>
      </w:tr>
      <w:tr w14:paraId="38AB8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E790FF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616B9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681CBE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6.工作温度：设备作用在组织上的温度为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40-70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</w:tc>
      </w:tr>
      <w:tr w14:paraId="23459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8ED69F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BF8145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5DD4C1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7.设备输出功率：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400W；</w:t>
            </w:r>
          </w:p>
        </w:tc>
      </w:tr>
      <w:tr w14:paraId="3C0A1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055B3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D3A64E6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38D3F2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8.设备工作频率：110KHz±10KHz</w:t>
            </w:r>
          </w:p>
        </w:tc>
      </w:tr>
      <w:tr w14:paraId="0941D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B162BE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F8733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13BC4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9.凝血最高功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65W.</w:t>
            </w:r>
          </w:p>
        </w:tc>
      </w:tr>
      <w:tr w14:paraId="4913C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3CC8AD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039C95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14DE1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▲10.加强绝缘：应用部分对网电源，耐压值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4800V（需提供产品彩页或技术白皮书扫描件）</w:t>
            </w:r>
          </w:p>
        </w:tc>
      </w:tr>
      <w:tr w14:paraId="2A601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F4A3C0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6EC835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14FA6F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▲11.单一条件患者漏电流：直流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4uA，交流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≤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31uA（需提供产品彩页或技术白皮书扫描件）</w:t>
            </w:r>
          </w:p>
        </w:tc>
      </w:tr>
      <w:tr w14:paraId="7A6A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054FF6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2CE7BCF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24F19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三、设备性能</w:t>
            </w:r>
          </w:p>
        </w:tc>
      </w:tr>
      <w:tr w14:paraId="0BF56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D3B942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E786B85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54DE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1.识别检测功能：设备具备自动检测功能，刀头自动识别、断开报警功能，</w:t>
            </w:r>
          </w:p>
        </w:tc>
      </w:tr>
      <w:tr w14:paraId="23C686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E3D311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BAC389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60F68D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2.双区状态显示：设备分双模式双区显示，图形化界面，设备工作时，有对应状态变化（颜色提示）。</w:t>
            </w:r>
          </w:p>
        </w:tc>
      </w:tr>
      <w:tr w14:paraId="1E6FD7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FF24EB3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05C4AF9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5316E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3.待机保护：附件未正确连接，设备处于待机状态，提示下一步操作；</w:t>
            </w:r>
          </w:p>
        </w:tc>
      </w:tr>
      <w:tr w14:paraId="088CB5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8272C5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5BAD5F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7A3EA3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4.工作声音提示：设备输出工作声音大小可调节，且在不同工作模式下工作声音不同，避免误操作；</w:t>
            </w:r>
          </w:p>
        </w:tc>
      </w:tr>
      <w:tr w14:paraId="7657F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E8EB90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82F7458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45E9F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▲5.界面显示及指示：显示屏≥7英寸触控；分辨率≥1024*600；像素≥16bit;使用寿命≥20000小时。主机各项功能、标识、状态均为图形化显示（需提供产品彩页或技术白皮书扫描件）</w:t>
            </w:r>
          </w:p>
        </w:tc>
      </w:tr>
      <w:tr w14:paraId="459A81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1FAB6AC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B9C2240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31C3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6.附件状态显示：附件连接主机有对应状态标识，能清晰显示连接正常或异常，具有文字提示医生操作说明；</w:t>
            </w:r>
          </w:p>
        </w:tc>
      </w:tr>
      <w:tr w14:paraId="55E2F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9420312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76BD21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516359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7.附件连接检测：设备具有附件连接检测功能，实时检测设备与附件是否正确连接，出现异常时，主机提供声音报警提示和图面报警提示；</w:t>
            </w:r>
          </w:p>
        </w:tc>
      </w:tr>
      <w:tr w14:paraId="14A1C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38C89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34EE51E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74467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8.脚踏开关性能：进液防护等级IPX8,能提供切割功率调整功能，连接器为金属材质</w:t>
            </w:r>
          </w:p>
        </w:tc>
      </w:tr>
      <w:tr w14:paraId="2C3498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91F8C7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CAB498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213C93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9.误操作提示：误踩脚踏时、刀头短路、主机有声音和文字提示功能，以保证设备使用安全；</w:t>
            </w:r>
          </w:p>
        </w:tc>
      </w:tr>
      <w:tr w14:paraId="5162C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</w:tcPr>
          <w:p w14:paraId="3860D0C4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</w:tcPr>
          <w:p w14:paraId="5B5BD31B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4362C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▲10.主机具备内镜保护功能，电极接触内镜发生短路时，瞬间停止输出，远离内镜时再次启动输出（需提供产品彩页或技术白皮书扫描件）</w:t>
            </w:r>
          </w:p>
        </w:tc>
      </w:tr>
      <w:tr w14:paraId="0B45C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</w:tcPr>
          <w:p w14:paraId="2624491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</w:tcPr>
          <w:p w14:paraId="0DF358B7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21B1EF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▲11.设备接口要求：设备能量输出接口和刀头连接器，需有高低压隔离设计，确保设备工作正常稳定（需提供产品彩页或技术白皮书扫描件）</w:t>
            </w:r>
          </w:p>
        </w:tc>
      </w:tr>
      <w:tr w14:paraId="3F5B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1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</w:tcPr>
          <w:p w14:paraId="11A7E44D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46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</w:tcPr>
          <w:p w14:paraId="6965B57C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8107" w:type="dxa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auto" w:fill="auto"/>
            <w:vAlign w:val="center"/>
          </w:tcPr>
          <w:p w14:paraId="514A9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12.配套多款等离子刀头或电极</w:t>
            </w:r>
          </w:p>
        </w:tc>
      </w:tr>
    </w:tbl>
    <w:p w14:paraId="657EC3EE">
      <w:pPr>
        <w:pStyle w:val="3"/>
        <w:bidi w:val="0"/>
        <w:jc w:val="center"/>
      </w:pPr>
      <w:r>
        <w:rPr>
          <w:rFonts w:hint="eastAsia"/>
        </w:rPr>
        <w:t>设备配套耗材试剂情况</w:t>
      </w:r>
    </w:p>
    <w:p w14:paraId="6BC9B103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配套耗材或试剂  （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开放□ 专用☑ 无□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） </w:t>
      </w:r>
    </w:p>
    <w:p w14:paraId="77DAB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配套耗材</w:t>
      </w:r>
    </w:p>
    <w:tbl>
      <w:tblPr>
        <w:tblStyle w:val="9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5094"/>
        <w:gridCol w:w="1985"/>
        <w:gridCol w:w="2126"/>
      </w:tblGrid>
      <w:tr w14:paraId="262B0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65907E23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094" w:type="dxa"/>
            <w:vAlign w:val="center"/>
          </w:tcPr>
          <w:p w14:paraId="61E3FDBA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50C6C354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603A888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预算单价（元）</w:t>
            </w:r>
          </w:p>
        </w:tc>
      </w:tr>
      <w:tr w14:paraId="23B44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860" w:type="dxa"/>
            <w:vAlign w:val="center"/>
          </w:tcPr>
          <w:p w14:paraId="19F16ACD">
            <w:pPr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1</w:t>
            </w:r>
          </w:p>
        </w:tc>
        <w:tc>
          <w:tcPr>
            <w:tcW w:w="5094" w:type="dxa"/>
            <w:vAlign w:val="center"/>
          </w:tcPr>
          <w:p w14:paraId="20D9154F">
            <w:pPr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一次性射频等离子手术电极</w:t>
            </w:r>
          </w:p>
        </w:tc>
        <w:tc>
          <w:tcPr>
            <w:tcW w:w="1985" w:type="dxa"/>
            <w:vAlign w:val="center"/>
          </w:tcPr>
          <w:p w14:paraId="784B9D7D">
            <w:pPr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把</w:t>
            </w:r>
          </w:p>
        </w:tc>
        <w:tc>
          <w:tcPr>
            <w:tcW w:w="2126" w:type="dxa"/>
            <w:vAlign w:val="center"/>
          </w:tcPr>
          <w:p w14:paraId="4611F1B4">
            <w:pPr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2</w:t>
            </w:r>
            <w:r>
              <w:rPr>
                <w:rFonts w:hint="eastAsia" w:ascii="仿宋_GB2312" w:hAnsi="Times New Roman" w:eastAsia="仿宋_GB2312"/>
                <w:b/>
                <w:sz w:val="24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00</w:t>
            </w:r>
          </w:p>
        </w:tc>
      </w:tr>
    </w:tbl>
    <w:p w14:paraId="6B5CF6DE">
      <w:pPr>
        <w:jc w:val="left"/>
        <w:rPr>
          <w:rFonts w:ascii="Times New Roman" w:hAnsi="Times New Roman"/>
          <w:szCs w:val="21"/>
        </w:rPr>
      </w:pPr>
    </w:p>
    <w:p w14:paraId="1D1D68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配套试剂 </w:t>
      </w:r>
    </w:p>
    <w:tbl>
      <w:tblPr>
        <w:tblStyle w:val="9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5107"/>
        <w:gridCol w:w="1985"/>
        <w:gridCol w:w="2126"/>
      </w:tblGrid>
      <w:tr w14:paraId="2AD1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2574B541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5107" w:type="dxa"/>
            <w:vAlign w:val="center"/>
          </w:tcPr>
          <w:p w14:paraId="1FA7662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985" w:type="dxa"/>
            <w:vAlign w:val="center"/>
          </w:tcPr>
          <w:p w14:paraId="1A25C11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2126" w:type="dxa"/>
            <w:vAlign w:val="center"/>
          </w:tcPr>
          <w:p w14:paraId="25FC3428">
            <w:pPr>
              <w:jc w:val="center"/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预算单价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val="en-US" w:eastAsia="zh-CN"/>
              </w:rPr>
              <w:t>元</w:t>
            </w:r>
            <w:r>
              <w:rPr>
                <w:rFonts w:hint="eastAsia" w:ascii="仿宋_GB2312" w:hAnsi="Times New Roman" w:eastAsia="仿宋_GB2312"/>
                <w:b/>
                <w:sz w:val="24"/>
                <w:szCs w:val="21"/>
                <w:lang w:eastAsia="zh-CN"/>
              </w:rPr>
              <w:t>）</w:t>
            </w:r>
          </w:p>
        </w:tc>
      </w:tr>
      <w:tr w14:paraId="2534A5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847" w:type="dxa"/>
            <w:vAlign w:val="center"/>
          </w:tcPr>
          <w:p w14:paraId="06CC7BBB">
            <w:pPr>
              <w:jc w:val="center"/>
              <w:rPr>
                <w:rFonts w:ascii="仿宋_GB2312" w:hAnsi="Times New Roman" w:eastAsia="仿宋_GB2312"/>
                <w:b/>
                <w:sz w:val="24"/>
                <w:szCs w:val="20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0"/>
              </w:rPr>
              <w:t>1</w:t>
            </w:r>
          </w:p>
        </w:tc>
        <w:tc>
          <w:tcPr>
            <w:tcW w:w="5107" w:type="dxa"/>
            <w:vAlign w:val="center"/>
          </w:tcPr>
          <w:p w14:paraId="3D23E1F3">
            <w:pPr>
              <w:jc w:val="center"/>
              <w:rPr>
                <w:rFonts w:hint="eastAsia" w:ascii="仿宋_GB2312" w:hAnsi="Times New Roman" w:eastAsia="仿宋_GB2312"/>
                <w:sz w:val="22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szCs w:val="20"/>
                <w:lang w:val="en-US" w:eastAsia="zh-CN"/>
              </w:rPr>
              <w:t>/</w:t>
            </w:r>
          </w:p>
        </w:tc>
        <w:tc>
          <w:tcPr>
            <w:tcW w:w="1985" w:type="dxa"/>
            <w:vAlign w:val="center"/>
          </w:tcPr>
          <w:p w14:paraId="6965F21C">
            <w:pPr>
              <w:jc w:val="center"/>
              <w:rPr>
                <w:rFonts w:hint="eastAsia" w:ascii="仿宋_GB2312" w:hAnsi="Times New Roman" w:eastAsia="仿宋_GB2312"/>
                <w:sz w:val="22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szCs w:val="20"/>
                <w:lang w:val="en-US" w:eastAsia="zh-CN"/>
              </w:rPr>
              <w:t>/</w:t>
            </w:r>
          </w:p>
        </w:tc>
        <w:tc>
          <w:tcPr>
            <w:tcW w:w="2126" w:type="dxa"/>
            <w:vAlign w:val="center"/>
          </w:tcPr>
          <w:p w14:paraId="57E93E6D">
            <w:pPr>
              <w:jc w:val="center"/>
              <w:rPr>
                <w:rFonts w:hint="eastAsia" w:ascii="仿宋_GB2312" w:hAnsi="Times New Roman" w:eastAsia="仿宋_GB2312"/>
                <w:sz w:val="22"/>
                <w:szCs w:val="20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2"/>
                <w:szCs w:val="20"/>
                <w:lang w:val="en-US" w:eastAsia="zh-CN"/>
              </w:rPr>
              <w:t>/</w:t>
            </w:r>
          </w:p>
        </w:tc>
      </w:tr>
    </w:tbl>
    <w:p w14:paraId="21001D95">
      <w:pPr>
        <w:jc w:val="center"/>
        <w:rPr>
          <w:rFonts w:ascii="微软雅黑" w:hAnsi="微软雅黑" w:eastAsia="微软雅黑" w:cs="宋体"/>
          <w:color w:val="3F3F3F"/>
          <w:kern w:val="0"/>
          <w:szCs w:val="21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CD7719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kMzgyNzdjMGVjMjg3YjM2Y2VmYzc5MTcyMzBjZTUifQ=="/>
  </w:docVars>
  <w:rsids>
    <w:rsidRoot w:val="00000000"/>
    <w:rsid w:val="088D4BBD"/>
    <w:rsid w:val="089A0FC3"/>
    <w:rsid w:val="0EAF6FFC"/>
    <w:rsid w:val="11FC3393"/>
    <w:rsid w:val="197D31BD"/>
    <w:rsid w:val="232A44BB"/>
    <w:rsid w:val="250C6270"/>
    <w:rsid w:val="28113DC8"/>
    <w:rsid w:val="359C0C86"/>
    <w:rsid w:val="56174468"/>
    <w:rsid w:val="5C47446A"/>
    <w:rsid w:val="5E4D65C2"/>
    <w:rsid w:val="760F55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1">
    <w:name w:val="Default Paragraph Font"/>
    <w:autoRedefine/>
    <w:qFormat/>
    <w:uiPriority w:val="1"/>
  </w:style>
  <w:style w:type="table" w:default="1" w:styleId="9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14"/>
    <w:autoRedefine/>
    <w:qFormat/>
    <w:uiPriority w:val="99"/>
    <w:pPr>
      <w:jc w:val="left"/>
    </w:pPr>
  </w:style>
  <w:style w:type="paragraph" w:styleId="6">
    <w:name w:val="Balloon Text"/>
    <w:basedOn w:val="1"/>
    <w:link w:val="15"/>
    <w:autoRedefine/>
    <w:qFormat/>
    <w:uiPriority w:val="99"/>
    <w:rPr>
      <w:sz w:val="18"/>
      <w:szCs w:val="18"/>
    </w:rPr>
  </w:style>
  <w:style w:type="paragraph" w:styleId="7">
    <w:name w:val="footer"/>
    <w:basedOn w:val="1"/>
    <w:link w:val="16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7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annotation reference"/>
    <w:autoRedefine/>
    <w:qFormat/>
    <w:uiPriority w:val="99"/>
    <w:rPr>
      <w:sz w:val="21"/>
      <w:szCs w:val="21"/>
    </w:rPr>
  </w:style>
  <w:style w:type="character" w:customStyle="1" w:styleId="13">
    <w:name w:val="标题 1 Char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4">
    <w:name w:val="批注文字 Char"/>
    <w:link w:val="5"/>
    <w:autoRedefine/>
    <w:qFormat/>
    <w:uiPriority w:val="99"/>
    <w:rPr>
      <w:kern w:val="2"/>
      <w:sz w:val="21"/>
      <w:szCs w:val="22"/>
    </w:rPr>
  </w:style>
  <w:style w:type="character" w:customStyle="1" w:styleId="15">
    <w:name w:val="批注框文本 Char"/>
    <w:link w:val="6"/>
    <w:autoRedefine/>
    <w:qFormat/>
    <w:uiPriority w:val="99"/>
    <w:rPr>
      <w:kern w:val="2"/>
      <w:sz w:val="18"/>
      <w:szCs w:val="18"/>
    </w:rPr>
  </w:style>
  <w:style w:type="character" w:customStyle="1" w:styleId="16">
    <w:name w:val="页脚 Char"/>
    <w:link w:val="7"/>
    <w:autoRedefine/>
    <w:qFormat/>
    <w:uiPriority w:val="99"/>
    <w:rPr>
      <w:sz w:val="18"/>
      <w:szCs w:val="18"/>
    </w:rPr>
  </w:style>
  <w:style w:type="character" w:customStyle="1" w:styleId="17">
    <w:name w:val="页眉 Char"/>
    <w:link w:val="8"/>
    <w:autoRedefine/>
    <w:qFormat/>
    <w:uiPriority w:val="99"/>
    <w:rPr>
      <w:sz w:val="18"/>
      <w:szCs w:val="18"/>
    </w:rPr>
  </w:style>
  <w:style w:type="paragraph" w:styleId="18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926</Words>
  <Characters>1026</Characters>
  <Paragraphs>413</Paragraphs>
  <TotalTime>3</TotalTime>
  <ScaleCrop>false</ScaleCrop>
  <LinksUpToDate>false</LinksUpToDate>
  <CharactersWithSpaces>1033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2023-11-02T03:07:00Z</dcterms:created>
  <dc:creator>Sky123.Org</dc:creator>
  <cp:lastModifiedBy> </cp:lastModifiedBy>
  <cp:lastPrinted>2020-06-15T03:32:00Z</cp:lastPrinted>
  <dcterms:modified xsi:type="dcterms:W3CDTF">2024-09-23T02:22:17Z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5ECAB3CDAB1E4F2E9F0783FF98891651</vt:lpwstr>
  </property>
</Properties>
</file>