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453F6">
      <w:pPr>
        <w:rPr>
          <w:rFonts w:ascii="宋体" w:hAnsi="宋体"/>
          <w:sz w:val="24"/>
        </w:rPr>
      </w:pPr>
    </w:p>
    <w:tbl>
      <w:tblPr>
        <w:tblStyle w:val="8"/>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6A8B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2C3656FA">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42719634">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159D90F1">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后勤物资评分细则</w:t>
            </w:r>
          </w:p>
        </w:tc>
        <w:tc>
          <w:tcPr>
            <w:tcW w:w="772" w:type="dxa"/>
            <w:shd w:val="clear" w:color="auto" w:fill="auto"/>
            <w:vAlign w:val="center"/>
          </w:tcPr>
          <w:p w14:paraId="54CC1C7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14:paraId="1327CC9F">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36D3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03BFD0C2">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394F8A6A">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23FE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0C676D4B">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1912263B">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177DB724">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6CB2EB7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07E1AC2B">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1989478E">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51A9235F">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566CCF76">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3155A40A">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14:paraId="242EECC3">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4646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95" w:type="dxa"/>
            <w:shd w:val="clear" w:color="auto" w:fill="auto"/>
            <w:vAlign w:val="center"/>
          </w:tcPr>
          <w:p w14:paraId="55C07F13">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40D7ACEF">
            <w:pPr>
              <w:spacing w:line="300" w:lineRule="exact"/>
              <w:jc w:val="center"/>
              <w:rPr>
                <w:rFonts w:ascii="宋体" w:hAnsi="宋体" w:eastAsia="等线"/>
                <w:szCs w:val="21"/>
              </w:rPr>
            </w:pPr>
            <w:r>
              <w:rPr>
                <w:rFonts w:hint="eastAsia" w:ascii="宋体" w:hAnsi="宋体" w:eastAsia="等线"/>
                <w:szCs w:val="21"/>
              </w:rPr>
              <w:t>产品对比</w:t>
            </w:r>
          </w:p>
          <w:p w14:paraId="554EBD02">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3E7E9637">
            <w:pPr>
              <w:spacing w:line="300" w:lineRule="exact"/>
              <w:rPr>
                <w:rFonts w:ascii="宋体" w:hAnsi="宋体" w:eastAsia="等线"/>
                <w:szCs w:val="21"/>
              </w:rPr>
            </w:pPr>
            <w:r>
              <w:rPr>
                <w:rFonts w:hint="eastAsia" w:ascii="宋体" w:hAnsi="宋体" w:eastAsia="等线"/>
                <w:szCs w:val="21"/>
              </w:rPr>
              <w:t>产品性能、材质及质量、临床经验及比对结果情况。</w:t>
            </w:r>
          </w:p>
          <w:p w14:paraId="7DB3714C">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487E9982">
            <w:pPr>
              <w:spacing w:line="300" w:lineRule="exact"/>
              <w:rPr>
                <w:rFonts w:ascii="宋体" w:hAnsi="宋体" w:eastAsia="等线"/>
                <w:szCs w:val="21"/>
              </w:rPr>
            </w:pPr>
            <w:r>
              <w:rPr>
                <w:rFonts w:ascii="等线" w:hAnsi="等线" w:eastAsia="等线"/>
                <w:szCs w:val="21"/>
              </w:rPr>
              <w:t>A、好  ；得20分；</w:t>
            </w:r>
          </w:p>
          <w:p w14:paraId="02CAE3E5">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1629D1CB">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582579E1">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14:paraId="3FB796B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57C1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108A81C7">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4D885128">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4239F307">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2709CFA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3D2AADBF">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0AEED023">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79E74F47">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7087CDF7">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4CB6F9E9">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14:paraId="5B49455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4500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5" w:type="dxa"/>
            <w:shd w:val="clear" w:color="auto" w:fill="auto"/>
            <w:vAlign w:val="center"/>
          </w:tcPr>
          <w:p w14:paraId="314AD2FC">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33A9FF77">
            <w:pPr>
              <w:spacing w:line="300" w:lineRule="exact"/>
              <w:jc w:val="center"/>
              <w:rPr>
                <w:rFonts w:ascii="宋体" w:hAnsi="宋体" w:eastAsia="等线"/>
                <w:szCs w:val="21"/>
              </w:rPr>
            </w:pPr>
            <w:r>
              <w:rPr>
                <w:rFonts w:hint="eastAsia" w:ascii="宋体" w:hAnsi="宋体" w:eastAsia="等线" w:cs="宋体"/>
                <w:kern w:val="0"/>
                <w:szCs w:val="21"/>
              </w:rPr>
              <w:t>产品可靠性保障</w:t>
            </w:r>
          </w:p>
        </w:tc>
        <w:tc>
          <w:tcPr>
            <w:tcW w:w="6825" w:type="dxa"/>
            <w:shd w:val="clear" w:color="auto" w:fill="auto"/>
            <w:vAlign w:val="center"/>
          </w:tcPr>
          <w:p w14:paraId="3B13FC3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产品的来源、包装、保存、运输各环节的可靠性评估。</w:t>
            </w:r>
          </w:p>
          <w:p w14:paraId="5AA7E195">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依据：根据投标人对四个环节的质量保证措施及方案完善程度进行评价。</w:t>
            </w:r>
          </w:p>
          <w:p w14:paraId="29BA1310">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满足各环节</w:t>
            </w:r>
            <w:r>
              <w:rPr>
                <w:rFonts w:ascii="等线" w:hAnsi="等线" w:eastAsia="等线" w:cs="等线"/>
                <w:szCs w:val="21"/>
              </w:rPr>
              <w:t>；得8分；</w:t>
            </w:r>
          </w:p>
          <w:p w14:paraId="7FB47E89">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满足三个环节</w:t>
            </w:r>
            <w:r>
              <w:rPr>
                <w:rFonts w:ascii="等线" w:hAnsi="等线" w:eastAsia="等线" w:cs="等线"/>
                <w:szCs w:val="21"/>
              </w:rPr>
              <w:t>；得</w:t>
            </w:r>
            <w:r>
              <w:rPr>
                <w:rFonts w:hint="eastAsia" w:ascii="等线" w:hAnsi="等线" w:eastAsia="等线" w:cs="等线"/>
                <w:szCs w:val="21"/>
              </w:rPr>
              <w:t>6</w:t>
            </w:r>
            <w:r>
              <w:rPr>
                <w:rFonts w:ascii="等线" w:hAnsi="等线" w:eastAsia="等线" w:cs="等线"/>
                <w:szCs w:val="21"/>
              </w:rPr>
              <w:t>分；</w:t>
            </w:r>
          </w:p>
          <w:p w14:paraId="2CDF6290">
            <w:pPr>
              <w:spacing w:line="300" w:lineRule="exact"/>
              <w:ind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满足两个环节</w:t>
            </w:r>
            <w:r>
              <w:rPr>
                <w:rFonts w:ascii="等线" w:hAnsi="等线" w:eastAsia="等线" w:cs="等线"/>
                <w:szCs w:val="21"/>
              </w:rPr>
              <w:t>；得</w:t>
            </w:r>
            <w:r>
              <w:rPr>
                <w:rFonts w:hint="eastAsia" w:ascii="等线" w:hAnsi="等线" w:eastAsia="等线" w:cs="等线"/>
                <w:szCs w:val="21"/>
              </w:rPr>
              <w:t>4</w:t>
            </w:r>
            <w:r>
              <w:rPr>
                <w:rFonts w:ascii="等线" w:hAnsi="等线" w:eastAsia="等线" w:cs="等线"/>
                <w:szCs w:val="21"/>
              </w:rPr>
              <w:t>分；</w:t>
            </w:r>
          </w:p>
          <w:p w14:paraId="3F24A705">
            <w:pPr>
              <w:spacing w:line="300" w:lineRule="exact"/>
              <w:ind w:right="-73" w:rightChars="-35"/>
              <w:jc w:val="left"/>
            </w:pPr>
            <w:r>
              <w:rPr>
                <w:rFonts w:hint="eastAsia" w:ascii="等线" w:hAnsi="等线" w:eastAsia="等线" w:cs="等线"/>
                <w:szCs w:val="21"/>
              </w:rPr>
              <w:t>D</w:t>
            </w:r>
            <w:r>
              <w:rPr>
                <w:rFonts w:ascii="等线" w:hAnsi="等线" w:eastAsia="等线" w:cs="等线"/>
                <w:szCs w:val="21"/>
              </w:rPr>
              <w:t>、</w:t>
            </w:r>
            <w:r>
              <w:rPr>
                <w:rFonts w:hint="eastAsia" w:ascii="等线" w:hAnsi="等线" w:eastAsia="等线" w:cs="等线"/>
                <w:szCs w:val="21"/>
              </w:rPr>
              <w:t>满足一个环节</w:t>
            </w:r>
            <w:r>
              <w:rPr>
                <w:rFonts w:ascii="等线" w:hAnsi="等线" w:eastAsia="等线" w:cs="等线"/>
                <w:szCs w:val="21"/>
              </w:rPr>
              <w:t>；得2分；</w:t>
            </w:r>
          </w:p>
        </w:tc>
        <w:tc>
          <w:tcPr>
            <w:tcW w:w="772" w:type="dxa"/>
            <w:shd w:val="clear" w:color="auto" w:fill="auto"/>
            <w:vAlign w:val="center"/>
          </w:tcPr>
          <w:p w14:paraId="7178A17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14:paraId="165462F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4AA4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39A346FD">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5C2DE47D">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1B90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5B12B711">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26C87E1">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7DB20CFF">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41B2BED0">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以医院供应商评价结果、近效期产品退换、配送服务保障措施与应急措施等伴随服务项目的情况为依据进行评价（没有配送过的以承诺书为准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43AA9416">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5CB6960F">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7394E80A">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4AC1765A">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71B2D57D">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557ED14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76AB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3B632A09">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48FE09C6">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7FC6A021">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1F9ECDFE">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08DF65AC">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2A33088B">
            <w:pPr>
              <w:spacing w:line="300" w:lineRule="exact"/>
              <w:jc w:val="left"/>
              <w:rPr>
                <w:rFonts w:ascii="宋体" w:hAnsi="宋体" w:eastAsia="等线"/>
                <w:szCs w:val="21"/>
              </w:rPr>
            </w:pPr>
            <w:r>
              <w:rPr>
                <w:rFonts w:ascii="宋体" w:hAnsi="宋体" w:eastAsia="等线"/>
                <w:szCs w:val="21"/>
              </w:rPr>
              <w:t xml:space="preserve">B、服务较好或两项承诺：4分； </w:t>
            </w:r>
          </w:p>
          <w:p w14:paraId="5E23FF0A">
            <w:pPr>
              <w:spacing w:line="300" w:lineRule="exact"/>
              <w:jc w:val="left"/>
              <w:rPr>
                <w:rFonts w:ascii="宋体" w:hAnsi="宋体" w:eastAsia="等线"/>
                <w:szCs w:val="21"/>
              </w:rPr>
            </w:pPr>
            <w:r>
              <w:rPr>
                <w:rFonts w:ascii="宋体" w:hAnsi="宋体" w:eastAsia="等线"/>
                <w:szCs w:val="21"/>
              </w:rPr>
              <w:t xml:space="preserve">C、服务一般或一项承诺：2分； </w:t>
            </w:r>
          </w:p>
          <w:p w14:paraId="5658D71C">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13CD2D87">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564A687C">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6B48765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16A7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43824578">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5DD99AD9">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15FCB1B0">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针对本项目的需求制定服务方案（包括配送服务与售后服务等）。</w:t>
            </w:r>
          </w:p>
          <w:p w14:paraId="7440BCE2">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3231A803">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6374DFCA">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54B5D947">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7B574F4D">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7155875D">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71D34D55">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14:paraId="5940625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226A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0676A812">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10FB525D">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58EF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3F19273E">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CE870DB">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0A168E31">
            <w:pPr>
              <w:spacing w:line="300" w:lineRule="exact"/>
              <w:ind w:left="-63" w:leftChars="-30" w:right="-88" w:rightChars="-42"/>
              <w:jc w:val="left"/>
              <w:rPr>
                <w:rFonts w:ascii="宋体" w:hAnsi="宋体" w:eastAsia="等线"/>
                <w:szCs w:val="21"/>
              </w:rPr>
            </w:pPr>
            <w:r>
              <w:rPr>
                <w:rFonts w:hint="eastAsia" w:ascii="宋体" w:hAnsi="宋体" w:eastAsia="等线"/>
                <w:szCs w:val="21"/>
              </w:rPr>
              <w:t xml:space="preserve">评审标准： </w:t>
            </w:r>
          </w:p>
          <w:p w14:paraId="5F9420BE">
            <w:pPr>
              <w:spacing w:line="300" w:lineRule="exact"/>
              <w:ind w:left="-63" w:leftChars="-30" w:right="-88" w:rightChars="-42"/>
              <w:jc w:val="left"/>
              <w:rPr>
                <w:rFonts w:ascii="宋体" w:hAnsi="宋体" w:eastAsia="等线"/>
                <w:szCs w:val="21"/>
              </w:rPr>
            </w:pPr>
            <w:r>
              <w:rPr>
                <w:rFonts w:hint="eastAsia" w:ascii="宋体" w:hAnsi="宋体" w:eastAsia="等线"/>
                <w:szCs w:val="21"/>
              </w:rPr>
              <w:t>投标人在参与政府采购活动中存在《深圳市财政局政府采购供应商信用信息管理办法》第十一条诚信相关问题且在主管部门相关处理措施实施期限内的，本项不得分，否则得满分。（投标人无需提供任何证明材料，由工作人员查询后向评审委员会提供相关信息。)</w:t>
            </w:r>
          </w:p>
        </w:tc>
        <w:tc>
          <w:tcPr>
            <w:tcW w:w="772" w:type="dxa"/>
            <w:shd w:val="clear" w:color="auto" w:fill="auto"/>
            <w:vAlign w:val="center"/>
          </w:tcPr>
          <w:p w14:paraId="57ACCF31">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2F40247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014C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58E05A1D">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00A5C8C9">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3618C649">
            <w:pPr>
              <w:spacing w:line="300" w:lineRule="exact"/>
              <w:ind w:left="-63" w:leftChars="-30" w:right="-88" w:rightChars="-42"/>
              <w:jc w:val="left"/>
              <w:rPr>
                <w:rFonts w:ascii="宋体" w:hAnsi="宋体" w:eastAsia="等线"/>
                <w:szCs w:val="21"/>
              </w:rPr>
            </w:pPr>
            <w:r>
              <w:rPr>
                <w:rFonts w:hint="eastAsia" w:ascii="宋体" w:hAnsi="宋体" w:eastAsia="等线"/>
                <w:szCs w:val="21"/>
              </w:rPr>
              <w:t xml:space="preserve">（1）评审标准： </w:t>
            </w:r>
          </w:p>
          <w:p w14:paraId="417D8FD4">
            <w:pPr>
              <w:spacing w:line="300" w:lineRule="exact"/>
              <w:ind w:left="-63" w:leftChars="-30" w:right="-88" w:rightChars="-42"/>
              <w:jc w:val="left"/>
              <w:rPr>
                <w:rFonts w:ascii="宋体" w:hAnsi="宋体" w:eastAsia="等线"/>
                <w:szCs w:val="21"/>
              </w:rPr>
            </w:pPr>
            <w:r>
              <w:rPr>
                <w:rFonts w:hint="eastAsia" w:ascii="宋体" w:hAnsi="宋体" w:eastAsia="等线"/>
                <w:szCs w:val="21"/>
              </w:rPr>
              <w:t xml:space="preserve">提供2020年1月1日至本项目投标截止之日由服务单位出具的经考核评价为优或其他最高级别评价的证明，每提供一份证明得1分，最高得4分。同一单位出具多份评价证明的不可重复得分。 </w:t>
            </w:r>
          </w:p>
          <w:p w14:paraId="54B92361">
            <w:pPr>
              <w:spacing w:line="300" w:lineRule="exact"/>
              <w:ind w:left="-63" w:leftChars="-30" w:right="-88" w:rightChars="-42"/>
              <w:jc w:val="left"/>
              <w:rPr>
                <w:rFonts w:ascii="宋体" w:hAnsi="宋体" w:eastAsia="等线"/>
                <w:szCs w:val="21"/>
              </w:rPr>
            </w:pPr>
            <w:r>
              <w:rPr>
                <w:rFonts w:hint="eastAsia" w:ascii="宋体" w:hAnsi="宋体" w:eastAsia="等线"/>
                <w:szCs w:val="21"/>
              </w:rPr>
              <w:t xml:space="preserve">（2）证明文件： </w:t>
            </w:r>
          </w:p>
          <w:p w14:paraId="149EB048">
            <w:pPr>
              <w:spacing w:line="300" w:lineRule="exact"/>
              <w:ind w:left="-63" w:leftChars="-30" w:right="-88" w:rightChars="-42"/>
              <w:jc w:val="left"/>
              <w:rPr>
                <w:rFonts w:ascii="宋体" w:hAnsi="宋体" w:eastAsia="等线"/>
                <w:szCs w:val="21"/>
              </w:rPr>
            </w:pPr>
            <w:r>
              <w:rPr>
                <w:rFonts w:hint="eastAsia" w:ascii="宋体" w:hAnsi="宋体" w:eastAsia="等线"/>
                <w:szCs w:val="21"/>
              </w:rPr>
              <w:t>提供服务单位评价证明文件（加盖服务单位公章或业务章）复印件。未按要求提供有效证明材料或提供不清晰导致评委无法识别的不计得分。</w:t>
            </w:r>
          </w:p>
        </w:tc>
        <w:tc>
          <w:tcPr>
            <w:tcW w:w="772" w:type="dxa"/>
            <w:shd w:val="clear" w:color="auto" w:fill="auto"/>
            <w:vAlign w:val="center"/>
          </w:tcPr>
          <w:p w14:paraId="04A1443E">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6EF25EE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0CA0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95" w:type="dxa"/>
            <w:shd w:val="clear" w:color="auto" w:fill="auto"/>
            <w:vAlign w:val="center"/>
          </w:tcPr>
          <w:p w14:paraId="4CA0C061">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7B475D96">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同类项目业绩情况</w:t>
            </w:r>
          </w:p>
        </w:tc>
        <w:tc>
          <w:tcPr>
            <w:tcW w:w="6825" w:type="dxa"/>
            <w:shd w:val="clear" w:color="auto" w:fill="auto"/>
            <w:vAlign w:val="center"/>
          </w:tcPr>
          <w:p w14:paraId="3A0FAF2C">
            <w:pPr>
              <w:spacing w:line="300" w:lineRule="exact"/>
              <w:ind w:left="-63" w:leftChars="-30" w:right="-88" w:rightChars="-42"/>
              <w:jc w:val="left"/>
              <w:rPr>
                <w:rFonts w:ascii="宋体" w:hAnsi="宋体" w:eastAsia="等线"/>
                <w:szCs w:val="21"/>
              </w:rPr>
            </w:pPr>
            <w:r>
              <w:rPr>
                <w:rFonts w:hint="eastAsia" w:ascii="宋体" w:hAnsi="宋体" w:eastAsia="等线"/>
                <w:szCs w:val="21"/>
              </w:rPr>
              <w:t>（1）评审标准：</w:t>
            </w:r>
          </w:p>
          <w:p w14:paraId="77DF746B">
            <w:pPr>
              <w:spacing w:line="300" w:lineRule="exact"/>
              <w:ind w:left="-63" w:leftChars="-30" w:right="-88" w:rightChars="-42"/>
              <w:jc w:val="left"/>
              <w:rPr>
                <w:rFonts w:ascii="宋体" w:hAnsi="宋体" w:eastAsia="等线"/>
                <w:szCs w:val="21"/>
              </w:rPr>
            </w:pPr>
            <w:r>
              <w:rPr>
                <w:rFonts w:hint="eastAsia" w:ascii="宋体" w:hAnsi="宋体" w:eastAsia="等线"/>
                <w:szCs w:val="21"/>
              </w:rPr>
              <w:t>投标人自2020年1月1日至本项目投标截止时间（以合同签订日期为准），每提供一项该业务的业绩得1分，最高得2分。</w:t>
            </w:r>
          </w:p>
          <w:p w14:paraId="5277ADAC">
            <w:pPr>
              <w:spacing w:line="300" w:lineRule="exact"/>
              <w:ind w:left="-63" w:leftChars="-30" w:right="-88" w:rightChars="-42"/>
              <w:jc w:val="left"/>
              <w:rPr>
                <w:rFonts w:ascii="宋体" w:hAnsi="宋体" w:eastAsia="等线"/>
                <w:szCs w:val="21"/>
              </w:rPr>
            </w:pPr>
            <w:r>
              <w:rPr>
                <w:rFonts w:hint="eastAsia" w:ascii="宋体" w:hAnsi="宋体" w:eastAsia="等线"/>
                <w:szCs w:val="21"/>
              </w:rPr>
              <w:t>（2）证明文件：</w:t>
            </w:r>
          </w:p>
          <w:p w14:paraId="0E803554">
            <w:pPr>
              <w:spacing w:line="300" w:lineRule="exact"/>
              <w:ind w:left="-63" w:leftChars="-30" w:right="-88" w:rightChars="-42"/>
              <w:jc w:val="left"/>
              <w:rPr>
                <w:rFonts w:ascii="宋体" w:hAnsi="宋体" w:eastAsia="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p w14:paraId="0A5E442B">
            <w:pPr>
              <w:spacing w:line="300" w:lineRule="exact"/>
              <w:ind w:left="-63" w:leftChars="-30" w:right="-88" w:rightChars="-42"/>
              <w:jc w:val="left"/>
              <w:rPr>
                <w:rFonts w:ascii="等线" w:hAnsi="等线" w:eastAsia="等线" w:cs="等线"/>
                <w:szCs w:val="21"/>
              </w:rPr>
            </w:pPr>
          </w:p>
        </w:tc>
        <w:tc>
          <w:tcPr>
            <w:tcW w:w="772" w:type="dxa"/>
            <w:shd w:val="clear" w:color="auto" w:fill="auto"/>
            <w:vAlign w:val="center"/>
          </w:tcPr>
          <w:p w14:paraId="66172562">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60" w:type="dxa"/>
            <w:shd w:val="clear" w:color="auto" w:fill="auto"/>
            <w:vAlign w:val="center"/>
          </w:tcPr>
          <w:p w14:paraId="3D907D2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4ED2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62CA695D">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7CD0EE00">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1873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66B5FC3">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6F79436A">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0F2C6FDC">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64053C75">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2293A597">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4D2ECAA1">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6746085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14:paraId="2CD4387E">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2F8D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7EF3982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3AEE08D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14:paraId="6702205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11E66B22">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7D9DCE05">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2F4A7AAF">
      <w:pPr>
        <w:widowControl/>
        <w:spacing w:before="100" w:beforeAutospacing="1" w:after="100" w:afterAutospacing="1"/>
        <w:rPr>
          <w:rFonts w:ascii="宋体" w:hAnsi="宋体"/>
          <w:b/>
          <w:bCs/>
          <w:sz w:val="28"/>
        </w:rPr>
      </w:pPr>
    </w:p>
    <w:p w14:paraId="64193AF4">
      <w:pPr>
        <w:widowControl/>
        <w:spacing w:before="100" w:beforeAutospacing="1" w:after="100" w:afterAutospacing="1"/>
        <w:jc w:val="center"/>
        <w:rPr>
          <w:rFonts w:ascii="宋体" w:hAnsi="宋体"/>
          <w:b/>
          <w:bCs/>
          <w:sz w:val="28"/>
        </w:rPr>
      </w:pPr>
      <w:r>
        <w:rPr>
          <w:rFonts w:hint="eastAsia" w:ascii="宋体" w:hAnsi="宋体"/>
          <w:b/>
          <w:bCs/>
          <w:sz w:val="28"/>
        </w:rPr>
        <w:t>二、后勤</w:t>
      </w:r>
      <w:r>
        <w:rPr>
          <w:rFonts w:ascii="宋体" w:hAnsi="宋体"/>
          <w:b/>
          <w:bCs/>
          <w:sz w:val="28"/>
        </w:rPr>
        <w:t>物资</w:t>
      </w:r>
      <w:r>
        <w:rPr>
          <w:rFonts w:hint="eastAsia" w:ascii="宋体" w:hAnsi="宋体"/>
          <w:b/>
          <w:bCs/>
          <w:sz w:val="28"/>
        </w:rPr>
        <w:t>采购需求：</w:t>
      </w:r>
    </w:p>
    <w:tbl>
      <w:tblPr>
        <w:tblStyle w:val="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288"/>
        <w:gridCol w:w="1882"/>
        <w:gridCol w:w="1432"/>
        <w:gridCol w:w="4015"/>
        <w:gridCol w:w="1057"/>
      </w:tblGrid>
      <w:tr w14:paraId="357D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09" w:type="pct"/>
            <w:vAlign w:val="center"/>
          </w:tcPr>
          <w:p w14:paraId="372A64CB">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序号</w:t>
            </w:r>
          </w:p>
        </w:tc>
        <w:tc>
          <w:tcPr>
            <w:tcW w:w="637" w:type="pct"/>
            <w:vAlign w:val="center"/>
          </w:tcPr>
          <w:p w14:paraId="478CB269">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名称</w:t>
            </w:r>
          </w:p>
        </w:tc>
        <w:tc>
          <w:tcPr>
            <w:tcW w:w="931" w:type="pct"/>
            <w:vAlign w:val="center"/>
          </w:tcPr>
          <w:p w14:paraId="1C174DB4">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规格型号</w:t>
            </w:r>
          </w:p>
        </w:tc>
        <w:tc>
          <w:tcPr>
            <w:tcW w:w="709" w:type="pct"/>
            <w:vAlign w:val="center"/>
          </w:tcPr>
          <w:p w14:paraId="5AD3B6E7">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材质要求</w:t>
            </w:r>
          </w:p>
        </w:tc>
        <w:tc>
          <w:tcPr>
            <w:tcW w:w="1988" w:type="pct"/>
            <w:vAlign w:val="center"/>
          </w:tcPr>
          <w:p w14:paraId="2EFDE4CB">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具体参数需求</w:t>
            </w:r>
          </w:p>
        </w:tc>
        <w:tc>
          <w:tcPr>
            <w:tcW w:w="523" w:type="pct"/>
            <w:vAlign w:val="center"/>
          </w:tcPr>
          <w:p w14:paraId="56D679A4">
            <w:pPr>
              <w:widowControl/>
              <w:adjustRightInd w:val="0"/>
              <w:snapToGrid w:val="0"/>
              <w:spacing w:before="100" w:beforeAutospacing="1" w:after="100" w:afterAutospacing="1"/>
              <w:jc w:val="center"/>
              <w:rPr>
                <w:rFonts w:ascii="宋体" w:hAnsi="宋体" w:cs="宋体"/>
                <w:kern w:val="0"/>
                <w:szCs w:val="21"/>
              </w:rPr>
            </w:pPr>
            <w:r>
              <w:rPr>
                <w:rFonts w:hint="eastAsia" w:cs="宋体" w:asciiTheme="minorEastAsia" w:hAnsiTheme="minorEastAsia" w:eastAsiaTheme="minorEastAsia"/>
                <w:szCs w:val="21"/>
              </w:rPr>
              <w:t>最高单价限价</w:t>
            </w:r>
          </w:p>
        </w:tc>
      </w:tr>
      <w:tr w14:paraId="418E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9" w:hRule="atLeast"/>
          <w:jc w:val="center"/>
        </w:trPr>
        <w:tc>
          <w:tcPr>
            <w:tcW w:w="209" w:type="pct"/>
            <w:vAlign w:val="center"/>
          </w:tcPr>
          <w:p w14:paraId="6652AC63">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1</w:t>
            </w:r>
          </w:p>
        </w:tc>
        <w:tc>
          <w:tcPr>
            <w:tcW w:w="637" w:type="pct"/>
            <w:vAlign w:val="center"/>
          </w:tcPr>
          <w:p w14:paraId="557B7D4C">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不锈钢篮筐标识牌1000个</w:t>
            </w:r>
          </w:p>
        </w:tc>
        <w:tc>
          <w:tcPr>
            <w:tcW w:w="931" w:type="pct"/>
            <w:vAlign w:val="center"/>
          </w:tcPr>
          <w:p w14:paraId="4C83DEB7">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多种，≥</w:t>
            </w:r>
            <w:r>
              <w:rPr>
                <w:rFonts w:hint="eastAsia" w:ascii="宋体" w:hAnsi="宋体" w:cs="宋体"/>
                <w:kern w:val="0"/>
                <w:szCs w:val="21"/>
                <w:lang w:val="en-US" w:eastAsia="zh-CN"/>
              </w:rPr>
              <w:t xml:space="preserve"> </w:t>
            </w:r>
            <w:r>
              <w:rPr>
                <w:rFonts w:hint="eastAsia" w:ascii="宋体" w:hAnsi="宋体" w:cs="宋体"/>
                <w:kern w:val="0"/>
                <w:szCs w:val="21"/>
              </w:rPr>
              <w:t>70*30</w:t>
            </w:r>
            <w:r>
              <w:rPr>
                <w:rFonts w:hint="eastAsia" w:ascii="宋体" w:hAnsi="宋体" w:cs="宋体"/>
                <w:kern w:val="0"/>
                <w:szCs w:val="21"/>
                <w:lang w:val="en-US" w:eastAsia="zh-CN"/>
              </w:rPr>
              <w:t xml:space="preserve"> </w:t>
            </w:r>
            <w:r>
              <w:rPr>
                <w:rFonts w:hint="eastAsia" w:ascii="宋体" w:hAnsi="宋体" w:cs="宋体"/>
                <w:kern w:val="0"/>
                <w:szCs w:val="21"/>
              </w:rPr>
              <w:t>mm</w:t>
            </w:r>
          </w:p>
        </w:tc>
        <w:tc>
          <w:tcPr>
            <w:tcW w:w="709" w:type="pct"/>
            <w:vAlign w:val="center"/>
          </w:tcPr>
          <w:p w14:paraId="501027CF">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优质不锈钢，能耐受大于137</w:t>
            </w:r>
            <w:r>
              <w:rPr>
                <w:rFonts w:hint="eastAsia" w:ascii="宋体" w:hAnsi="宋体" w:cs="宋体"/>
                <w:kern w:val="0"/>
                <w:szCs w:val="21"/>
                <w:lang w:val="en-US" w:eastAsia="zh-CN"/>
              </w:rPr>
              <w:t>℃</w:t>
            </w:r>
            <w:r>
              <w:rPr>
                <w:rFonts w:hint="eastAsia" w:ascii="宋体" w:hAnsi="宋体" w:cs="宋体"/>
                <w:kern w:val="0"/>
                <w:szCs w:val="21"/>
              </w:rPr>
              <w:t>高温灭菌</w:t>
            </w:r>
          </w:p>
        </w:tc>
        <w:tc>
          <w:tcPr>
            <w:tcW w:w="1988" w:type="pct"/>
            <w:vAlign w:val="center"/>
          </w:tcPr>
          <w:p w14:paraId="7535E608">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用于篮筐或托盘的辨识和分类管理，可配合UDI刻录系统使用；</w:t>
            </w:r>
          </w:p>
          <w:p w14:paraId="2358B98D">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材质：不锈钢、合成材料防腐蚀，耐酸碱，材料弹性好不易变形卡扣回弹保持原有状态（需要提供样品）；</w:t>
            </w:r>
          </w:p>
          <w:p w14:paraId="0AA93994">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表面喷沙抛光处理不反，光避免扫描器在扫描过程受到反光影响读取不到条形码信息；</w:t>
            </w:r>
          </w:p>
          <w:p w14:paraId="1C68A461">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可用于激光雕刻文字、条码、二维码；字体二维码字体不能掉色（提供样品）；</w:t>
            </w:r>
          </w:p>
          <w:p w14:paraId="0429B7F4">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适用于压力蒸汽灭菌、环氧乙烷灭菌、过氧化氢低温等离子灭菌、低温甲醛灭菌；</w:t>
            </w:r>
          </w:p>
          <w:p w14:paraId="16258533">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厂家具备ISO9001和ISO13485资质，并提供相关证明文件。</w:t>
            </w:r>
          </w:p>
        </w:tc>
        <w:tc>
          <w:tcPr>
            <w:tcW w:w="523" w:type="pct"/>
            <w:vAlign w:val="center"/>
          </w:tcPr>
          <w:p w14:paraId="7588525C">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50</w:t>
            </w:r>
          </w:p>
        </w:tc>
      </w:tr>
      <w:tr w14:paraId="1CE1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09" w:type="pct"/>
            <w:vAlign w:val="center"/>
          </w:tcPr>
          <w:p w14:paraId="1AFEEADE">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2</w:t>
            </w:r>
          </w:p>
        </w:tc>
        <w:tc>
          <w:tcPr>
            <w:tcW w:w="637" w:type="pct"/>
            <w:vAlign w:val="center"/>
          </w:tcPr>
          <w:p w14:paraId="6D9A713A">
            <w:pPr>
              <w:jc w:val="center"/>
            </w:pPr>
            <w:r>
              <w:rPr>
                <w:rFonts w:hint="eastAsia" w:ascii="宋体" w:hAnsi="宋体" w:cs="宋体"/>
                <w:kern w:val="0"/>
                <w:szCs w:val="21"/>
              </w:rPr>
              <w:t>智能抗菌密闭转运箱30个</w:t>
            </w:r>
          </w:p>
        </w:tc>
        <w:tc>
          <w:tcPr>
            <w:tcW w:w="931" w:type="pct"/>
            <w:vAlign w:val="center"/>
          </w:tcPr>
          <w:p w14:paraId="24DA1798">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 xml:space="preserve">  型号中号（长*宽*高）：</w:t>
            </w:r>
          </w:p>
          <w:p w14:paraId="07C19C89">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≥550*360*300±10</w:t>
            </w:r>
            <w:r>
              <w:rPr>
                <w:rFonts w:hint="eastAsia" w:ascii="宋体" w:hAnsi="宋体" w:cs="宋体"/>
                <w:kern w:val="0"/>
                <w:szCs w:val="21"/>
                <w:lang w:val="en-US" w:eastAsia="zh-CN"/>
              </w:rPr>
              <w:t xml:space="preserve"> </w:t>
            </w:r>
            <w:r>
              <w:rPr>
                <w:rFonts w:hint="eastAsia" w:ascii="宋体" w:hAnsi="宋体" w:cs="宋体"/>
                <w:kern w:val="0"/>
                <w:szCs w:val="21"/>
              </w:rPr>
              <w:t>mm</w:t>
            </w:r>
          </w:p>
        </w:tc>
        <w:tc>
          <w:tcPr>
            <w:tcW w:w="709" w:type="pct"/>
            <w:vAlign w:val="center"/>
          </w:tcPr>
          <w:p w14:paraId="261B2CA7">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抗菌性能的PP</w:t>
            </w:r>
            <w:r>
              <w:rPr>
                <w:rFonts w:hint="eastAsia" w:ascii="宋体" w:hAnsi="宋体" w:cs="宋体"/>
                <w:kern w:val="0"/>
                <w:szCs w:val="21"/>
                <w:lang w:eastAsia="zh-CN"/>
              </w:rPr>
              <w:t>（</w:t>
            </w:r>
            <w:r>
              <w:rPr>
                <w:rFonts w:hint="eastAsia" w:ascii="宋体" w:hAnsi="宋体" w:cs="宋体"/>
                <w:kern w:val="0"/>
                <w:szCs w:val="21"/>
                <w:lang w:val="en-US" w:eastAsia="zh-CN"/>
              </w:rPr>
              <w:t>聚丙烯</w:t>
            </w:r>
            <w:r>
              <w:rPr>
                <w:rFonts w:hint="eastAsia" w:ascii="宋体" w:hAnsi="宋体" w:cs="宋体"/>
                <w:kern w:val="0"/>
                <w:szCs w:val="21"/>
                <w:lang w:eastAsia="zh-CN"/>
              </w:rPr>
              <w:t>）</w:t>
            </w:r>
            <w:r>
              <w:rPr>
                <w:rFonts w:hint="eastAsia" w:ascii="宋体" w:hAnsi="宋体" w:cs="宋体"/>
                <w:kern w:val="0"/>
                <w:szCs w:val="21"/>
              </w:rPr>
              <w:t>材料一体成型</w:t>
            </w:r>
          </w:p>
        </w:tc>
        <w:tc>
          <w:tcPr>
            <w:tcW w:w="1988" w:type="pct"/>
            <w:vAlign w:val="center"/>
          </w:tcPr>
          <w:p w14:paraId="6BA4B5A4">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rPr>
              <w:t>1、密闭性达到防水防尘等级IP67</w:t>
            </w:r>
          </w:p>
          <w:p w14:paraId="59B04598">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rPr>
              <w:t>2、符合GB/T31402-2015《塑料表面抗菌性能实验方法》要求，对大肠杆菌ATCC 8739和金黄色葡萄球菌ATCC 6538P的抗菌率为99.9%</w:t>
            </w:r>
          </w:p>
          <w:p w14:paraId="5AEED29B">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rPr>
              <w:t>3、耐高温清洗，可耐受100℃ 5分钟机械清洗高水平消毒，箱体不变性</w:t>
            </w:r>
          </w:p>
          <w:p w14:paraId="718686CA">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rPr>
              <w:t>4、流线型设计，抗菌性能的PP材料一体成型</w:t>
            </w:r>
          </w:p>
          <w:p w14:paraId="01A48C62">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rPr>
              <w:t>5、可使用含氯消毒液、酒精和消毒湿巾等擦拭消毒，箱体不受腐蚀</w:t>
            </w:r>
          </w:p>
          <w:p w14:paraId="5F282ABE">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rPr>
              <w:t>6、可内置RFID芯片及二维码，配合质量追溯管理系统完成追溯的闭环管理</w:t>
            </w:r>
          </w:p>
          <w:p w14:paraId="28906049">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rPr>
              <w:t>7、有多种颜色可以选择，以便于分区使用。</w:t>
            </w:r>
          </w:p>
        </w:tc>
        <w:tc>
          <w:tcPr>
            <w:tcW w:w="523" w:type="pct"/>
            <w:vAlign w:val="center"/>
          </w:tcPr>
          <w:p w14:paraId="203B9D6E">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200</w:t>
            </w:r>
          </w:p>
        </w:tc>
      </w:tr>
      <w:tr w14:paraId="23A3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09" w:type="pct"/>
            <w:vAlign w:val="center"/>
          </w:tcPr>
          <w:p w14:paraId="78781173">
            <w:pPr>
              <w:jc w:val="center"/>
              <w:rPr>
                <w:rFonts w:hint="eastAsia" w:ascii="宋体" w:hAnsi="宋体" w:cs="宋体"/>
                <w:kern w:val="0"/>
                <w:szCs w:val="21"/>
              </w:rPr>
            </w:pPr>
            <w:r>
              <w:rPr>
                <w:rFonts w:hint="eastAsia" w:ascii="宋体" w:hAnsi="宋体" w:cs="宋体"/>
                <w:kern w:val="0"/>
                <w:szCs w:val="21"/>
              </w:rPr>
              <w:t>3</w:t>
            </w:r>
          </w:p>
        </w:tc>
        <w:tc>
          <w:tcPr>
            <w:tcW w:w="637" w:type="pct"/>
            <w:vAlign w:val="center"/>
          </w:tcPr>
          <w:p w14:paraId="1191B1B9">
            <w:pPr>
              <w:jc w:val="center"/>
              <w:rPr>
                <w:rFonts w:hint="eastAsia" w:ascii="宋体" w:hAnsi="宋体" w:cs="宋体"/>
                <w:kern w:val="0"/>
                <w:szCs w:val="21"/>
              </w:rPr>
            </w:pPr>
            <w:r>
              <w:rPr>
                <w:rFonts w:hint="eastAsia" w:ascii="宋体" w:hAnsi="宋体" w:cs="宋体"/>
                <w:kern w:val="0"/>
                <w:szCs w:val="21"/>
              </w:rPr>
              <w:t>灭菌篮筐30个</w:t>
            </w:r>
          </w:p>
        </w:tc>
        <w:tc>
          <w:tcPr>
            <w:tcW w:w="931" w:type="pct"/>
            <w:vAlign w:val="center"/>
          </w:tcPr>
          <w:p w14:paraId="39D571BF">
            <w:pPr>
              <w:widowControl/>
              <w:adjustRightInd w:val="0"/>
              <w:snapToGrid w:val="0"/>
              <w:spacing w:before="100" w:beforeAutospacing="1" w:after="100" w:afterAutospacing="1"/>
              <w:jc w:val="center"/>
              <w:rPr>
                <w:rFonts w:hint="eastAsia" w:ascii="宋体" w:hAnsi="宋体" w:cs="宋体"/>
                <w:kern w:val="0"/>
                <w:szCs w:val="21"/>
                <w:lang w:eastAsia="zh-CN"/>
              </w:rPr>
            </w:pPr>
            <w:r>
              <w:rPr>
                <w:rFonts w:hint="eastAsia" w:ascii="宋体" w:hAnsi="宋体" w:cs="宋体"/>
                <w:kern w:val="0"/>
                <w:szCs w:val="21"/>
              </w:rPr>
              <w:t>标准篮筐尺寸</w:t>
            </w:r>
            <w:r>
              <w:rPr>
                <w:rFonts w:hint="eastAsia" w:ascii="宋体" w:hAnsi="宋体" w:cs="宋体"/>
                <w:kern w:val="0"/>
                <w:szCs w:val="21"/>
                <w:lang w:eastAsia="zh-CN"/>
              </w:rPr>
              <w:t>：</w:t>
            </w:r>
          </w:p>
          <w:p w14:paraId="38267E60">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≥580*390*190</w:t>
            </w:r>
            <w:r>
              <w:rPr>
                <w:rFonts w:hint="eastAsia" w:ascii="宋体" w:hAnsi="宋体" w:cs="宋体"/>
                <w:kern w:val="0"/>
                <w:szCs w:val="21"/>
                <w:lang w:val="en-US" w:eastAsia="zh-CN"/>
              </w:rPr>
              <w:t xml:space="preserve"> </w:t>
            </w:r>
            <w:r>
              <w:rPr>
                <w:rFonts w:hint="eastAsia" w:ascii="宋体" w:hAnsi="宋体" w:cs="宋体"/>
                <w:kern w:val="0"/>
                <w:szCs w:val="21"/>
              </w:rPr>
              <w:t>mm±5</w:t>
            </w:r>
            <w:r>
              <w:rPr>
                <w:rFonts w:hint="eastAsia" w:ascii="宋体" w:hAnsi="宋体" w:cs="宋体"/>
                <w:kern w:val="0"/>
                <w:szCs w:val="21"/>
                <w:lang w:val="en-US" w:eastAsia="zh-CN"/>
              </w:rPr>
              <w:t xml:space="preserve"> </w:t>
            </w:r>
            <w:r>
              <w:rPr>
                <w:rFonts w:hint="eastAsia" w:ascii="宋体" w:hAnsi="宋体" w:cs="宋体"/>
                <w:kern w:val="0"/>
                <w:szCs w:val="21"/>
              </w:rPr>
              <w:t>mm;</w:t>
            </w:r>
          </w:p>
        </w:tc>
        <w:tc>
          <w:tcPr>
            <w:tcW w:w="709" w:type="pct"/>
            <w:vAlign w:val="center"/>
          </w:tcPr>
          <w:p w14:paraId="77A32A4D">
            <w:pPr>
              <w:widowControl/>
              <w:adjustRightInd w:val="0"/>
              <w:snapToGrid w:val="0"/>
              <w:spacing w:before="100" w:beforeAutospacing="1" w:after="100" w:afterAutospacing="1"/>
              <w:jc w:val="center"/>
              <w:rPr>
                <w:rFonts w:hint="eastAsia" w:ascii="宋体" w:hAnsi="宋体" w:cs="宋体"/>
                <w:kern w:val="0"/>
                <w:szCs w:val="21"/>
              </w:rPr>
            </w:pPr>
          </w:p>
        </w:tc>
        <w:tc>
          <w:tcPr>
            <w:tcW w:w="1988" w:type="pct"/>
            <w:vAlign w:val="center"/>
          </w:tcPr>
          <w:p w14:paraId="692D9E56">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按照SPRI标准制作；</w:t>
            </w:r>
          </w:p>
          <w:p w14:paraId="47451EE3">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304以上等级不锈钢材质；</w:t>
            </w:r>
          </w:p>
          <w:p w14:paraId="65A16823">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尺寸≥580*390*190mm±5mm;</w:t>
            </w:r>
          </w:p>
          <w:p w14:paraId="61B9410F">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用于灭菌物品的存储和转运；</w:t>
            </w:r>
          </w:p>
          <w:p w14:paraId="27A716C2">
            <w:pPr>
              <w:widowControl/>
              <w:adjustRightInd w:val="0"/>
              <w:snapToGrid w:val="0"/>
              <w:spacing w:before="100" w:beforeAutospacing="1" w:after="100" w:afterAutospacing="1"/>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5.</w:t>
            </w:r>
            <w:r>
              <w:rPr>
                <w:rFonts w:hint="eastAsia" w:ascii="宋体" w:hAnsi="宋体" w:cs="宋体"/>
                <w:kern w:val="0"/>
                <w:szCs w:val="21"/>
              </w:rPr>
              <w:t>可堆叠存放</w:t>
            </w:r>
            <w:r>
              <w:rPr>
                <w:rFonts w:hint="eastAsia" w:ascii="宋体" w:hAnsi="宋体" w:cs="宋体"/>
                <w:kern w:val="0"/>
                <w:szCs w:val="21"/>
                <w:lang w:eastAsia="zh-CN"/>
              </w:rPr>
              <w:t>；</w:t>
            </w:r>
          </w:p>
          <w:p w14:paraId="713A74B6">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提供样品，适用于我院在用品牌（洁定灭菌器）装载使用</w:t>
            </w:r>
          </w:p>
        </w:tc>
        <w:tc>
          <w:tcPr>
            <w:tcW w:w="523" w:type="pct"/>
            <w:vAlign w:val="center"/>
          </w:tcPr>
          <w:p w14:paraId="6A411A0E">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1000</w:t>
            </w:r>
          </w:p>
        </w:tc>
      </w:tr>
      <w:tr w14:paraId="6527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09" w:type="pct"/>
            <w:vAlign w:val="center"/>
          </w:tcPr>
          <w:p w14:paraId="07919BDB">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4</w:t>
            </w:r>
          </w:p>
        </w:tc>
        <w:tc>
          <w:tcPr>
            <w:tcW w:w="637" w:type="pct"/>
            <w:vAlign w:val="center"/>
          </w:tcPr>
          <w:p w14:paraId="46279899">
            <w:pPr>
              <w:jc w:val="center"/>
              <w:rPr>
                <w:rFonts w:hint="eastAsia" w:ascii="宋体" w:hAnsi="宋体" w:cs="宋体"/>
                <w:kern w:val="0"/>
                <w:szCs w:val="21"/>
              </w:rPr>
            </w:pPr>
            <w:r>
              <w:rPr>
                <w:rFonts w:hint="eastAsia" w:ascii="宋体" w:hAnsi="宋体" w:cs="宋体"/>
                <w:kern w:val="0"/>
                <w:szCs w:val="21"/>
              </w:rPr>
              <w:t>灭菌篮筐11个</w:t>
            </w:r>
          </w:p>
        </w:tc>
        <w:tc>
          <w:tcPr>
            <w:tcW w:w="931" w:type="pct"/>
            <w:vAlign w:val="center"/>
          </w:tcPr>
          <w:p w14:paraId="0F6BD740">
            <w:pPr>
              <w:widowControl/>
              <w:adjustRightInd w:val="0"/>
              <w:snapToGrid w:val="0"/>
              <w:spacing w:before="100" w:beforeAutospacing="1" w:after="100" w:afterAutospacing="1"/>
              <w:jc w:val="center"/>
              <w:rPr>
                <w:rFonts w:hint="eastAsia" w:ascii="宋体" w:hAnsi="宋体" w:eastAsia="宋体" w:cs="宋体"/>
                <w:kern w:val="0"/>
                <w:szCs w:val="21"/>
                <w:lang w:eastAsia="zh-CN"/>
              </w:rPr>
            </w:pPr>
            <w:r>
              <w:rPr>
                <w:rFonts w:hint="eastAsia" w:ascii="宋体" w:hAnsi="宋体" w:cs="宋体"/>
                <w:kern w:val="0"/>
                <w:szCs w:val="21"/>
              </w:rPr>
              <w:t>半篮筐</w:t>
            </w:r>
            <w:r>
              <w:rPr>
                <w:rFonts w:hint="eastAsia" w:ascii="宋体" w:hAnsi="宋体" w:cs="宋体"/>
                <w:kern w:val="0"/>
                <w:szCs w:val="21"/>
                <w:lang w:eastAsia="zh-CN"/>
              </w:rPr>
              <w:t>：</w:t>
            </w:r>
          </w:p>
          <w:p w14:paraId="301DF661">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≥580*390*100</w:t>
            </w:r>
            <w:r>
              <w:rPr>
                <w:rFonts w:hint="eastAsia" w:ascii="宋体" w:hAnsi="宋体" w:cs="宋体"/>
                <w:kern w:val="0"/>
                <w:szCs w:val="21"/>
                <w:lang w:val="en-US" w:eastAsia="zh-CN"/>
              </w:rPr>
              <w:t xml:space="preserve"> </w:t>
            </w:r>
            <w:r>
              <w:rPr>
                <w:rFonts w:hint="eastAsia" w:ascii="宋体" w:hAnsi="宋体" w:cs="宋体"/>
                <w:kern w:val="0"/>
                <w:szCs w:val="21"/>
              </w:rPr>
              <w:t>mm±5</w:t>
            </w:r>
            <w:r>
              <w:rPr>
                <w:rFonts w:hint="eastAsia" w:ascii="宋体" w:hAnsi="宋体" w:cs="宋体"/>
                <w:kern w:val="0"/>
                <w:szCs w:val="21"/>
                <w:lang w:val="en-US" w:eastAsia="zh-CN"/>
              </w:rPr>
              <w:t xml:space="preserve"> </w:t>
            </w:r>
            <w:r>
              <w:rPr>
                <w:rFonts w:hint="eastAsia" w:ascii="宋体" w:hAnsi="宋体" w:cs="宋体"/>
                <w:kern w:val="0"/>
                <w:szCs w:val="21"/>
              </w:rPr>
              <w:t>mm;</w:t>
            </w:r>
          </w:p>
        </w:tc>
        <w:tc>
          <w:tcPr>
            <w:tcW w:w="709" w:type="pct"/>
            <w:vAlign w:val="center"/>
          </w:tcPr>
          <w:p w14:paraId="5EA70BC3">
            <w:pPr>
              <w:widowControl/>
              <w:adjustRightInd w:val="0"/>
              <w:snapToGrid w:val="0"/>
              <w:spacing w:before="100" w:beforeAutospacing="1" w:after="100" w:afterAutospacing="1"/>
              <w:jc w:val="center"/>
              <w:rPr>
                <w:rFonts w:hint="eastAsia" w:ascii="宋体" w:hAnsi="宋体" w:cs="宋体"/>
                <w:kern w:val="0"/>
                <w:szCs w:val="21"/>
              </w:rPr>
            </w:pPr>
          </w:p>
        </w:tc>
        <w:tc>
          <w:tcPr>
            <w:tcW w:w="1988" w:type="pct"/>
            <w:vAlign w:val="center"/>
          </w:tcPr>
          <w:p w14:paraId="319A1FC6">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按照SPRI标准制作；</w:t>
            </w:r>
          </w:p>
          <w:p w14:paraId="62A00E17">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304以上等级不锈钢材质；</w:t>
            </w:r>
          </w:p>
          <w:p w14:paraId="60911CBB">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尺寸≥</w:t>
            </w:r>
            <w:r>
              <w:rPr>
                <w:rFonts w:hint="eastAsia" w:ascii="宋体" w:hAnsi="宋体" w:cs="宋体"/>
                <w:kern w:val="0"/>
                <w:szCs w:val="21"/>
                <w:lang w:val="en-US" w:eastAsia="zh-CN"/>
              </w:rPr>
              <w:t xml:space="preserve"> </w:t>
            </w:r>
            <w:r>
              <w:rPr>
                <w:rFonts w:hint="eastAsia" w:ascii="宋体" w:hAnsi="宋体" w:cs="宋体"/>
                <w:kern w:val="0"/>
                <w:szCs w:val="21"/>
              </w:rPr>
              <w:t>580*390*100</w:t>
            </w:r>
            <w:r>
              <w:rPr>
                <w:rFonts w:hint="eastAsia" w:ascii="宋体" w:hAnsi="宋体" w:cs="宋体"/>
                <w:kern w:val="0"/>
                <w:szCs w:val="21"/>
                <w:lang w:val="en-US" w:eastAsia="zh-CN"/>
              </w:rPr>
              <w:t xml:space="preserve"> </w:t>
            </w:r>
            <w:r>
              <w:rPr>
                <w:rFonts w:hint="eastAsia" w:ascii="宋体" w:hAnsi="宋体" w:cs="宋体"/>
                <w:kern w:val="0"/>
                <w:szCs w:val="21"/>
              </w:rPr>
              <w:t>mm±5</w:t>
            </w:r>
            <w:r>
              <w:rPr>
                <w:rFonts w:hint="eastAsia" w:ascii="宋体" w:hAnsi="宋体" w:cs="宋体"/>
                <w:kern w:val="0"/>
                <w:szCs w:val="21"/>
                <w:lang w:val="en-US" w:eastAsia="zh-CN"/>
              </w:rPr>
              <w:t xml:space="preserve"> </w:t>
            </w:r>
            <w:r>
              <w:rPr>
                <w:rFonts w:hint="eastAsia" w:ascii="宋体" w:hAnsi="宋体" w:cs="宋体"/>
                <w:kern w:val="0"/>
                <w:szCs w:val="21"/>
              </w:rPr>
              <w:t xml:space="preserve">mm; </w:t>
            </w:r>
          </w:p>
          <w:p w14:paraId="6F9D4D81">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用于灭菌物品的存储和转运；</w:t>
            </w:r>
          </w:p>
          <w:p w14:paraId="61774822">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可堆叠存放</w:t>
            </w:r>
          </w:p>
          <w:p w14:paraId="602FDDB2">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rPr>
              <w:tab/>
            </w:r>
            <w:r>
              <w:rPr>
                <w:rFonts w:hint="eastAsia" w:ascii="宋体" w:hAnsi="宋体" w:cs="宋体"/>
                <w:kern w:val="0"/>
                <w:szCs w:val="21"/>
                <w:lang w:val="en-US" w:eastAsia="zh-CN"/>
              </w:rPr>
              <w:t>6.</w:t>
            </w:r>
            <w:r>
              <w:rPr>
                <w:rFonts w:hint="eastAsia" w:ascii="宋体" w:hAnsi="宋体" w:cs="宋体"/>
                <w:kern w:val="0"/>
                <w:szCs w:val="21"/>
              </w:rPr>
              <w:t>提供样品，适用于我院在用品牌（洁定灭菌器）装载使用</w:t>
            </w:r>
          </w:p>
        </w:tc>
        <w:tc>
          <w:tcPr>
            <w:tcW w:w="523" w:type="pct"/>
            <w:vAlign w:val="center"/>
          </w:tcPr>
          <w:p w14:paraId="2F278606">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900</w:t>
            </w:r>
          </w:p>
        </w:tc>
      </w:tr>
      <w:tr w14:paraId="40F1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209" w:type="pct"/>
            <w:vAlign w:val="center"/>
          </w:tcPr>
          <w:p w14:paraId="00C8CBDC">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5</w:t>
            </w:r>
          </w:p>
        </w:tc>
        <w:tc>
          <w:tcPr>
            <w:tcW w:w="637" w:type="pct"/>
            <w:vAlign w:val="center"/>
          </w:tcPr>
          <w:p w14:paraId="0B641B0D">
            <w:pPr>
              <w:jc w:val="center"/>
              <w:rPr>
                <w:rFonts w:hint="eastAsia" w:ascii="宋体" w:hAnsi="宋体" w:cs="宋体"/>
                <w:kern w:val="0"/>
                <w:szCs w:val="21"/>
              </w:rPr>
            </w:pPr>
            <w:r>
              <w:rPr>
                <w:rFonts w:hint="eastAsia" w:ascii="宋体" w:hAnsi="宋体" w:cs="宋体"/>
                <w:kern w:val="0"/>
                <w:szCs w:val="21"/>
              </w:rPr>
              <w:t>不锈钢支架12个</w:t>
            </w:r>
          </w:p>
        </w:tc>
        <w:tc>
          <w:tcPr>
            <w:tcW w:w="931" w:type="pct"/>
            <w:vAlign w:val="center"/>
          </w:tcPr>
          <w:p w14:paraId="72D5BD40">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通用</w:t>
            </w:r>
          </w:p>
        </w:tc>
        <w:tc>
          <w:tcPr>
            <w:tcW w:w="709" w:type="pct"/>
            <w:vAlign w:val="center"/>
          </w:tcPr>
          <w:p w14:paraId="37CF2418">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不锈钢</w:t>
            </w:r>
          </w:p>
        </w:tc>
        <w:tc>
          <w:tcPr>
            <w:tcW w:w="1988" w:type="pct"/>
            <w:vAlign w:val="center"/>
          </w:tcPr>
          <w:p w14:paraId="26B682E5">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不锈钢材质</w:t>
            </w:r>
          </w:p>
          <w:p w14:paraId="5FACB1AB">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调节方便</w:t>
            </w:r>
          </w:p>
          <w:p w14:paraId="5327A912">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可以固定在桌边，不晃动</w:t>
            </w:r>
          </w:p>
          <w:p w14:paraId="4CDC59F2">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可以调角度</w:t>
            </w:r>
          </w:p>
        </w:tc>
        <w:tc>
          <w:tcPr>
            <w:tcW w:w="523" w:type="pct"/>
            <w:vAlign w:val="center"/>
          </w:tcPr>
          <w:p w14:paraId="58FB0A7A">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50</w:t>
            </w:r>
          </w:p>
        </w:tc>
      </w:tr>
      <w:tr w14:paraId="1EFB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09" w:type="pct"/>
            <w:vAlign w:val="center"/>
          </w:tcPr>
          <w:p w14:paraId="3C6D1311">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6</w:t>
            </w:r>
          </w:p>
        </w:tc>
        <w:tc>
          <w:tcPr>
            <w:tcW w:w="637" w:type="pct"/>
            <w:vAlign w:val="center"/>
          </w:tcPr>
          <w:p w14:paraId="20D96331">
            <w:pPr>
              <w:jc w:val="center"/>
              <w:rPr>
                <w:rFonts w:hint="eastAsia" w:ascii="宋体" w:hAnsi="宋体" w:cs="宋体"/>
                <w:kern w:val="0"/>
                <w:szCs w:val="21"/>
              </w:rPr>
            </w:pPr>
            <w:r>
              <w:rPr>
                <w:rFonts w:hint="eastAsia" w:ascii="宋体" w:hAnsi="宋体" w:cs="宋体"/>
                <w:kern w:val="0"/>
                <w:szCs w:val="21"/>
              </w:rPr>
              <w:t>超级精密网框2个</w:t>
            </w:r>
          </w:p>
        </w:tc>
        <w:tc>
          <w:tcPr>
            <w:tcW w:w="931" w:type="pct"/>
            <w:vAlign w:val="center"/>
          </w:tcPr>
          <w:p w14:paraId="513CEECB">
            <w:pPr>
              <w:widowControl/>
              <w:adjustRightInd w:val="0"/>
              <w:snapToGrid w:val="0"/>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cs="宋体"/>
                <w:kern w:val="0"/>
                <w:szCs w:val="21"/>
              </w:rPr>
              <w:t>21*11*4</w:t>
            </w:r>
            <w:r>
              <w:rPr>
                <w:rFonts w:hint="eastAsia" w:ascii="宋体" w:hAnsi="宋体" w:cs="宋体"/>
                <w:kern w:val="0"/>
                <w:szCs w:val="21"/>
                <w:lang w:val="en-US" w:eastAsia="zh-CN"/>
              </w:rPr>
              <w:t xml:space="preserve"> mm</w:t>
            </w:r>
          </w:p>
        </w:tc>
        <w:tc>
          <w:tcPr>
            <w:tcW w:w="709" w:type="pct"/>
            <w:vAlign w:val="center"/>
          </w:tcPr>
          <w:p w14:paraId="10EDC756">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优质不锈钢</w:t>
            </w:r>
          </w:p>
        </w:tc>
        <w:tc>
          <w:tcPr>
            <w:tcW w:w="1988" w:type="pct"/>
            <w:vAlign w:val="center"/>
          </w:tcPr>
          <w:p w14:paraId="7DFC270E">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适用于清洗、消毒、包装及灭菌口腔精密小器械</w:t>
            </w:r>
          </w:p>
          <w:p w14:paraId="72EB67F8">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整体采用不锈钢材质，高度耐腐蚀</w:t>
            </w:r>
          </w:p>
          <w:p w14:paraId="269B9992">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表面抛光去毛刺处理，不伤器械及包装材料</w:t>
            </w:r>
          </w:p>
          <w:p w14:paraId="418E27C8">
            <w:pPr>
              <w:widowControl/>
              <w:adjustRightInd w:val="0"/>
              <w:snapToGrid w:val="0"/>
              <w:spacing w:before="100" w:beforeAutospacing="1" w:after="100" w:afterAutospacing="1"/>
              <w:jc w:val="left"/>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带有锁扣翻盖，有效保护器械和物品。</w:t>
            </w:r>
          </w:p>
        </w:tc>
        <w:tc>
          <w:tcPr>
            <w:tcW w:w="523" w:type="pct"/>
            <w:vAlign w:val="center"/>
          </w:tcPr>
          <w:p w14:paraId="576E3ACA">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850</w:t>
            </w:r>
          </w:p>
        </w:tc>
      </w:tr>
    </w:tbl>
    <w:p w14:paraId="6E02873F">
      <w:pPr>
        <w:spacing w:line="540" w:lineRule="exact"/>
        <w:rPr>
          <w:rFonts w:ascii="宋体" w:hAnsi="宋体"/>
          <w:bCs/>
          <w:sz w:val="24"/>
        </w:rPr>
      </w:pPr>
      <w:bookmarkStart w:id="0" w:name="_GoBack"/>
      <w:bookmarkEnd w:id="0"/>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Segoe Print"/>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sdtPr>
    <w:sdtContent>
      <w:p w14:paraId="12C9DA0A">
        <w:pPr>
          <w:pStyle w:val="6"/>
          <w:jc w:val="center"/>
        </w:pPr>
        <w:r>
          <w:fldChar w:fldCharType="begin"/>
        </w:r>
        <w:r>
          <w:instrText xml:space="preserve">PAGE   \* MERGEFORMAT</w:instrText>
        </w:r>
        <w:r>
          <w:fldChar w:fldCharType="separate"/>
        </w:r>
        <w:r>
          <w:rPr>
            <w:lang w:val="zh-CN"/>
          </w:rPr>
          <w:t>-</w:t>
        </w:r>
        <w:r>
          <w:t xml:space="preserve"> 5 -</w:t>
        </w:r>
        <w:r>
          <w:fldChar w:fldCharType="end"/>
        </w:r>
      </w:p>
    </w:sdtContent>
  </w:sdt>
  <w:p w14:paraId="2661AC9B">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917972"/>
    <w:rsid w:val="00013EC7"/>
    <w:rsid w:val="0001717B"/>
    <w:rsid w:val="000346EE"/>
    <w:rsid w:val="000730B6"/>
    <w:rsid w:val="000865FB"/>
    <w:rsid w:val="000A2D9F"/>
    <w:rsid w:val="000B2248"/>
    <w:rsid w:val="000B3AA2"/>
    <w:rsid w:val="000C46CA"/>
    <w:rsid w:val="000D196D"/>
    <w:rsid w:val="00125B20"/>
    <w:rsid w:val="00161A38"/>
    <w:rsid w:val="001C020B"/>
    <w:rsid w:val="001D4F49"/>
    <w:rsid w:val="001F3EC2"/>
    <w:rsid w:val="00203F52"/>
    <w:rsid w:val="00214288"/>
    <w:rsid w:val="00285C2B"/>
    <w:rsid w:val="002B37EE"/>
    <w:rsid w:val="002B4449"/>
    <w:rsid w:val="002D4BC7"/>
    <w:rsid w:val="002D5E7C"/>
    <w:rsid w:val="003113BF"/>
    <w:rsid w:val="00316A24"/>
    <w:rsid w:val="00331EE4"/>
    <w:rsid w:val="00332B5E"/>
    <w:rsid w:val="00347C2E"/>
    <w:rsid w:val="00364C3B"/>
    <w:rsid w:val="00375B7E"/>
    <w:rsid w:val="003772F4"/>
    <w:rsid w:val="003C2A30"/>
    <w:rsid w:val="003F071A"/>
    <w:rsid w:val="00425B19"/>
    <w:rsid w:val="004540FE"/>
    <w:rsid w:val="00480440"/>
    <w:rsid w:val="0049707C"/>
    <w:rsid w:val="004C0E85"/>
    <w:rsid w:val="004D1697"/>
    <w:rsid w:val="004F336A"/>
    <w:rsid w:val="00513CF5"/>
    <w:rsid w:val="00515A8F"/>
    <w:rsid w:val="00546B4C"/>
    <w:rsid w:val="005708F0"/>
    <w:rsid w:val="00584E0A"/>
    <w:rsid w:val="00587FA9"/>
    <w:rsid w:val="005B3A63"/>
    <w:rsid w:val="005C0E58"/>
    <w:rsid w:val="005D0EE1"/>
    <w:rsid w:val="005D33F2"/>
    <w:rsid w:val="005E1470"/>
    <w:rsid w:val="005E3E42"/>
    <w:rsid w:val="005F6C47"/>
    <w:rsid w:val="0063213A"/>
    <w:rsid w:val="006764B5"/>
    <w:rsid w:val="00683257"/>
    <w:rsid w:val="006B695C"/>
    <w:rsid w:val="00710A02"/>
    <w:rsid w:val="00725450"/>
    <w:rsid w:val="007360B6"/>
    <w:rsid w:val="00741854"/>
    <w:rsid w:val="00744E2E"/>
    <w:rsid w:val="007503CE"/>
    <w:rsid w:val="00761B5F"/>
    <w:rsid w:val="0076482E"/>
    <w:rsid w:val="00773844"/>
    <w:rsid w:val="007750A0"/>
    <w:rsid w:val="00786036"/>
    <w:rsid w:val="007C5B24"/>
    <w:rsid w:val="007D11EA"/>
    <w:rsid w:val="007D647F"/>
    <w:rsid w:val="007E071A"/>
    <w:rsid w:val="00816F83"/>
    <w:rsid w:val="008305AA"/>
    <w:rsid w:val="008412B4"/>
    <w:rsid w:val="00841B8B"/>
    <w:rsid w:val="00851F7B"/>
    <w:rsid w:val="00877907"/>
    <w:rsid w:val="00882101"/>
    <w:rsid w:val="0089445E"/>
    <w:rsid w:val="00894EE8"/>
    <w:rsid w:val="008B02C3"/>
    <w:rsid w:val="008C7BB8"/>
    <w:rsid w:val="008D6B2C"/>
    <w:rsid w:val="008E7D14"/>
    <w:rsid w:val="008F6EB2"/>
    <w:rsid w:val="00912FAE"/>
    <w:rsid w:val="00917972"/>
    <w:rsid w:val="00945B6D"/>
    <w:rsid w:val="00977F0E"/>
    <w:rsid w:val="009A1255"/>
    <w:rsid w:val="009A39E2"/>
    <w:rsid w:val="009B58B3"/>
    <w:rsid w:val="009B7588"/>
    <w:rsid w:val="009C0000"/>
    <w:rsid w:val="009C11FE"/>
    <w:rsid w:val="009F6854"/>
    <w:rsid w:val="00A1531D"/>
    <w:rsid w:val="00A361EA"/>
    <w:rsid w:val="00A542E6"/>
    <w:rsid w:val="00A83E68"/>
    <w:rsid w:val="00A957C8"/>
    <w:rsid w:val="00AA301D"/>
    <w:rsid w:val="00AA52CD"/>
    <w:rsid w:val="00AC1D90"/>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43CA0"/>
    <w:rsid w:val="00C44A65"/>
    <w:rsid w:val="00C66E2C"/>
    <w:rsid w:val="00C66ED6"/>
    <w:rsid w:val="00C67A4F"/>
    <w:rsid w:val="00C72090"/>
    <w:rsid w:val="00CB5561"/>
    <w:rsid w:val="00CE5B0C"/>
    <w:rsid w:val="00D3203C"/>
    <w:rsid w:val="00D3503E"/>
    <w:rsid w:val="00D64BE1"/>
    <w:rsid w:val="00D724E5"/>
    <w:rsid w:val="00DB386B"/>
    <w:rsid w:val="00DD0DE3"/>
    <w:rsid w:val="00E332AF"/>
    <w:rsid w:val="00E47A7B"/>
    <w:rsid w:val="00E56AC5"/>
    <w:rsid w:val="00E9378D"/>
    <w:rsid w:val="00E93F01"/>
    <w:rsid w:val="00EA258F"/>
    <w:rsid w:val="00ED31C4"/>
    <w:rsid w:val="00EF0CED"/>
    <w:rsid w:val="00EF67F2"/>
    <w:rsid w:val="00F14601"/>
    <w:rsid w:val="00F15079"/>
    <w:rsid w:val="00F5618D"/>
    <w:rsid w:val="00F82BDB"/>
    <w:rsid w:val="00F92D50"/>
    <w:rsid w:val="00F950A6"/>
    <w:rsid w:val="00FA07B8"/>
    <w:rsid w:val="00FD58F1"/>
    <w:rsid w:val="00FE2C25"/>
    <w:rsid w:val="063C618E"/>
    <w:rsid w:val="09317280"/>
    <w:rsid w:val="0AC171C3"/>
    <w:rsid w:val="0BA13F3D"/>
    <w:rsid w:val="0C8A2C23"/>
    <w:rsid w:val="0F1A5C3E"/>
    <w:rsid w:val="135E0534"/>
    <w:rsid w:val="1A2C7DEE"/>
    <w:rsid w:val="1A7FF1B7"/>
    <w:rsid w:val="247D0FF1"/>
    <w:rsid w:val="26435EC5"/>
    <w:rsid w:val="269C2E17"/>
    <w:rsid w:val="26EE059E"/>
    <w:rsid w:val="280D1415"/>
    <w:rsid w:val="288B5A00"/>
    <w:rsid w:val="2FFA7287"/>
    <w:rsid w:val="327F0311"/>
    <w:rsid w:val="4531477A"/>
    <w:rsid w:val="47164442"/>
    <w:rsid w:val="48AE321A"/>
    <w:rsid w:val="48F8086D"/>
    <w:rsid w:val="540C73F1"/>
    <w:rsid w:val="54D57D13"/>
    <w:rsid w:val="57371DC1"/>
    <w:rsid w:val="5A761F7B"/>
    <w:rsid w:val="5FF2755C"/>
    <w:rsid w:val="60B540C1"/>
    <w:rsid w:val="67CF76EF"/>
    <w:rsid w:val="690507DD"/>
    <w:rsid w:val="6E742BBC"/>
    <w:rsid w:val="704B11CB"/>
    <w:rsid w:val="799D7E4B"/>
    <w:rsid w:val="7AD83186"/>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5"/>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Char"/>
    <w:basedOn w:val="10"/>
    <w:link w:val="3"/>
    <w:qFormat/>
    <w:uiPriority w:val="0"/>
    <w:rPr>
      <w:rFonts w:ascii="Times New Roman" w:hAnsi="Times New Roman" w:eastAsia="宋体" w:cs="Times New Roman"/>
      <w:b/>
      <w:bCs/>
      <w:kern w:val="44"/>
      <w:sz w:val="44"/>
      <w:szCs w:val="44"/>
    </w:rPr>
  </w:style>
  <w:style w:type="character" w:customStyle="1" w:styleId="12">
    <w:name w:val="页眉 Char"/>
    <w:basedOn w:val="10"/>
    <w:link w:val="7"/>
    <w:autoRedefine/>
    <w:qFormat/>
    <w:uiPriority w:val="99"/>
    <w:rPr>
      <w:rFonts w:ascii="Calibri" w:hAnsi="Calibri" w:eastAsia="宋体" w:cs="Times New Roman"/>
      <w:sz w:val="18"/>
      <w:szCs w:val="18"/>
    </w:rPr>
  </w:style>
  <w:style w:type="character" w:customStyle="1" w:styleId="13">
    <w:name w:val="页脚 Char"/>
    <w:basedOn w:val="10"/>
    <w:link w:val="6"/>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2647</Words>
  <Characters>2890</Characters>
  <Lines>26</Lines>
  <Paragraphs>7</Paragraphs>
  <TotalTime>838</TotalTime>
  <ScaleCrop>false</ScaleCrop>
  <LinksUpToDate>false</LinksUpToDate>
  <CharactersWithSpaces>3583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2024-09-06T03:19:41Z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197FD1F01406494FB6758D96CEA8CCE4_13</vt:lpwstr>
  </property>
</Properties>
</file>