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B6846">
      <w:pPr>
        <w:spacing w:after="78"/>
        <w:jc w:val="left"/>
        <w:outlineLvl w:val="0"/>
        <w:rPr>
          <w:rFonts w:hint="eastAsia" w:ascii="宋体" w:hAnsi="宋体" w:eastAsia="宋体" w:cs="Times New Roman"/>
          <w:color w:val="000000"/>
          <w:sz w:val="40"/>
          <w:szCs w:val="40"/>
        </w:rPr>
      </w:pPr>
      <w:r>
        <w:rPr>
          <w:rFonts w:hint="eastAsia" w:ascii="宋体" w:hAnsi="宋体" w:eastAsia="宋体" w:cs="Times New Roman"/>
          <w:color w:val="000000"/>
          <w:sz w:val="40"/>
          <w:szCs w:val="40"/>
        </w:rPr>
        <w:t xml:space="preserve">项目：总预算 </w:t>
      </w:r>
      <w:r>
        <w:rPr>
          <w:rFonts w:ascii="宋体" w:hAnsi="宋体" w:eastAsia="宋体" w:cs="Times New Roman"/>
          <w:color w:val="000000"/>
          <w:sz w:val="40"/>
          <w:szCs w:val="40"/>
        </w:rPr>
        <w:t>49</w:t>
      </w:r>
      <w:r>
        <w:rPr>
          <w:rFonts w:hint="eastAsia" w:ascii="宋体" w:hAnsi="宋体" w:eastAsia="宋体" w:cs="Times New Roman"/>
          <w:color w:val="000000"/>
          <w:sz w:val="40"/>
          <w:szCs w:val="40"/>
        </w:rPr>
        <w:t>万元</w:t>
      </w:r>
    </w:p>
    <w:p w14:paraId="1343A72B">
      <w:pPr>
        <w:spacing w:after="78"/>
        <w:jc w:val="center"/>
        <w:outlineLvl w:val="0"/>
        <w:rPr>
          <w:rFonts w:hint="eastAsia" w:ascii="宋体" w:hAnsi="宋体" w:eastAsia="宋体" w:cs="Times New Roman"/>
          <w:color w:val="FF0000"/>
          <w:sz w:val="40"/>
          <w:szCs w:val="40"/>
        </w:rPr>
      </w:pPr>
      <w:r>
        <w:rPr>
          <w:rFonts w:hint="eastAsia" w:ascii="宋体" w:hAnsi="宋体" w:eastAsia="宋体" w:cs="Times New Roman"/>
          <w:color w:val="FF0000"/>
          <w:sz w:val="40"/>
          <w:szCs w:val="40"/>
        </w:rPr>
        <w:t>招标参数</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14:paraId="06D3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tcPr>
          <w:p w14:paraId="6760EAB5">
            <w:pPr>
              <w:spacing w:after="78"/>
              <w:rPr>
                <w:rFonts w:hint="eastAsia" w:ascii="宋体" w:hAnsi="宋体" w:eastAsia="宋体" w:cs="Times New Roman"/>
                <w:color w:val="000000"/>
                <w:kern w:val="0"/>
                <w:sz w:val="22"/>
              </w:rPr>
            </w:pPr>
            <w:r>
              <w:rPr>
                <w:rFonts w:hint="eastAsia" w:ascii="宋体" w:hAnsi="宋体" w:eastAsia="宋体" w:cs="Times New Roman"/>
                <w:color w:val="000000"/>
                <w:kern w:val="0"/>
                <w:sz w:val="22"/>
              </w:rPr>
              <w:t>项目名称</w:t>
            </w:r>
          </w:p>
        </w:tc>
        <w:tc>
          <w:tcPr>
            <w:tcW w:w="7750" w:type="dxa"/>
            <w:tcBorders>
              <w:top w:val="single" w:color="auto" w:sz="4" w:space="0"/>
              <w:left w:val="single" w:color="auto" w:sz="4" w:space="0"/>
              <w:bottom w:val="single" w:color="auto" w:sz="4" w:space="0"/>
              <w:right w:val="single" w:color="auto" w:sz="4" w:space="0"/>
            </w:tcBorders>
          </w:tcPr>
          <w:p w14:paraId="310078A3">
            <w:pPr>
              <w:spacing w:after="78"/>
              <w:rPr>
                <w:rFonts w:ascii="仿宋_GB2312" w:hAnsi="Times New Roman" w:eastAsia="仿宋_GB2312" w:cs="Times New Roman"/>
                <w:color w:val="000000"/>
                <w:sz w:val="22"/>
              </w:rPr>
            </w:pPr>
            <w:r>
              <w:rPr>
                <w:rFonts w:ascii="Times New Roman" w:hAnsi="Times New Roman" w:eastAsia="宋体" w:cs="Times New Roman"/>
                <w:color w:val="000000"/>
                <w:sz w:val="22"/>
              </w:rPr>
              <w:t>飞利浦生产数字化减影血管造影机（DSA）维保计划</w:t>
            </w:r>
          </w:p>
        </w:tc>
      </w:tr>
      <w:tr w14:paraId="12E4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14:paraId="54E58697">
            <w:pPr>
              <w:spacing w:after="78"/>
              <w:rPr>
                <w:rFonts w:hint="eastAsia" w:ascii="宋体" w:hAnsi="宋体" w:eastAsia="宋体" w:cs="Times New Roman"/>
                <w:color w:val="000000"/>
                <w:kern w:val="0"/>
                <w:sz w:val="22"/>
              </w:rPr>
            </w:pPr>
            <w:r>
              <w:rPr>
                <w:rFonts w:hint="eastAsia" w:ascii="宋体" w:hAnsi="宋体" w:eastAsia="宋体" w:cs="Times New Roman"/>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tcPr>
          <w:p w14:paraId="2C718277">
            <w:pPr>
              <w:spacing w:after="78"/>
              <w:rPr>
                <w:rFonts w:ascii="Times New Roman" w:hAnsi="Times New Roman" w:eastAsia="宋体" w:cs="Times New Roman"/>
                <w:color w:val="000000"/>
                <w:sz w:val="22"/>
              </w:rPr>
            </w:pPr>
            <w:r>
              <w:rPr>
                <w:rFonts w:hint="eastAsia" w:ascii="Times New Roman" w:hAnsi="Times New Roman" w:eastAsia="宋体" w:cs="Times New Roman"/>
                <w:color w:val="000000"/>
                <w:sz w:val="22"/>
              </w:rPr>
              <w:t>保证设备的高效、正常运行</w:t>
            </w:r>
          </w:p>
        </w:tc>
      </w:tr>
      <w:tr w14:paraId="7CBF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tcPr>
          <w:p w14:paraId="4E2E0271">
            <w:pPr>
              <w:spacing w:after="78"/>
              <w:rPr>
                <w:rFonts w:hint="eastAsia" w:ascii="宋体" w:hAnsi="宋体" w:eastAsia="宋体" w:cs="Times New Roman"/>
                <w:color w:val="000000"/>
                <w:kern w:val="0"/>
                <w:sz w:val="22"/>
              </w:rPr>
            </w:pPr>
            <w:r>
              <w:rPr>
                <w:rFonts w:hint="eastAsia" w:ascii="宋体" w:hAnsi="宋体" w:eastAsia="宋体" w:cs="Times New Roman"/>
                <w:color w:val="000000"/>
                <w:kern w:val="0"/>
                <w:sz w:val="22"/>
              </w:rPr>
              <w:t>服务内容</w:t>
            </w:r>
          </w:p>
        </w:tc>
        <w:tc>
          <w:tcPr>
            <w:tcW w:w="7750" w:type="dxa"/>
            <w:tcBorders>
              <w:top w:val="single" w:color="auto" w:sz="4" w:space="0"/>
              <w:left w:val="single" w:color="auto" w:sz="4" w:space="0"/>
              <w:bottom w:val="single" w:color="auto" w:sz="4" w:space="0"/>
              <w:right w:val="single" w:color="auto" w:sz="4" w:space="0"/>
            </w:tcBorders>
          </w:tcPr>
          <w:p w14:paraId="29429E28">
            <w:pPr>
              <w:spacing w:after="78"/>
              <w:rPr>
                <w:rFonts w:ascii="Times New Roman" w:hAnsi="Times New Roman" w:eastAsia="宋体" w:cs="Times New Roman"/>
                <w:color w:val="000000"/>
                <w:sz w:val="22"/>
              </w:rPr>
            </w:pPr>
          </w:p>
          <w:p w14:paraId="4804F144">
            <w:pPr>
              <w:spacing w:after="78"/>
              <w:rPr>
                <w:rFonts w:ascii="Times New Roman" w:hAnsi="Times New Roman" w:eastAsia="宋体" w:cs="Times New Roman"/>
                <w:color w:val="000000"/>
                <w:sz w:val="22"/>
              </w:rPr>
            </w:pPr>
            <w:r>
              <w:rPr>
                <w:rFonts w:ascii="Times New Roman" w:hAnsi="Times New Roman" w:eastAsia="宋体" w:cs="Times New Roman"/>
                <w:color w:val="000000"/>
                <w:sz w:val="22"/>
              </w:rPr>
              <w:t>1、</w:t>
            </w:r>
            <w:r>
              <w:rPr>
                <w:rFonts w:ascii="Times New Roman" w:hAnsi="Times New Roman" w:eastAsia="宋体" w:cs="Times New Roman"/>
                <w:color w:val="000000"/>
                <w:sz w:val="22"/>
              </w:rPr>
              <w:tab/>
            </w:r>
            <w:r>
              <w:rPr>
                <w:rFonts w:ascii="Times New Roman" w:hAnsi="Times New Roman" w:eastAsia="宋体" w:cs="Times New Roman"/>
                <w:color w:val="000000"/>
                <w:sz w:val="22"/>
              </w:rPr>
              <w:t>每年</w:t>
            </w:r>
            <w:r>
              <w:rPr>
                <w:rFonts w:hint="eastAsia" w:ascii="Times New Roman" w:hAnsi="Times New Roman" w:eastAsia="宋体" w:cs="Times New Roman"/>
                <w:color w:val="000000"/>
                <w:sz w:val="22"/>
              </w:rPr>
              <w:t>2次原厂保养</w:t>
            </w:r>
            <w:r>
              <w:rPr>
                <w:rFonts w:ascii="Times New Roman" w:hAnsi="Times New Roman" w:eastAsia="宋体" w:cs="Times New Roman"/>
                <w:color w:val="000000"/>
                <w:sz w:val="22"/>
              </w:rPr>
              <w:t>，不限次数到场技术服务和远程诊断服务，包含整机主体、探测器、影像增强器和工作站等</w:t>
            </w:r>
            <w:r>
              <w:rPr>
                <w:rFonts w:hint="eastAsia" w:ascii="Times New Roman" w:hAnsi="Times New Roman" w:eastAsia="宋体" w:cs="Times New Roman"/>
                <w:color w:val="000000"/>
                <w:sz w:val="22"/>
              </w:rPr>
              <w:t>（仅不包含球管</w:t>
            </w:r>
            <w:r>
              <w:rPr>
                <w:rFonts w:ascii="Times New Roman" w:hAnsi="Times New Roman" w:eastAsia="宋体" w:cs="Times New Roman"/>
                <w:color w:val="000000"/>
                <w:sz w:val="22"/>
              </w:rPr>
              <w:t>和任何第三方生产或拥有的设备和软件的保养</w:t>
            </w:r>
            <w:r>
              <w:rPr>
                <w:rFonts w:hint="eastAsia" w:ascii="Times New Roman" w:hAnsi="Times New Roman" w:eastAsia="宋体" w:cs="Times New Roman"/>
                <w:color w:val="000000"/>
                <w:sz w:val="22"/>
              </w:rPr>
              <w:t>）</w:t>
            </w:r>
            <w:r>
              <w:rPr>
                <w:rFonts w:ascii="Times New Roman" w:hAnsi="Times New Roman" w:eastAsia="宋体" w:cs="Times New Roman"/>
                <w:color w:val="000000"/>
                <w:sz w:val="22"/>
              </w:rPr>
              <w:t>。</w:t>
            </w:r>
          </w:p>
          <w:p w14:paraId="2F3A3B6C">
            <w:pPr>
              <w:spacing w:after="78"/>
              <w:rPr>
                <w:rFonts w:ascii="Times New Roman" w:hAnsi="Times New Roman" w:eastAsia="宋体" w:cs="Times New Roman"/>
                <w:color w:val="000000"/>
                <w:sz w:val="22"/>
              </w:rPr>
            </w:pPr>
            <w:r>
              <w:rPr>
                <w:rFonts w:ascii="Times New Roman" w:hAnsi="Times New Roman" w:eastAsia="宋体" w:cs="Times New Roman"/>
                <w:color w:val="000000"/>
                <w:sz w:val="22"/>
              </w:rPr>
              <w:t>2、合同期:自合同签订之日起1年。</w:t>
            </w:r>
          </w:p>
          <w:p w14:paraId="58B55FCF">
            <w:pPr>
              <w:spacing w:after="78"/>
              <w:rPr>
                <w:rFonts w:ascii="Times New Roman" w:hAnsi="Times New Roman" w:eastAsia="宋体" w:cs="Times New Roman"/>
                <w:color w:val="000000"/>
                <w:sz w:val="22"/>
              </w:rPr>
            </w:pPr>
          </w:p>
        </w:tc>
      </w:tr>
      <w:tr w14:paraId="7401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6B1E7161">
            <w:pPr>
              <w:widowControl/>
              <w:spacing w:after="78"/>
              <w:jc w:val="left"/>
              <w:rPr>
                <w:rFonts w:hint="eastAsia" w:ascii="宋体" w:hAnsi="宋体" w:eastAsia="宋体" w:cs="Times New Roman"/>
                <w:bCs/>
                <w:color w:val="000000"/>
                <w:sz w:val="22"/>
              </w:rPr>
            </w:pPr>
            <w:r>
              <w:rPr>
                <w:rFonts w:hint="eastAsia" w:ascii="宋体" w:hAnsi="宋体" w:eastAsia="宋体" w:cs="Times New Roman"/>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tcPr>
          <w:tbl>
            <w:tblPr>
              <w:tblStyle w:val="16"/>
              <w:tblW w:w="7766" w:type="dxa"/>
              <w:jc w:val="center"/>
              <w:tblLayout w:type="fixed"/>
              <w:tblCellMar>
                <w:top w:w="0" w:type="dxa"/>
                <w:left w:w="108" w:type="dxa"/>
                <w:bottom w:w="0" w:type="dxa"/>
                <w:right w:w="108" w:type="dxa"/>
              </w:tblCellMar>
            </w:tblPr>
            <w:tblGrid>
              <w:gridCol w:w="7766"/>
            </w:tblGrid>
            <w:tr w14:paraId="6591B145">
              <w:tblPrEx>
                <w:tblCellMar>
                  <w:top w:w="0" w:type="dxa"/>
                  <w:left w:w="108" w:type="dxa"/>
                  <w:bottom w:w="0" w:type="dxa"/>
                  <w:right w:w="108" w:type="dxa"/>
                </w:tblCellMar>
              </w:tblPrEx>
              <w:trPr>
                <w:jc w:val="center"/>
              </w:trPr>
              <w:tc>
                <w:tcPr>
                  <w:tcW w:w="7766" w:type="dxa"/>
                </w:tcPr>
                <w:p w14:paraId="002C5803">
                  <w:pPr>
                    <w:numPr>
                      <w:ilvl w:val="0"/>
                      <w:numId w:val="1"/>
                    </w:numPr>
                    <w:contextualSpacing/>
                    <w:rPr>
                      <w:rFonts w:hint="eastAsia" w:ascii="宋体" w:hAnsi="宋体" w:eastAsia="宋体" w:cs="Times New Roman"/>
                      <w:szCs w:val="20"/>
                      <w:lang w:val="en-GB"/>
                    </w:rPr>
                  </w:pPr>
                  <w:r>
                    <w:rPr>
                      <w:rFonts w:hint="eastAsia" w:ascii="宋体" w:hAnsi="宋体" w:eastAsia="宋体" w:cs="Times New Roman"/>
                      <w:szCs w:val="20"/>
                      <w:lang w:val="en-GB"/>
                    </w:rPr>
                    <w:t>热线服务：1）提供400免费热线电话，24小时 *365天有工程师接听，为用户快速诊断和提供技术支持服务。2）接到维修要求后，</w:t>
                  </w:r>
                  <w:r>
                    <w:rPr>
                      <w:rFonts w:hint="eastAsia" w:ascii="宋体" w:hAnsi="宋体" w:eastAsia="宋体" w:cs="Times New Roman"/>
                      <w:szCs w:val="20"/>
                    </w:rPr>
                    <w:t>如设备宕机，工程师</w:t>
                  </w:r>
                  <w:r>
                    <w:rPr>
                      <w:rFonts w:hint="eastAsia" w:ascii="宋体" w:hAnsi="宋体" w:eastAsia="宋体" w:cs="Times New Roman"/>
                      <w:szCs w:val="20"/>
                      <w:lang w:val="en-GB"/>
                    </w:rPr>
                    <w:t>不超过24小时到达现场；</w:t>
                  </w:r>
                  <w:r>
                    <w:rPr>
                      <w:rFonts w:hint="eastAsia" w:ascii="宋体" w:hAnsi="宋体" w:eastAsia="宋体" w:cs="Times New Roman"/>
                      <w:szCs w:val="20"/>
                    </w:rPr>
                    <w:t>如为间接性故障或不影响使用的故障，在得到科室同意的情况下，可酌情延长到厂时间。</w:t>
                  </w:r>
                </w:p>
                <w:p w14:paraId="4CFFF3A2">
                  <w:pPr>
                    <w:numPr>
                      <w:ilvl w:val="0"/>
                      <w:numId w:val="1"/>
                    </w:numPr>
                    <w:contextualSpacing/>
                    <w:rPr>
                      <w:rFonts w:hint="eastAsia" w:ascii="宋体" w:hAnsi="宋体" w:eastAsia="宋体" w:cs="Times New Roman"/>
                      <w:szCs w:val="20"/>
                      <w:lang w:val="en-GB"/>
                    </w:rPr>
                  </w:pPr>
                  <w:r>
                    <w:rPr>
                      <w:rFonts w:hint="eastAsia" w:ascii="宋体" w:hAnsi="宋体" w:eastAsia="宋体" w:cs="Times New Roman"/>
                      <w:szCs w:val="20"/>
                      <w:lang w:val="en-GB"/>
                    </w:rPr>
                    <w:t>高级诊断：投标人</w:t>
                  </w:r>
                  <w:r>
                    <w:rPr>
                      <w:rFonts w:hint="eastAsia" w:ascii="宋体" w:hAnsi="宋体" w:eastAsia="宋体" w:cs="Times New Roman"/>
                      <w:szCs w:val="20"/>
                    </w:rPr>
                    <w:t>或维保服务商</w:t>
                  </w:r>
                  <w:r>
                    <w:rPr>
                      <w:rFonts w:hint="eastAsia" w:ascii="宋体" w:hAnsi="宋体" w:eastAsia="宋体" w:cs="Times New Roman"/>
                      <w:szCs w:val="20"/>
                      <w:lang w:val="en-GB"/>
                    </w:rPr>
                    <w:t>必须在整个合同期内都能合法获得原厂高级故障诊断软件的诊断维修钥匙（service key），并保证不违反国家有关知识产权的法律规定</w:t>
                  </w:r>
                  <w:bookmarkStart w:id="0" w:name="_GoBack"/>
                  <w:bookmarkEnd w:id="0"/>
                  <w:r>
                    <w:rPr>
                      <w:rFonts w:hint="eastAsia" w:ascii="宋体" w:hAnsi="宋体" w:eastAsia="宋体" w:cs="Times New Roman"/>
                      <w:szCs w:val="20"/>
                      <w:lang w:val="en-GB"/>
                    </w:rPr>
                    <w:t>，请提供证明材料说明合法来源。</w:t>
                  </w:r>
                </w:p>
                <w:p w14:paraId="4210B86B">
                  <w:pPr>
                    <w:numPr>
                      <w:ilvl w:val="0"/>
                      <w:numId w:val="1"/>
                    </w:numPr>
                    <w:contextualSpacing/>
                    <w:rPr>
                      <w:rFonts w:hint="eastAsia" w:ascii="宋体" w:hAnsi="宋体" w:eastAsia="宋体" w:cs="Times New Roman"/>
                      <w:szCs w:val="20"/>
                      <w:highlight w:val="none"/>
                      <w:lang w:val="en-GB"/>
                    </w:rPr>
                  </w:pPr>
                  <w:r>
                    <w:rPr>
                      <w:rFonts w:hint="eastAsia" w:ascii="宋体" w:hAnsi="宋体" w:eastAsia="宋体" w:cs="Times New Roman"/>
                      <w:szCs w:val="20"/>
                      <w:highlight w:val="none"/>
                      <w:lang w:val="en-GB"/>
                    </w:rPr>
                    <w:t>▲付款方式：招标后签订合同，合同</w:t>
                  </w:r>
                  <w:r>
                    <w:rPr>
                      <w:rFonts w:hint="eastAsia" w:ascii="宋体" w:hAnsi="宋体" w:eastAsia="宋体" w:cs="Times New Roman"/>
                      <w:szCs w:val="20"/>
                      <w:highlight w:val="none"/>
                    </w:rPr>
                    <w:t>开始日期6个</w:t>
                  </w:r>
                  <w:r>
                    <w:rPr>
                      <w:rFonts w:hint="eastAsia" w:ascii="宋体" w:hAnsi="宋体" w:eastAsia="宋体" w:cs="Times New Roman"/>
                      <w:szCs w:val="20"/>
                      <w:highlight w:val="none"/>
                      <w:lang w:val="en-GB"/>
                    </w:rPr>
                    <w:t>月，支付当年的全款维保费用的</w:t>
                  </w:r>
                  <w:r>
                    <w:rPr>
                      <w:rFonts w:hint="eastAsia" w:ascii="宋体" w:hAnsi="宋体" w:eastAsia="宋体" w:cs="Times New Roman"/>
                      <w:szCs w:val="20"/>
                      <w:highlight w:val="none"/>
                    </w:rPr>
                    <w:t>50%</w:t>
                  </w:r>
                  <w:r>
                    <w:rPr>
                      <w:rFonts w:hint="eastAsia" w:ascii="宋体" w:hAnsi="宋体" w:eastAsia="宋体" w:cs="Times New Roman"/>
                      <w:szCs w:val="20"/>
                      <w:highlight w:val="none"/>
                      <w:lang w:val="en-GB"/>
                    </w:rPr>
                    <w:t>，</w:t>
                  </w:r>
                  <w:r>
                    <w:rPr>
                      <w:rFonts w:hint="eastAsia" w:ascii="宋体" w:hAnsi="宋体" w:eastAsia="宋体" w:cs="Times New Roman"/>
                      <w:szCs w:val="20"/>
                      <w:highlight w:val="none"/>
                    </w:rPr>
                    <w:t>合同期满支付剩余金额的50%。</w:t>
                  </w:r>
                </w:p>
                <w:p w14:paraId="51632C9A">
                  <w:pPr>
                    <w:numPr>
                      <w:ilvl w:val="0"/>
                      <w:numId w:val="1"/>
                    </w:numPr>
                    <w:contextualSpacing/>
                    <w:rPr>
                      <w:rFonts w:hint="eastAsia" w:ascii="宋体" w:hAnsi="宋体" w:eastAsia="宋体" w:cs="Times New Roman"/>
                      <w:szCs w:val="20"/>
                      <w:lang w:val="en-GB"/>
                    </w:rPr>
                  </w:pPr>
                  <w:r>
                    <w:rPr>
                      <w:rFonts w:hint="eastAsia" w:ascii="宋体" w:hAnsi="宋体" w:eastAsia="宋体" w:cs="Times New Roman"/>
                      <w:szCs w:val="20"/>
                      <w:lang w:val="en-GB"/>
                    </w:rPr>
                    <w:t>为保障商务履约能力，提供公司纳税证明和公司缴纳社保的证明</w:t>
                  </w:r>
                </w:p>
                <w:p w14:paraId="749685AB">
                  <w:pPr>
                    <w:numPr>
                      <w:ilvl w:val="0"/>
                      <w:numId w:val="1"/>
                    </w:numPr>
                    <w:contextualSpacing/>
                    <w:rPr>
                      <w:rFonts w:hint="eastAsia" w:ascii="宋体" w:hAnsi="宋体" w:eastAsia="宋体" w:cs="Times New Roman"/>
                      <w:szCs w:val="20"/>
                      <w:lang w:val="en-GB"/>
                    </w:rPr>
                  </w:pPr>
                  <w:r>
                    <w:rPr>
                      <w:rFonts w:hint="eastAsia" w:ascii="宋体" w:hAnsi="宋体" w:eastAsia="宋体" w:cs="Times New Roman"/>
                      <w:szCs w:val="20"/>
                      <w:lang w:val="en-GB"/>
                    </w:rPr>
                    <w:t>投标人</w:t>
                  </w:r>
                  <w:r>
                    <w:rPr>
                      <w:rFonts w:hint="eastAsia" w:ascii="宋体" w:hAnsi="宋体" w:eastAsia="宋体" w:cs="Times New Roman"/>
                      <w:szCs w:val="20"/>
                    </w:rPr>
                    <w:t>或维保服务商</w:t>
                  </w:r>
                  <w:r>
                    <w:rPr>
                      <w:rFonts w:hint="eastAsia" w:ascii="宋体" w:hAnsi="宋体" w:eastAsia="宋体" w:cs="Times New Roman"/>
                      <w:szCs w:val="20"/>
                      <w:lang w:val="en-GB"/>
                    </w:rPr>
                    <w:t>提供维护保养的专业工具的介绍，需图文并茂。</w:t>
                  </w:r>
                </w:p>
                <w:p w14:paraId="7D802A8E">
                  <w:pPr>
                    <w:numPr>
                      <w:ilvl w:val="0"/>
                      <w:numId w:val="1"/>
                    </w:numPr>
                    <w:contextualSpacing/>
                    <w:rPr>
                      <w:rFonts w:hint="eastAsia" w:ascii="宋体" w:hAnsi="宋体" w:eastAsia="宋体" w:cs="Times New Roman"/>
                      <w:szCs w:val="20"/>
                      <w:lang w:val="en-GB"/>
                    </w:rPr>
                  </w:pPr>
                  <w:r>
                    <w:rPr>
                      <w:rFonts w:hint="eastAsia" w:ascii="宋体" w:hAnsi="宋体" w:eastAsia="宋体" w:cs="Times New Roman"/>
                      <w:szCs w:val="20"/>
                      <w:lang w:val="en-GB"/>
                    </w:rPr>
                    <w:t>▲提供维修服务的服务商为飞利浦原厂，或拥有其技术合作协议，或提供其售后服务授权书</w:t>
                  </w:r>
                </w:p>
                <w:p w14:paraId="00DF6A5F">
                  <w:pPr>
                    <w:numPr>
                      <w:ilvl w:val="0"/>
                      <w:numId w:val="1"/>
                    </w:numPr>
                    <w:contextualSpacing/>
                    <w:rPr>
                      <w:rFonts w:hint="eastAsia" w:ascii="宋体" w:hAnsi="宋体" w:eastAsia="宋体" w:cs="Times New Roman"/>
                      <w:szCs w:val="20"/>
                      <w:lang w:val="en-GB"/>
                    </w:rPr>
                  </w:pPr>
                  <w:r>
                    <w:rPr>
                      <w:rFonts w:ascii="宋体" w:hAnsi="宋体" w:eastAsia="宋体" w:cs="Times New Roman"/>
                      <w:szCs w:val="20"/>
                    </w:rPr>
                    <w:t>开机率：</w:t>
                  </w:r>
                  <w:r>
                    <w:rPr>
                      <w:rFonts w:hint="eastAsia" w:ascii="宋体" w:hAnsi="宋体" w:eastAsia="宋体" w:cs="Times New Roman"/>
                      <w:szCs w:val="20"/>
                      <w:lang w:val="en-GB"/>
                    </w:rPr>
                    <w:t>投标人应确保年开机率在95%以上（含95%）, 若不能达到此开机率，将作以下处理：a. 年开机率在90（含）-95%（不含）之间按一赔 二 延长保修期；b. 年开机率在85（含）-90%（不含）之间按一赔 五 延长保修期；</w:t>
                  </w:r>
                </w:p>
                <w:p w14:paraId="38076174">
                  <w:pPr>
                    <w:numPr>
                      <w:ilvl w:val="255"/>
                      <w:numId w:val="0"/>
                    </w:numPr>
                    <w:ind w:left="403"/>
                    <w:contextualSpacing/>
                    <w:rPr>
                      <w:rFonts w:hint="eastAsia" w:ascii="宋体" w:hAnsi="宋体" w:eastAsia="宋体" w:cs="Times New Roman"/>
                      <w:szCs w:val="20"/>
                      <w:lang w:val="en-GB"/>
                    </w:rPr>
                  </w:pPr>
                </w:p>
              </w:tc>
            </w:tr>
            <w:tr w14:paraId="21E73DE0">
              <w:tblPrEx>
                <w:tblCellMar>
                  <w:top w:w="0" w:type="dxa"/>
                  <w:left w:w="108" w:type="dxa"/>
                  <w:bottom w:w="0" w:type="dxa"/>
                  <w:right w:w="108" w:type="dxa"/>
                </w:tblCellMar>
              </w:tblPrEx>
              <w:trPr>
                <w:jc w:val="center"/>
              </w:trPr>
              <w:tc>
                <w:tcPr>
                  <w:tcW w:w="7766" w:type="dxa"/>
                </w:tcPr>
                <w:p w14:paraId="1D655F90">
                  <w:pPr>
                    <w:contextualSpacing/>
                    <w:rPr>
                      <w:rFonts w:hint="eastAsia" w:ascii="宋体" w:hAnsi="宋体" w:eastAsia="宋体" w:cs="Times New Roman"/>
                      <w:szCs w:val="20"/>
                    </w:rPr>
                  </w:pPr>
                </w:p>
              </w:tc>
            </w:tr>
            <w:tr w14:paraId="1981E917">
              <w:tblPrEx>
                <w:tblCellMar>
                  <w:top w:w="0" w:type="dxa"/>
                  <w:left w:w="108" w:type="dxa"/>
                  <w:bottom w:w="0" w:type="dxa"/>
                  <w:right w:w="108" w:type="dxa"/>
                </w:tblCellMar>
              </w:tblPrEx>
              <w:trPr>
                <w:trHeight w:val="64" w:hRule="atLeast"/>
                <w:jc w:val="center"/>
              </w:trPr>
              <w:tc>
                <w:tcPr>
                  <w:tcW w:w="7766" w:type="dxa"/>
                </w:tcPr>
                <w:p w14:paraId="7D54ED62">
                  <w:pPr>
                    <w:ind w:right="353" w:rightChars="168"/>
                    <w:contextualSpacing/>
                    <w:rPr>
                      <w:rFonts w:hint="eastAsia" w:ascii="宋体" w:hAnsi="宋体" w:eastAsia="宋体" w:cs="Times New Roman"/>
                      <w:szCs w:val="20"/>
                    </w:rPr>
                  </w:pPr>
                </w:p>
              </w:tc>
            </w:tr>
          </w:tbl>
          <w:p w14:paraId="087867B8">
            <w:pPr>
              <w:snapToGrid w:val="0"/>
              <w:spacing w:after="78"/>
              <w:jc w:val="left"/>
              <w:rPr>
                <w:rFonts w:hint="eastAsia" w:ascii="宋体" w:hAnsi="宋体" w:eastAsia="宋体" w:cs="Times New Roman"/>
                <w:szCs w:val="20"/>
              </w:rPr>
            </w:pPr>
          </w:p>
        </w:tc>
      </w:tr>
      <w:tr w14:paraId="43BA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7CAD70CB">
            <w:pPr>
              <w:widowControl/>
              <w:jc w:val="left"/>
              <w:rPr>
                <w:rFonts w:hint="eastAsia" w:ascii="宋体" w:hAnsi="宋体" w:eastAsia="宋体" w:cs="Times New Roman"/>
                <w:color w:val="000000"/>
                <w:kern w:val="0"/>
                <w:sz w:val="22"/>
              </w:rPr>
            </w:pPr>
            <w:r>
              <w:rPr>
                <w:rFonts w:hint="eastAsia" w:ascii="宋体" w:hAnsi="宋体" w:eastAsia="宋体" w:cs="Times New Roman"/>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tcPr>
          <w:p w14:paraId="74E1D1C5">
            <w:pPr>
              <w:tabs>
                <w:tab w:val="left" w:pos="-720"/>
              </w:tabs>
              <w:suppressAutoHyphens/>
              <w:spacing w:after="78"/>
              <w:rPr>
                <w:rFonts w:ascii="Times New Roman" w:hAnsi="Times New Roman" w:eastAsia="宋体" w:cs="Times New Roman"/>
                <w:color w:val="000000"/>
                <w:sz w:val="22"/>
              </w:rPr>
            </w:pPr>
            <w:r>
              <w:rPr>
                <w:rFonts w:hint="eastAsia" w:ascii="Times New Roman" w:hAnsi="Times New Roman" w:eastAsia="宋体" w:cs="Times New Roman"/>
                <w:color w:val="000000"/>
                <w:sz w:val="22"/>
              </w:rPr>
              <w:t>设备注册证名称：医用血管造影X射线系统</w:t>
            </w:r>
          </w:p>
          <w:p w14:paraId="70D52057">
            <w:pPr>
              <w:tabs>
                <w:tab w:val="left" w:pos="-720"/>
              </w:tabs>
              <w:suppressAutoHyphens/>
              <w:spacing w:after="78"/>
              <w:rPr>
                <w:rFonts w:ascii="Times New Roman" w:hAnsi="Times New Roman" w:eastAsia="宋体" w:cs="Times New Roman"/>
                <w:color w:val="000000"/>
                <w:sz w:val="22"/>
              </w:rPr>
            </w:pPr>
            <w:r>
              <w:rPr>
                <w:rFonts w:hint="eastAsia" w:ascii="Times New Roman" w:hAnsi="Times New Roman" w:eastAsia="宋体" w:cs="Times New Roman"/>
                <w:color w:val="000000"/>
                <w:sz w:val="22"/>
              </w:rPr>
              <w:t>品牌：飞利浦</w:t>
            </w:r>
          </w:p>
          <w:p w14:paraId="03E958DD">
            <w:pPr>
              <w:tabs>
                <w:tab w:val="left" w:pos="-720"/>
              </w:tabs>
              <w:suppressAutoHyphens/>
              <w:spacing w:after="78"/>
              <w:rPr>
                <w:rFonts w:ascii="Times New Roman" w:hAnsi="Times New Roman" w:eastAsia="宋体" w:cs="Times New Roman"/>
                <w:color w:val="000000"/>
                <w:sz w:val="22"/>
              </w:rPr>
            </w:pPr>
            <w:r>
              <w:rPr>
                <w:rFonts w:hint="eastAsia" w:ascii="Times New Roman" w:hAnsi="Times New Roman" w:eastAsia="宋体" w:cs="Times New Roman"/>
                <w:color w:val="000000"/>
                <w:sz w:val="22"/>
              </w:rPr>
              <w:t>规格型号：Allura Xper  FD20</w:t>
            </w:r>
          </w:p>
          <w:p w14:paraId="236AB0BD">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rPr>
              <w:t>1、</w:t>
            </w:r>
            <w:r>
              <w:rPr>
                <w:rFonts w:hint="eastAsia" w:ascii="Times New Roman" w:hAnsi="Times New Roman" w:eastAsia="宋体" w:cs="Times New Roman"/>
                <w:color w:val="000000"/>
                <w:sz w:val="22"/>
                <w:lang w:val="en-GB"/>
              </w:rPr>
              <w:t>安全检查：按照生产厂家设备本身标准及当地规定执行，</w:t>
            </w:r>
            <w:r>
              <w:rPr>
                <w:rFonts w:hint="eastAsia" w:ascii="Times New Roman" w:hAnsi="Times New Roman" w:eastAsia="宋体" w:cs="Times New Roman"/>
                <w:color w:val="000000"/>
                <w:sz w:val="22"/>
              </w:rPr>
              <w:t>包含但不限于</w:t>
            </w:r>
            <w:r>
              <w:rPr>
                <w:rFonts w:hint="eastAsia" w:ascii="Times New Roman" w:hAnsi="Times New Roman" w:eastAsia="宋体" w:cs="Times New Roman"/>
                <w:color w:val="000000"/>
                <w:sz w:val="22"/>
                <w:lang w:val="en-GB"/>
              </w:rPr>
              <w:t>制定检查计划，机械安全检查，电气安全检查，记录检查结果</w:t>
            </w:r>
          </w:p>
          <w:p w14:paraId="04F3F2AA">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lang w:val="en-GB"/>
              </w:rPr>
              <w:t>2、预防性保养：按照保养计划提供，每年提供</w:t>
            </w:r>
            <w:r>
              <w:rPr>
                <w:rFonts w:hint="eastAsia" w:ascii="Times New Roman" w:hAnsi="Times New Roman" w:eastAsia="宋体" w:cs="Times New Roman"/>
                <w:color w:val="000000"/>
                <w:sz w:val="22"/>
              </w:rPr>
              <w:t>2</w:t>
            </w:r>
            <w:r>
              <w:rPr>
                <w:rFonts w:hint="eastAsia" w:ascii="Times New Roman" w:hAnsi="Times New Roman" w:eastAsia="宋体" w:cs="Times New Roman"/>
                <w:color w:val="000000"/>
                <w:sz w:val="22"/>
                <w:lang w:val="en-GB"/>
              </w:rPr>
              <w:t>次专业保养，以保证设备处于最佳运行状态，</w:t>
            </w:r>
            <w:r>
              <w:rPr>
                <w:rFonts w:hint="eastAsia" w:ascii="Times New Roman" w:hAnsi="Times New Roman" w:eastAsia="宋体" w:cs="Times New Roman"/>
                <w:color w:val="000000"/>
                <w:sz w:val="22"/>
              </w:rPr>
              <w:t>包含但不限于</w:t>
            </w:r>
            <w:r>
              <w:rPr>
                <w:rFonts w:hint="eastAsia" w:ascii="Times New Roman" w:hAnsi="Times New Roman" w:eastAsia="宋体" w:cs="Times New Roman"/>
                <w:color w:val="000000"/>
                <w:sz w:val="22"/>
                <w:lang w:val="en-GB"/>
              </w:rPr>
              <w:t>记录并安排保养时间，按照保养计划更换损耗部件，按照厂家标准进行调校，确认各项技术指标及性能，年检时负责并保证全部监测指标达标，通过相关部门检测时，保障取得合格证，记录设备状况，提供设备生产厂家保养内容清单，提供每次保养后系统自动导出的保养报告，必须每次的检测项必须为PASS</w:t>
            </w:r>
          </w:p>
          <w:p w14:paraId="5F45416F">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rPr>
              <w:t>3</w:t>
            </w:r>
            <w:r>
              <w:rPr>
                <w:rFonts w:hint="eastAsia" w:ascii="Times New Roman" w:hAnsi="Times New Roman" w:eastAsia="宋体" w:cs="Times New Roman"/>
                <w:color w:val="000000"/>
                <w:sz w:val="22"/>
                <w:lang w:val="en-GB"/>
              </w:rPr>
              <w:t>、工时：包含在保修合同期内所需的人工费用，签订保修合同的客户享受优先派工，节假日加班免费。</w:t>
            </w:r>
          </w:p>
          <w:p w14:paraId="78992857">
            <w:pPr>
              <w:tabs>
                <w:tab w:val="left" w:pos="-720"/>
              </w:tabs>
              <w:suppressAutoHyphens/>
              <w:spacing w:after="78"/>
              <w:rPr>
                <w:rFonts w:ascii="Times New Roman" w:hAnsi="Times New Roman" w:eastAsia="宋体" w:cs="Times New Roman"/>
                <w:color w:val="000000"/>
                <w:sz w:val="22"/>
              </w:rPr>
            </w:pPr>
            <w:r>
              <w:rPr>
                <w:rFonts w:hint="eastAsia" w:ascii="Times New Roman" w:hAnsi="Times New Roman" w:eastAsia="宋体" w:cs="Times New Roman"/>
                <w:color w:val="000000"/>
                <w:sz w:val="22"/>
              </w:rPr>
              <w:t>4</w:t>
            </w:r>
            <w:r>
              <w:rPr>
                <w:rFonts w:hint="eastAsia" w:ascii="Times New Roman" w:hAnsi="Times New Roman" w:eastAsia="宋体" w:cs="Times New Roman"/>
                <w:color w:val="000000"/>
                <w:sz w:val="22"/>
                <w:lang w:val="en-GB"/>
              </w:rPr>
              <w:t>、备件：</w:t>
            </w:r>
            <w:r>
              <w:rPr>
                <w:rFonts w:hint="eastAsia" w:ascii="Times New Roman" w:hAnsi="Times New Roman" w:eastAsia="宋体" w:cs="Times New Roman"/>
                <w:color w:val="000000"/>
                <w:sz w:val="22"/>
              </w:rPr>
              <w:t>如更换备件，</w:t>
            </w:r>
            <w:r>
              <w:rPr>
                <w:rFonts w:hint="eastAsia" w:ascii="Times New Roman" w:hAnsi="Times New Roman" w:eastAsia="宋体" w:cs="Times New Roman"/>
                <w:color w:val="000000"/>
                <w:sz w:val="22"/>
                <w:lang w:val="en-GB"/>
              </w:rPr>
              <w:t>备件必须是原厂认证合格的零备件，保障不会对设备质量或图像产生不良影响。提供保修所需的备件，备件供应要及时、充足。如因提供不合法不合规或来路不明的备件而引起的相关损失及法律责任由供应商自行承担</w:t>
            </w:r>
            <w:r>
              <w:rPr>
                <w:rFonts w:hint="eastAsia" w:ascii="Times New Roman" w:hAnsi="Times New Roman" w:eastAsia="宋体" w:cs="Times New Roman"/>
                <w:color w:val="000000"/>
                <w:sz w:val="22"/>
              </w:rPr>
              <w:t>。</w:t>
            </w:r>
            <w:r>
              <w:rPr>
                <w:rFonts w:hint="eastAsia" w:ascii="宋体" w:hAnsi="宋体" w:cs="宋体"/>
                <w:color w:val="000000" w:themeColor="text1"/>
                <w:szCs w:val="21"/>
                <w14:textFill>
                  <w14:solidFill>
                    <w14:schemeClr w14:val="tx1"/>
                  </w14:solidFill>
                </w14:textFill>
              </w:rPr>
              <w:t>免费维修或更换配件设备的保修期为1年</w:t>
            </w:r>
            <w:r>
              <w:rPr>
                <w:color w:val="000000" w:themeColor="text1"/>
                <w14:textFill>
                  <w14:solidFill>
                    <w14:schemeClr w14:val="tx1"/>
                  </w14:solidFill>
                </w14:textFill>
              </w:rPr>
              <w:t>。</w:t>
            </w:r>
          </w:p>
          <w:p w14:paraId="0185D012">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rPr>
              <w:t>5、</w:t>
            </w:r>
            <w:r>
              <w:rPr>
                <w:rFonts w:hint="eastAsia" w:ascii="Times New Roman" w:hAnsi="Times New Roman" w:eastAsia="宋体" w:cs="Times New Roman"/>
                <w:color w:val="000000"/>
                <w:sz w:val="22"/>
                <w:lang w:val="en-GB"/>
              </w:rPr>
              <w:t>安全升级</w:t>
            </w:r>
            <w:r>
              <w:rPr>
                <w:rFonts w:ascii="Times New Roman" w:hAnsi="Times New Roman" w:eastAsia="宋体" w:cs="Times New Roman"/>
                <w:color w:val="000000"/>
                <w:sz w:val="22"/>
              </w:rPr>
              <w:t>及数据备份</w:t>
            </w:r>
            <w:r>
              <w:rPr>
                <w:rFonts w:hint="eastAsia" w:ascii="Times New Roman" w:hAnsi="Times New Roman" w:eastAsia="宋体" w:cs="Times New Roman"/>
                <w:color w:val="000000"/>
                <w:sz w:val="22"/>
                <w:lang w:val="en-GB"/>
              </w:rPr>
              <w:t>：投标人或维保服务实施人必须在设备生产厂商规定的升级时间内完成，并在升级完成后提供升级文件及工作记录（提供相应证明材料，包含但不限于过往类似案例经客户签字确认的升级文件或者工作单）。保修期内免费提供病人和设备数据信息备份。</w:t>
            </w:r>
          </w:p>
          <w:p w14:paraId="6B9049A9">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rPr>
              <w:t>6</w:t>
            </w:r>
            <w:r>
              <w:rPr>
                <w:rFonts w:hint="eastAsia" w:ascii="Times New Roman" w:hAnsi="Times New Roman" w:eastAsia="宋体" w:cs="Times New Roman"/>
                <w:color w:val="000000"/>
                <w:sz w:val="22"/>
                <w:lang w:val="en-GB"/>
              </w:rPr>
              <w:t>、▲</w:t>
            </w:r>
            <w:r>
              <w:rPr>
                <w:rFonts w:hint="eastAsia" w:ascii="Times New Roman" w:hAnsi="Times New Roman" w:eastAsia="宋体" w:cs="Times New Roman"/>
                <w:color w:val="000000"/>
                <w:sz w:val="22"/>
              </w:rPr>
              <w:t>嵌入式</w:t>
            </w:r>
            <w:r>
              <w:rPr>
                <w:rFonts w:hint="eastAsia" w:ascii="Times New Roman" w:hAnsi="Times New Roman" w:eastAsia="宋体" w:cs="Times New Roman"/>
                <w:color w:val="000000"/>
                <w:sz w:val="22"/>
                <w:lang w:val="en-GB"/>
              </w:rPr>
              <w:t>远程连接：投标人或维保服务实施人需提供基于设备嵌入式远程连接方案的实时远程服务，以保证维修的及时性，且远程服务应满足以下需求：</w:t>
            </w:r>
          </w:p>
          <w:p w14:paraId="0A64F4B0">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lang w:val="en-GB"/>
              </w:rPr>
              <w:t>（1）该远程服务可以实现远程不断监控和保护医疗设备，及时发出预警，在出现故障之前，就可对其进行远程维护和处理，以减少设备停机时间，提高设备使用率；</w:t>
            </w:r>
          </w:p>
          <w:p w14:paraId="63DA8E37">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lang w:val="en-GB"/>
              </w:rPr>
              <w:t>（2）基于设备嵌入式远程连接方案需符合HIPAA和NEMA安全要求，并且通过ISO27001国际信息安全管理体系。</w:t>
            </w:r>
          </w:p>
          <w:p w14:paraId="1B6E3A7E">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rPr>
              <w:t>7</w:t>
            </w:r>
            <w:r>
              <w:rPr>
                <w:rFonts w:hint="eastAsia" w:ascii="Times New Roman" w:hAnsi="Times New Roman" w:eastAsia="宋体" w:cs="Times New Roman"/>
                <w:color w:val="000000"/>
                <w:sz w:val="22"/>
                <w:lang w:val="en-GB"/>
              </w:rPr>
              <w:t>、▲</w:t>
            </w:r>
            <w:r>
              <w:rPr>
                <w:rFonts w:hint="eastAsia" w:ascii="Times New Roman" w:hAnsi="Times New Roman" w:eastAsia="宋体" w:cs="Times New Roman"/>
                <w:color w:val="000000"/>
                <w:sz w:val="22"/>
              </w:rPr>
              <w:t>设备需要更换备件时，</w:t>
            </w:r>
            <w:r>
              <w:rPr>
                <w:rFonts w:hint="eastAsia" w:ascii="Times New Roman" w:hAnsi="Times New Roman" w:eastAsia="宋体" w:cs="Times New Roman"/>
                <w:color w:val="000000"/>
                <w:sz w:val="22"/>
                <w:lang w:val="en-GB"/>
              </w:rPr>
              <w:t>为保障备件的快速且安全的供应，投标人或维保服务实施人需在国内设有零备件保税仓库及在广东省有备件库（提供相应证明材料，如租赁合同、保税仓库注册等级证书等）。</w:t>
            </w:r>
          </w:p>
          <w:p w14:paraId="0A4AE346">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rPr>
              <w:t>8、</w:t>
            </w:r>
            <w:r>
              <w:rPr>
                <w:rFonts w:hint="eastAsia" w:ascii="Times New Roman" w:hAnsi="Times New Roman" w:eastAsia="宋体" w:cs="Times New Roman"/>
                <w:color w:val="000000"/>
                <w:sz w:val="22"/>
                <w:lang w:val="en-GB"/>
              </w:rPr>
              <w:t>为保障更快捷更满意的服务，投标人或维保服务实施人需在广东省设有维修站，广东省内至少有</w:t>
            </w:r>
            <w:r>
              <w:rPr>
                <w:rFonts w:hint="eastAsia" w:ascii="Times New Roman" w:hAnsi="Times New Roman" w:eastAsia="宋体" w:cs="Times New Roman"/>
                <w:color w:val="000000"/>
                <w:sz w:val="22"/>
              </w:rPr>
              <w:t>5</w:t>
            </w:r>
            <w:r>
              <w:rPr>
                <w:rFonts w:hint="eastAsia" w:ascii="Times New Roman" w:hAnsi="Times New Roman" w:eastAsia="宋体" w:cs="Times New Roman"/>
                <w:color w:val="000000"/>
                <w:sz w:val="22"/>
                <w:lang w:val="en-GB"/>
              </w:rPr>
              <w:t>位具备本标的</w:t>
            </w:r>
            <w:r>
              <w:rPr>
                <w:rFonts w:hint="eastAsia" w:ascii="Times New Roman" w:hAnsi="Times New Roman" w:eastAsia="宋体" w:cs="Times New Roman"/>
                <w:color w:val="000000"/>
                <w:sz w:val="22"/>
              </w:rPr>
              <w:t>DSA</w:t>
            </w:r>
            <w:r>
              <w:rPr>
                <w:rFonts w:hint="eastAsia" w:ascii="Times New Roman" w:hAnsi="Times New Roman" w:eastAsia="宋体" w:cs="Times New Roman"/>
                <w:color w:val="000000"/>
                <w:sz w:val="22"/>
                <w:lang w:val="en-GB"/>
              </w:rPr>
              <w:t>维修资质的工程师（需提供有效期内的经设备生产商培训机构针对与本标的同型号设备的培训证书作为工程师培训资质证明，并提供社保缴纳证明或者可查询的工牌作为工程师在职证明</w:t>
            </w:r>
            <w:r>
              <w:rPr>
                <w:rFonts w:hint="eastAsia" w:ascii="Times New Roman" w:hAnsi="Times New Roman" w:eastAsia="宋体" w:cs="Times New Roman"/>
                <w:color w:val="000000"/>
                <w:sz w:val="22"/>
              </w:rPr>
              <w:t>和驻地证明</w:t>
            </w:r>
            <w:r>
              <w:rPr>
                <w:rFonts w:hint="eastAsia" w:ascii="Times New Roman" w:hAnsi="Times New Roman" w:eastAsia="宋体" w:cs="Times New Roman"/>
                <w:color w:val="000000"/>
                <w:sz w:val="22"/>
                <w:lang w:val="en-GB"/>
              </w:rPr>
              <w:t>）或有</w:t>
            </w:r>
            <w:r>
              <w:rPr>
                <w:rFonts w:hint="eastAsia" w:ascii="Times New Roman" w:hAnsi="Times New Roman" w:eastAsia="宋体" w:cs="Times New Roman"/>
                <w:color w:val="000000"/>
                <w:sz w:val="22"/>
              </w:rPr>
              <w:t>5</w:t>
            </w:r>
            <w:r>
              <w:rPr>
                <w:rFonts w:hint="eastAsia" w:ascii="Times New Roman" w:hAnsi="Times New Roman" w:eastAsia="宋体" w:cs="Times New Roman"/>
                <w:color w:val="000000"/>
                <w:sz w:val="22"/>
                <w:lang w:val="en-GB"/>
              </w:rPr>
              <w:t>位具备副高级、高级职称的工程师（需提供由省级食品药品监督管理局颁发的技术职称证书作为资质证明，并提供社保缴纳证明或者可查询的工牌作为工程师在职证明）</w:t>
            </w:r>
          </w:p>
          <w:p w14:paraId="741BAC72">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rPr>
              <w:t>9、</w:t>
            </w:r>
            <w:r>
              <w:rPr>
                <w:rFonts w:hint="eastAsia" w:ascii="Times New Roman" w:hAnsi="Times New Roman" w:eastAsia="宋体" w:cs="Times New Roman"/>
                <w:color w:val="000000"/>
                <w:sz w:val="22"/>
                <w:lang w:val="en-GB"/>
              </w:rPr>
              <w:t>过往业绩需求：提供同品牌</w:t>
            </w:r>
            <w:r>
              <w:rPr>
                <w:rFonts w:hint="eastAsia" w:ascii="Times New Roman" w:hAnsi="Times New Roman" w:eastAsia="宋体" w:cs="Times New Roman"/>
                <w:color w:val="000000"/>
                <w:sz w:val="22"/>
              </w:rPr>
              <w:t>DSA维保</w:t>
            </w:r>
            <w:r>
              <w:rPr>
                <w:rFonts w:hint="eastAsia" w:ascii="Times New Roman" w:hAnsi="Times New Roman" w:eastAsia="宋体" w:cs="Times New Roman"/>
                <w:color w:val="000000"/>
                <w:sz w:val="22"/>
                <w:lang w:val="en-GB"/>
              </w:rPr>
              <w:t>合同</w:t>
            </w:r>
            <w:r>
              <w:rPr>
                <w:rFonts w:hint="eastAsia" w:ascii="Times New Roman" w:hAnsi="Times New Roman" w:eastAsia="宋体" w:cs="Times New Roman"/>
                <w:color w:val="000000"/>
                <w:sz w:val="22"/>
              </w:rPr>
              <w:t>各3</w:t>
            </w:r>
            <w:r>
              <w:rPr>
                <w:rFonts w:hint="eastAsia" w:ascii="Times New Roman" w:hAnsi="Times New Roman" w:eastAsia="宋体" w:cs="Times New Roman"/>
                <w:color w:val="000000"/>
                <w:sz w:val="22"/>
                <w:lang w:val="en-GB"/>
              </w:rPr>
              <w:t>份及以上（</w:t>
            </w:r>
            <w:r>
              <w:rPr>
                <w:rFonts w:hint="eastAsia" w:ascii="Times New Roman" w:hAnsi="Times New Roman" w:eastAsia="宋体" w:cs="Times New Roman"/>
                <w:color w:val="000000"/>
                <w:sz w:val="22"/>
              </w:rPr>
              <w:t>提供的同类业绩需符合合同法</w:t>
            </w:r>
            <w:r>
              <w:rPr>
                <w:rFonts w:hint="eastAsia" w:ascii="Times New Roman" w:hAnsi="Times New Roman" w:eastAsia="宋体" w:cs="Times New Roman"/>
                <w:color w:val="000000"/>
                <w:sz w:val="22"/>
                <w:lang w:val="en-GB"/>
              </w:rPr>
              <w:t>，</w:t>
            </w:r>
            <w:r>
              <w:rPr>
                <w:rFonts w:hint="eastAsia" w:ascii="Times New Roman" w:hAnsi="Times New Roman" w:eastAsia="宋体" w:cs="Times New Roman"/>
                <w:color w:val="000000"/>
                <w:sz w:val="22"/>
              </w:rPr>
              <w:t>可提供</w:t>
            </w:r>
            <w:r>
              <w:rPr>
                <w:rFonts w:hint="eastAsia" w:ascii="Times New Roman" w:hAnsi="Times New Roman" w:eastAsia="宋体" w:cs="Times New Roman"/>
                <w:color w:val="000000"/>
                <w:sz w:val="22"/>
                <w:lang w:val="en-GB"/>
              </w:rPr>
              <w:t>合同</w:t>
            </w:r>
            <w:r>
              <w:rPr>
                <w:rFonts w:hint="eastAsia" w:ascii="Times New Roman" w:hAnsi="Times New Roman" w:eastAsia="宋体" w:cs="Times New Roman"/>
                <w:color w:val="000000"/>
                <w:sz w:val="22"/>
              </w:rPr>
              <w:t>所包含内容</w:t>
            </w:r>
            <w:r>
              <w:rPr>
                <w:rFonts w:hint="eastAsia" w:ascii="Times New Roman" w:hAnsi="Times New Roman" w:eastAsia="宋体" w:cs="Times New Roman"/>
                <w:color w:val="000000"/>
                <w:sz w:val="22"/>
                <w:lang w:val="en-GB"/>
              </w:rPr>
              <w:t>的关键页或中标通知书</w:t>
            </w:r>
            <w:r>
              <w:rPr>
                <w:rFonts w:hint="eastAsia" w:ascii="Times New Roman" w:hAnsi="Times New Roman" w:eastAsia="宋体" w:cs="Times New Roman"/>
                <w:color w:val="000000"/>
                <w:sz w:val="22"/>
              </w:rPr>
              <w:t>或中标公告</w:t>
            </w:r>
            <w:r>
              <w:rPr>
                <w:rFonts w:hint="eastAsia" w:ascii="Times New Roman" w:hAnsi="Times New Roman" w:eastAsia="宋体" w:cs="Times New Roman"/>
                <w:color w:val="000000"/>
                <w:sz w:val="22"/>
                <w:lang w:val="en-GB"/>
              </w:rPr>
              <w:t>，须有甲方联系人，以备证实）</w:t>
            </w:r>
          </w:p>
          <w:p w14:paraId="4A4AEBE5">
            <w:pPr>
              <w:tabs>
                <w:tab w:val="left" w:pos="-720"/>
              </w:tabs>
              <w:suppressAutoHyphens/>
              <w:spacing w:after="78"/>
              <w:rPr>
                <w:rFonts w:ascii="Times New Roman" w:hAnsi="Times New Roman" w:eastAsia="宋体" w:cs="Times New Roman"/>
                <w:color w:val="000000"/>
                <w:sz w:val="22"/>
                <w:lang w:val="en-GB"/>
              </w:rPr>
            </w:pPr>
            <w:r>
              <w:rPr>
                <w:rFonts w:hint="eastAsia" w:ascii="Times New Roman" w:hAnsi="Times New Roman" w:eastAsia="宋体" w:cs="Times New Roman"/>
                <w:color w:val="000000"/>
                <w:sz w:val="22"/>
                <w:lang w:val="en-GB"/>
              </w:rPr>
              <w:t>10、▲该</w:t>
            </w:r>
            <w:r>
              <w:rPr>
                <w:rFonts w:ascii="Times New Roman" w:hAnsi="Times New Roman" w:eastAsia="宋体" w:cs="Times New Roman"/>
                <w:color w:val="000000"/>
                <w:sz w:val="22"/>
                <w:lang w:val="en-GB"/>
              </w:rPr>
              <w:t>设备的核心备件是球管，投标人或维保服务商需有供应该全新合格iMRC型号球管的能力，在投标文件中以附件的形式提供该库存球管的合法进口证明文件，包含但不限于该球管的进口报关单、清晰体现该球管序列号的运货单等资料，不低于5条球管信息。</w:t>
            </w:r>
          </w:p>
          <w:p w14:paraId="7B0BF421">
            <w:pPr>
              <w:tabs>
                <w:tab w:val="left" w:pos="-720"/>
              </w:tabs>
              <w:suppressAutoHyphens/>
              <w:spacing w:after="78"/>
              <w:rPr>
                <w:rFonts w:ascii="Times New Roman" w:hAnsi="Times New Roman" w:eastAsia="宋体" w:cs="Times New Roman"/>
                <w:color w:val="000000"/>
                <w:sz w:val="22"/>
                <w:lang w:val="en-GB"/>
              </w:rPr>
            </w:pPr>
            <w:r>
              <w:rPr>
                <w:rFonts w:ascii="Times New Roman" w:hAnsi="Times New Roman" w:eastAsia="宋体" w:cs="Times New Roman"/>
                <w:color w:val="000000"/>
                <w:sz w:val="22"/>
                <w:lang w:val="en-GB"/>
              </w:rPr>
              <w:t>11、投标人或维保服务商提供的球管可接受第三方权威单位或药监检测，如为二手球管，医院有权不支付合同款项；如因提供二手球管导致医院停机，则投标人赔偿</w:t>
            </w:r>
            <w:r>
              <w:rPr>
                <w:rFonts w:hint="eastAsia" w:ascii="Times New Roman" w:hAnsi="Times New Roman" w:eastAsia="宋体" w:cs="Times New Roman"/>
                <w:color w:val="000000"/>
                <w:sz w:val="22"/>
                <w:lang w:val="en-GB"/>
              </w:rPr>
              <w:t>DSA</w:t>
            </w:r>
            <w:r>
              <w:rPr>
                <w:rFonts w:ascii="Times New Roman" w:hAnsi="Times New Roman" w:eastAsia="宋体" w:cs="Times New Roman"/>
                <w:color w:val="000000"/>
                <w:sz w:val="22"/>
                <w:lang w:val="en-GB"/>
              </w:rPr>
              <w:t>每天的经济产出；如因二手球管给医院带来其他经济损失（如上级监管单位处罚等），投标人则需承担相关赔偿及责任</w:t>
            </w:r>
          </w:p>
        </w:tc>
      </w:tr>
    </w:tbl>
    <w:p w14:paraId="5A33528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5450A"/>
    <w:multiLevelType w:val="multilevel"/>
    <w:tmpl w:val="2345450A"/>
    <w:lvl w:ilvl="0" w:tentative="0">
      <w:start w:val="1"/>
      <w:numFmt w:val="decimal"/>
      <w:lvlText w:val="%1、"/>
      <w:lvlJc w:val="left"/>
      <w:pPr>
        <w:ind w:left="763" w:hanging="360"/>
      </w:pPr>
      <w:rPr>
        <w:rFonts w:hint="default"/>
      </w:rPr>
    </w:lvl>
    <w:lvl w:ilvl="1" w:tentative="0">
      <w:start w:val="1"/>
      <w:numFmt w:val="lowerLetter"/>
      <w:lvlText w:val="%2)"/>
      <w:lvlJc w:val="left"/>
      <w:pPr>
        <w:ind w:left="1283" w:hanging="440"/>
      </w:pPr>
    </w:lvl>
    <w:lvl w:ilvl="2" w:tentative="0">
      <w:start w:val="1"/>
      <w:numFmt w:val="lowerRoman"/>
      <w:lvlText w:val="%3."/>
      <w:lvlJc w:val="right"/>
      <w:pPr>
        <w:ind w:left="1723" w:hanging="440"/>
      </w:pPr>
    </w:lvl>
    <w:lvl w:ilvl="3" w:tentative="0">
      <w:start w:val="1"/>
      <w:numFmt w:val="decimal"/>
      <w:lvlText w:val="%4."/>
      <w:lvlJc w:val="left"/>
      <w:pPr>
        <w:ind w:left="2163" w:hanging="440"/>
      </w:pPr>
    </w:lvl>
    <w:lvl w:ilvl="4" w:tentative="0">
      <w:start w:val="1"/>
      <w:numFmt w:val="lowerLetter"/>
      <w:lvlText w:val="%5)"/>
      <w:lvlJc w:val="left"/>
      <w:pPr>
        <w:ind w:left="2603" w:hanging="440"/>
      </w:pPr>
    </w:lvl>
    <w:lvl w:ilvl="5" w:tentative="0">
      <w:start w:val="1"/>
      <w:numFmt w:val="lowerRoman"/>
      <w:lvlText w:val="%6."/>
      <w:lvlJc w:val="right"/>
      <w:pPr>
        <w:ind w:left="3043" w:hanging="440"/>
      </w:pPr>
    </w:lvl>
    <w:lvl w:ilvl="6" w:tentative="0">
      <w:start w:val="1"/>
      <w:numFmt w:val="decimal"/>
      <w:lvlText w:val="%7."/>
      <w:lvlJc w:val="left"/>
      <w:pPr>
        <w:ind w:left="3483" w:hanging="440"/>
      </w:pPr>
    </w:lvl>
    <w:lvl w:ilvl="7" w:tentative="0">
      <w:start w:val="1"/>
      <w:numFmt w:val="lowerLetter"/>
      <w:lvlText w:val="%8)"/>
      <w:lvlJc w:val="left"/>
      <w:pPr>
        <w:ind w:left="3923" w:hanging="440"/>
      </w:pPr>
    </w:lvl>
    <w:lvl w:ilvl="8" w:tentative="0">
      <w:start w:val="1"/>
      <w:numFmt w:val="lowerRoman"/>
      <w:lvlText w:val="%9."/>
      <w:lvlJc w:val="right"/>
      <w:pPr>
        <w:ind w:left="436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MTZhOTUwZDJlMGQxOTZjMDk4YTcwMmQ5MTljZmEifQ=="/>
    <w:docVar w:name="KY_MEDREF_DOCUID" w:val="{D46D524E-F59D-4E50-9799-577E9E8F26C4}"/>
    <w:docVar w:name="KY_MEDREF_VERSION" w:val="3"/>
  </w:docVars>
  <w:rsids>
    <w:rsidRoot w:val="00C944E1"/>
    <w:rsid w:val="000027FA"/>
    <w:rsid w:val="00165E16"/>
    <w:rsid w:val="00181C51"/>
    <w:rsid w:val="00196CB3"/>
    <w:rsid w:val="001F0DBB"/>
    <w:rsid w:val="003959D2"/>
    <w:rsid w:val="004235E4"/>
    <w:rsid w:val="00494B96"/>
    <w:rsid w:val="004F6B70"/>
    <w:rsid w:val="00544575"/>
    <w:rsid w:val="009E6B92"/>
    <w:rsid w:val="009F1542"/>
    <w:rsid w:val="00BC487A"/>
    <w:rsid w:val="00C7355B"/>
    <w:rsid w:val="00C8469C"/>
    <w:rsid w:val="00C944E1"/>
    <w:rsid w:val="00CE7FA0"/>
    <w:rsid w:val="00D45735"/>
    <w:rsid w:val="00E00F38"/>
    <w:rsid w:val="00E57120"/>
    <w:rsid w:val="00EB0845"/>
    <w:rsid w:val="00F05A84"/>
    <w:rsid w:val="00F27A40"/>
    <w:rsid w:val="00FE5DEB"/>
    <w:rsid w:val="00FF2DEB"/>
    <w:rsid w:val="13BA3B6F"/>
    <w:rsid w:val="2F545177"/>
    <w:rsid w:val="5B6DA4D9"/>
    <w:rsid w:val="607A150B"/>
    <w:rsid w:val="6E4803AF"/>
    <w:rsid w:val="6FF3942D"/>
    <w:rsid w:val="72A804A1"/>
    <w:rsid w:val="7D7FC428"/>
    <w:rsid w:val="BCFE47B8"/>
    <w:rsid w:val="FBFFE8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annotation reference"/>
    <w:basedOn w:val="17"/>
    <w:semiHidden/>
    <w:unhideWhenUsed/>
    <w:uiPriority w:val="99"/>
    <w:rPr>
      <w:sz w:val="21"/>
      <w:szCs w:val="21"/>
    </w:rPr>
  </w:style>
  <w:style w:type="character" w:customStyle="1" w:styleId="19">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qFormat/>
    <w:uiPriority w:val="9"/>
    <w:rPr>
      <w:rFonts w:cstheme="majorBidi"/>
      <w:color w:val="104862" w:themeColor="accent1" w:themeShade="BF"/>
      <w:sz w:val="24"/>
      <w:szCs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明显参考1"/>
    <w:basedOn w:val="17"/>
    <w:qFormat/>
    <w:uiPriority w:val="32"/>
    <w:rPr>
      <w:b/>
      <w:bCs/>
      <w:smallCaps/>
      <w:color w:val="104862" w:themeColor="accent1" w:themeShade="BF"/>
      <w:spacing w:val="5"/>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qFormat/>
    <w:uiPriority w:val="99"/>
    <w:rPr>
      <w:sz w:val="18"/>
      <w:szCs w:val="18"/>
    </w:rPr>
  </w:style>
  <w:style w:type="paragraph" w:customStyle="1" w:styleId="39">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1983</Words>
  <Characters>2058</Characters>
  <Lines>15</Lines>
  <Paragraphs>4</Paragraphs>
  <TotalTime>2</TotalTime>
  <ScaleCrop>false</ScaleCrop>
  <LinksUpToDate>false</LinksUpToDate>
  <CharactersWithSpaces>2072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2024-05-27T09:22:00Z</dcterms:created>
  <dc:creator>CHEN, Shu Yi</dc:creator>
  <cp:lastModifiedBy>Limbor</cp:lastModifiedBy>
  <dcterms:modified xsi:type="dcterms:W3CDTF">2024-08-06T03:07:00Z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2A72CBC077E5496EA581A8F18CC3884C_12</vt:lpwstr>
  </property>
</Properties>
</file>