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ascii="方正小标宋简体" w:eastAsia="方正小标宋简体"/>
        </w:rPr>
      </w:pPr>
      <w:r>
        <w:rPr>
          <w:rFonts w:hint="eastAsia" w:ascii="黑体" w:hAnsi="黑体" w:eastAsia="黑体" w:cs="黑体"/>
          <w:sz w:val="44"/>
          <w:szCs w:val="44"/>
        </w:rPr>
        <w:t>深圳市儿童医院设备采购需求参数表</w:t>
      </w:r>
    </w:p>
    <w:tbl>
      <w:tblPr>
        <w:tblStyle w:val="8"/>
        <w:tblW w:w="9654" w:type="dxa"/>
        <w:jc w:val="center"/>
        <w:tblLayout w:type="autofit"/>
        <w:tblCellMar>
          <w:top w:w="0" w:type="dxa"/>
          <w:left w:w="108" w:type="dxa"/>
          <w:bottom w:w="0" w:type="dxa"/>
          <w:right w:w="108" w:type="dxa"/>
        </w:tblCellMar>
      </w:tblPr>
      <w:tblGrid>
        <w:gridCol w:w="805"/>
        <w:gridCol w:w="1272"/>
        <w:gridCol w:w="7577"/>
      </w:tblGrid>
      <w:tr>
        <w:tblPrEx>
          <w:tblCellMar>
            <w:top w:w="0" w:type="dxa"/>
            <w:left w:w="108" w:type="dxa"/>
            <w:bottom w:w="0" w:type="dxa"/>
            <w:right w:w="108" w:type="dxa"/>
          </w:tblCellMar>
        </w:tblPrEx>
        <w:trPr>
          <w:trHeight w:val="500" w:hRule="atLeast"/>
          <w:jc w:val="center"/>
        </w:trPr>
        <w:tc>
          <w:tcPr>
            <w:tcW w:w="805"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r>
              <w:rPr>
                <w:rFonts w:hint="default" w:ascii="Times New Roman" w:hAnsi="Times New Roman" w:cs="Times New Roman"/>
                <w:b/>
                <w:bCs/>
                <w:color w:val="000000" w:themeColor="text1"/>
                <w:kern w:val="0"/>
                <w:sz w:val="22"/>
                <w:szCs w:val="22"/>
                <w14:textFill>
                  <w14:solidFill>
                    <w14:schemeClr w14:val="tx1"/>
                  </w14:solidFill>
                </w14:textFill>
              </w:rPr>
              <w:t>序号</w:t>
            </w:r>
          </w:p>
        </w:tc>
        <w:tc>
          <w:tcPr>
            <w:tcW w:w="1272" w:type="dxa"/>
            <w:tcBorders>
              <w:top w:val="single" w:color="3F3F3F" w:sz="4" w:space="0"/>
              <w:left w:val="single" w:color="auto" w:sz="4" w:space="0"/>
              <w:bottom w:val="single" w:color="3F3F3F"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r>
              <w:rPr>
                <w:rFonts w:hint="default" w:ascii="Times New Roman" w:hAnsi="Times New Roman" w:cs="Times New Roman"/>
                <w:b/>
                <w:bCs/>
                <w:color w:val="000000" w:themeColor="text1"/>
                <w:kern w:val="0"/>
                <w:sz w:val="22"/>
                <w:szCs w:val="22"/>
                <w14:textFill>
                  <w14:solidFill>
                    <w14:schemeClr w14:val="tx1"/>
                  </w14:solidFill>
                </w14:textFill>
              </w:rPr>
              <w:t>项目名称</w:t>
            </w:r>
          </w:p>
        </w:tc>
        <w:tc>
          <w:tcPr>
            <w:tcW w:w="7577" w:type="dxa"/>
            <w:tcBorders>
              <w:top w:val="single" w:color="3F3F3F" w:sz="4" w:space="0"/>
              <w:left w:val="nil"/>
              <w:bottom w:val="single" w:color="3F3F3F"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r>
              <w:rPr>
                <w:rFonts w:hint="default" w:ascii="Times New Roman" w:hAnsi="Times New Roman" w:cs="Times New Roman"/>
                <w:b/>
                <w:bCs/>
                <w:color w:val="000000" w:themeColor="text1"/>
                <w:kern w:val="0"/>
                <w:sz w:val="22"/>
                <w:szCs w:val="22"/>
                <w14:textFill>
                  <w14:solidFill>
                    <w14:schemeClr w14:val="tx1"/>
                  </w14:solidFill>
                </w14:textFill>
              </w:rPr>
              <w:t>招标事项及要求</w:t>
            </w:r>
          </w:p>
        </w:tc>
      </w:tr>
      <w:tr>
        <w:tblPrEx>
          <w:tblCellMar>
            <w:top w:w="0" w:type="dxa"/>
            <w:left w:w="108" w:type="dxa"/>
            <w:bottom w:w="0" w:type="dxa"/>
            <w:right w:w="108" w:type="dxa"/>
          </w:tblCellMar>
        </w:tblPrEx>
        <w:trPr>
          <w:trHeight w:val="454" w:hRule="atLeast"/>
          <w:jc w:val="center"/>
        </w:trPr>
        <w:tc>
          <w:tcPr>
            <w:tcW w:w="805" w:type="dxa"/>
            <w:vMerge w:val="restart"/>
            <w:tcBorders>
              <w:top w:val="single" w:color="auto" w:sz="4" w:space="0"/>
              <w:left w:val="single" w:color="auto"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r>
              <w:rPr>
                <w:rFonts w:hint="default" w:ascii="Times New Roman" w:hAnsi="Times New Roman" w:cs="Times New Roman"/>
                <w:b/>
                <w:bCs/>
                <w:color w:val="000000" w:themeColor="text1"/>
                <w:kern w:val="0"/>
                <w:sz w:val="22"/>
                <w:szCs w:val="22"/>
                <w14:textFill>
                  <w14:solidFill>
                    <w14:schemeClr w14:val="tx1"/>
                  </w14:solidFill>
                </w14:textFill>
              </w:rPr>
              <w:t>1</w:t>
            </w:r>
          </w:p>
        </w:tc>
        <w:tc>
          <w:tcPr>
            <w:tcW w:w="1272" w:type="dxa"/>
            <w:vMerge w:val="restart"/>
            <w:tcBorders>
              <w:top w:val="single" w:color="3F3F3F" w:sz="4" w:space="0"/>
              <w:left w:val="single" w:color="3F3F3F" w:sz="4" w:space="0"/>
              <w:right w:val="single" w:color="3F3F3F" w:sz="4" w:space="0"/>
            </w:tcBorders>
            <w:shd w:val="clear" w:color="000000" w:fill="FFFFFF"/>
            <w:vAlign w:val="center"/>
          </w:tcPr>
          <w:p>
            <w:pPr>
              <w:widowControl/>
              <w:jc w:val="center"/>
              <w:rPr>
                <w:rFonts w:hint="eastAsia" w:ascii="Times New Roman" w:hAnsi="Times New Roman" w:eastAsia="宋体" w:cs="Times New Roman"/>
                <w:b/>
                <w:bCs/>
                <w:color w:val="000000" w:themeColor="text1"/>
                <w:kern w:val="0"/>
                <w:sz w:val="22"/>
                <w:szCs w:val="22"/>
                <w:lang w:val="en-US" w:eastAsia="zh-CN"/>
                <w14:textFill>
                  <w14:solidFill>
                    <w14:schemeClr w14:val="tx1"/>
                  </w14:solidFill>
                </w14:textFill>
              </w:rPr>
            </w:pPr>
            <w:r>
              <w:rPr>
                <w:rFonts w:hint="default" w:ascii="Times New Roman" w:hAnsi="Times New Roman" w:cs="Times New Roman"/>
                <w:b/>
                <w:bCs/>
                <w:color w:val="000000" w:themeColor="text1"/>
                <w:kern w:val="0"/>
                <w:sz w:val="22"/>
                <w:szCs w:val="22"/>
                <w14:textFill>
                  <w14:solidFill>
                    <w14:schemeClr w14:val="tx1"/>
                  </w14:solidFill>
                </w14:textFill>
              </w:rPr>
              <w:t>心输出量</w:t>
            </w:r>
            <w:r>
              <w:rPr>
                <w:rFonts w:hint="eastAsia" w:ascii="Times New Roman" w:hAnsi="Times New Roman" w:cs="Times New Roman"/>
                <w:b/>
                <w:bCs/>
                <w:color w:val="000000" w:themeColor="text1"/>
                <w:kern w:val="0"/>
                <w:sz w:val="22"/>
                <w:szCs w:val="22"/>
                <w:lang w:val="en-US" w:eastAsia="zh-CN"/>
                <w14:textFill>
                  <w14:solidFill>
                    <w14:schemeClr w14:val="tx1"/>
                  </w14:solidFill>
                </w14:textFill>
              </w:rPr>
              <w:t>测量仪</w:t>
            </w:r>
          </w:p>
        </w:tc>
        <w:tc>
          <w:tcPr>
            <w:tcW w:w="7577"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1"/>
              </w:numPr>
              <w:kinsoku/>
              <w:wordWrap/>
              <w:overflowPunct/>
              <w:topLinePunct w:val="0"/>
              <w:autoSpaceDE/>
              <w:autoSpaceDN/>
              <w:bidi w:val="0"/>
              <w:adjustRightInd/>
              <w:snapToGrid/>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测量主机：8.5寸</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1"/>
              </w:numPr>
              <w:kinsoku/>
              <w:wordWrap/>
              <w:overflowPunct/>
              <w:topLinePunct w:val="0"/>
              <w:autoSpaceDE/>
              <w:autoSpaceDN/>
              <w:bidi w:val="0"/>
              <w:adjustRightInd/>
              <w:snapToGrid/>
              <w:ind w:left="0" w:leftChars="0" w:firstLine="0" w:firstLineChars="0"/>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配件BIP导线：用于病人肢体连接</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1"/>
              </w:numPr>
              <w:kinsoku/>
              <w:wordWrap/>
              <w:overflowPunct/>
              <w:topLinePunct w:val="0"/>
              <w:autoSpaceDE/>
              <w:autoSpaceDN/>
              <w:bidi w:val="0"/>
              <w:adjustRightInd/>
              <w:snapToGrid/>
              <w:ind w:left="0" w:leftChars="0" w:firstLine="0" w:firstLineChars="0"/>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RR导线：用于病人肢体连接</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1"/>
              </w:numPr>
              <w:kinsoku/>
              <w:wordWrap/>
              <w:overflowPunct/>
              <w:topLinePunct w:val="0"/>
              <w:autoSpaceDE/>
              <w:autoSpaceDN/>
              <w:bidi w:val="0"/>
              <w:adjustRightInd/>
              <w:snapToGrid/>
              <w:ind w:left="0" w:leftChars="0" w:firstLine="0" w:firstLineChars="0"/>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独立电源开关、内部独立电源，可待机1小时</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1"/>
              </w:numPr>
              <w:kinsoku/>
              <w:wordWrap/>
              <w:overflowPunct/>
              <w:topLinePunct w:val="0"/>
              <w:autoSpaceDE/>
              <w:autoSpaceDN/>
              <w:bidi w:val="0"/>
              <w:adjustRightInd/>
              <w:snapToGrid/>
              <w:ind w:left="0" w:leftChars="0" w:firstLine="0" w:firstLineChars="0"/>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标准数据传输接口</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w:t>
            </w:r>
            <w:r>
              <w:rPr>
                <w:rFonts w:hint="eastAsia" w:ascii="Times New Roman" w:hAnsi="Times New Roman" w:cs="Times New Roman"/>
                <w:b w:val="0"/>
                <w:bCs w:val="0"/>
                <w:color w:val="000000" w:themeColor="text1"/>
                <w:kern w:val="0"/>
                <w:sz w:val="22"/>
                <w:szCs w:val="22"/>
                <w:lang w:val="en-US" w:eastAsia="zh-CN"/>
                <w14:textFill>
                  <w14:solidFill>
                    <w14:schemeClr w14:val="tx1"/>
                  </w14:solidFill>
                </w14:textFill>
              </w:rPr>
              <w:t>6</w:t>
            </w:r>
            <w:r>
              <w:rPr>
                <w:rFonts w:hint="default" w:ascii="Times New Roman" w:hAnsi="Times New Roman" w:cs="Times New Roman"/>
                <w:b w:val="0"/>
                <w:bCs w:val="0"/>
                <w:color w:val="000000" w:themeColor="text1"/>
                <w:kern w:val="0"/>
                <w:sz w:val="22"/>
                <w:szCs w:val="22"/>
                <w14:textFill>
                  <w14:solidFill>
                    <w14:schemeClr w14:val="tx1"/>
                  </w14:solidFill>
                </w14:textFill>
              </w:rPr>
              <w:t>、采用全身生物阻抗法连续监测技术</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eastAsia" w:ascii="Times New Roman" w:hAnsi="Times New Roman" w:cs="Times New Roman"/>
                <w:b w:val="0"/>
                <w:bCs w:val="0"/>
                <w:color w:val="000000" w:themeColor="text1"/>
                <w:kern w:val="0"/>
                <w:sz w:val="22"/>
                <w:szCs w:val="22"/>
                <w:lang w:val="en-US" w:eastAsia="zh-CN"/>
                <w14:textFill>
                  <w14:solidFill>
                    <w14:schemeClr w14:val="tx1"/>
                  </w14:solidFill>
                </w14:textFill>
              </w:rPr>
              <w:t>7</w:t>
            </w:r>
            <w:r>
              <w:rPr>
                <w:rFonts w:hint="default" w:ascii="Times New Roman" w:hAnsi="Times New Roman" w:cs="Times New Roman"/>
                <w:b w:val="0"/>
                <w:bCs w:val="0"/>
                <w:color w:val="000000" w:themeColor="text1"/>
                <w:kern w:val="0"/>
                <w:sz w:val="22"/>
                <w:szCs w:val="22"/>
                <w14:textFill>
                  <w14:solidFill>
                    <w14:schemeClr w14:val="tx1"/>
                  </w14:solidFill>
                </w14:textFill>
              </w:rPr>
              <w:t>、帮助判断左心室无症状型心功能衰竭筛查</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w:t>
            </w:r>
            <w:r>
              <w:rPr>
                <w:rFonts w:hint="eastAsia" w:ascii="Times New Roman" w:hAnsi="Times New Roman" w:cs="Times New Roman"/>
                <w:b w:val="0"/>
                <w:bCs w:val="0"/>
                <w:color w:val="000000" w:themeColor="text1"/>
                <w:kern w:val="0"/>
                <w:sz w:val="22"/>
                <w:szCs w:val="22"/>
                <w:lang w:val="en-US" w:eastAsia="zh-CN"/>
                <w14:textFill>
                  <w14:solidFill>
                    <w14:schemeClr w14:val="tx1"/>
                  </w14:solidFill>
                </w14:textFill>
              </w:rPr>
              <w:t>8</w:t>
            </w:r>
            <w:r>
              <w:rPr>
                <w:rFonts w:hint="default" w:ascii="Times New Roman" w:hAnsi="Times New Roman" w:cs="Times New Roman"/>
                <w:b w:val="0"/>
                <w:bCs w:val="0"/>
                <w:color w:val="000000" w:themeColor="text1"/>
                <w:kern w:val="0"/>
                <w:sz w:val="22"/>
                <w:szCs w:val="22"/>
                <w14:textFill>
                  <w14:solidFill>
                    <w14:schemeClr w14:val="tx1"/>
                  </w14:solidFill>
                </w14:textFill>
              </w:rPr>
              <w:t>、高血压和心力衰竭治疗导航系统，帮助临床药物治疗滴定及临床治疗目标判断</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eastAsia" w:ascii="Times New Roman" w:hAnsi="Times New Roman" w:cs="Times New Roman"/>
                <w:b w:val="0"/>
                <w:bCs w:val="0"/>
                <w:color w:val="000000" w:themeColor="text1"/>
                <w:kern w:val="0"/>
                <w:sz w:val="22"/>
                <w:szCs w:val="22"/>
                <w:lang w:val="en-US" w:eastAsia="zh-CN"/>
                <w14:textFill>
                  <w14:solidFill>
                    <w14:schemeClr w14:val="tx1"/>
                  </w14:solidFill>
                </w14:textFill>
              </w:rPr>
              <w:t>9</w:t>
            </w:r>
            <w:r>
              <w:rPr>
                <w:rFonts w:hint="default" w:ascii="Times New Roman" w:hAnsi="Times New Roman" w:cs="Times New Roman"/>
                <w:b w:val="0"/>
                <w:bCs w:val="0"/>
                <w:color w:val="000000" w:themeColor="text1"/>
                <w:kern w:val="0"/>
                <w:sz w:val="22"/>
                <w:szCs w:val="22"/>
                <w14:textFill>
                  <w14:solidFill>
                    <w14:schemeClr w14:val="tx1"/>
                  </w14:solidFill>
                </w14:textFill>
              </w:rPr>
              <w:t>、专业的CRT治疗优化系统 (心脏再同步化治疗)</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w:t>
            </w:r>
            <w:r>
              <w:rPr>
                <w:rFonts w:hint="eastAsia" w:ascii="Times New Roman" w:hAnsi="Times New Roman" w:cs="Times New Roman"/>
                <w:b w:val="0"/>
                <w:bCs w:val="0"/>
                <w:color w:val="000000" w:themeColor="text1"/>
                <w:kern w:val="0"/>
                <w:sz w:val="22"/>
                <w:szCs w:val="22"/>
                <w:lang w:val="en-US" w:eastAsia="zh-CN"/>
                <w14:textFill>
                  <w14:solidFill>
                    <w14:schemeClr w14:val="tx1"/>
                  </w14:solidFill>
                </w14:textFill>
              </w:rPr>
              <w:t>10</w:t>
            </w:r>
            <w:r>
              <w:rPr>
                <w:rFonts w:hint="default" w:ascii="Times New Roman" w:hAnsi="Times New Roman" w:cs="Times New Roman"/>
                <w:b w:val="0"/>
                <w:bCs w:val="0"/>
                <w:color w:val="000000" w:themeColor="text1"/>
                <w:kern w:val="0"/>
                <w:sz w:val="22"/>
                <w:szCs w:val="22"/>
                <w14:textFill>
                  <w14:solidFill>
                    <w14:schemeClr w14:val="tx1"/>
                  </w14:solidFill>
                </w14:textFill>
              </w:rPr>
              <w:t>、三种以上不同专用传感器贴放方式,可用于选择监测患者中心血流动力学变化及患者全身血流动力学变化</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eastAsia" w:ascii="Times New Roman" w:hAnsi="Times New Roman" w:cs="Times New Roman"/>
                <w:b w:val="0"/>
                <w:bCs w:val="0"/>
                <w:color w:val="000000" w:themeColor="text1"/>
                <w:kern w:val="0"/>
                <w:sz w:val="22"/>
                <w:szCs w:val="22"/>
                <w:lang w:val="en-US" w:eastAsia="zh-CN"/>
                <w14:textFill>
                  <w14:solidFill>
                    <w14:schemeClr w14:val="tx1"/>
                  </w14:solidFill>
                </w14:textFill>
              </w:rPr>
              <w:t>11</w:t>
            </w:r>
            <w:r>
              <w:rPr>
                <w:rFonts w:hint="default" w:ascii="Times New Roman" w:hAnsi="Times New Roman" w:cs="Times New Roman"/>
                <w:b w:val="0"/>
                <w:bCs w:val="0"/>
                <w:color w:val="000000" w:themeColor="text1"/>
                <w:kern w:val="0"/>
                <w:sz w:val="22"/>
                <w:szCs w:val="22"/>
                <w14:textFill>
                  <w14:solidFill>
                    <w14:schemeClr w14:val="tx1"/>
                  </w14:solidFill>
                </w14:textFill>
              </w:rPr>
              <w:t>、单个和全部监测结果可以分别用表格导出进行数据统计分析</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2"/>
              </w:numPr>
              <w:kinsoku/>
              <w:wordWrap/>
              <w:overflowPunct/>
              <w:topLinePunct w:val="0"/>
              <w:autoSpaceDE/>
              <w:autoSpaceDN/>
              <w:bidi w:val="0"/>
              <w:adjustRightInd/>
              <w:snapToGrid/>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HR 心率 30-240bpm</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2"/>
              </w:numPr>
              <w:kinsoku/>
              <w:wordWrap/>
              <w:overflowPunct/>
              <w:topLinePunct w:val="0"/>
              <w:autoSpaceDE/>
              <w:autoSpaceDN/>
              <w:bidi w:val="0"/>
              <w:adjustRightInd/>
              <w:snapToGrid/>
              <w:ind w:left="0" w:leftChars="0" w:firstLine="0" w:firstLineChars="0"/>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SV 每搏输出量0-200ml</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shd w:val="clear" w:color="000000" w:fill="FFFFFF"/>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2"/>
              </w:numPr>
              <w:kinsoku/>
              <w:wordWrap/>
              <w:overflowPunct/>
              <w:topLinePunct w:val="0"/>
              <w:autoSpaceDE/>
              <w:autoSpaceDN/>
              <w:bidi w:val="0"/>
              <w:adjustRightInd/>
              <w:snapToGrid/>
              <w:ind w:left="0" w:leftChars="0" w:firstLine="0" w:firstLineChars="0"/>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SI 每搏指数 0-150ml/m2</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shd w:val="clear" w:color="000000" w:fill="FFFFFF"/>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single" w:color="3F3F3F" w:sz="4" w:space="0"/>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2"/>
              </w:numPr>
              <w:kinsoku/>
              <w:wordWrap/>
              <w:overflowPunct/>
              <w:topLinePunct w:val="0"/>
              <w:autoSpaceDE/>
              <w:autoSpaceDN/>
              <w:bidi w:val="0"/>
              <w:adjustRightInd/>
              <w:snapToGrid/>
              <w:ind w:left="0" w:leftChars="0" w:firstLine="0" w:firstLineChars="0"/>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CO 心输出量 1-20L/min</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shd w:val="clear" w:color="000000" w:fill="FFFFFF"/>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2"/>
              </w:numPr>
              <w:kinsoku/>
              <w:wordWrap/>
              <w:overflowPunct/>
              <w:topLinePunct w:val="0"/>
              <w:autoSpaceDE/>
              <w:autoSpaceDN/>
              <w:bidi w:val="0"/>
              <w:adjustRightInd/>
              <w:snapToGrid/>
              <w:ind w:left="0" w:leftChars="0" w:firstLine="0" w:firstLineChars="0"/>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CI 心指数 1-15L/min/m2</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shd w:val="clear" w:color="000000" w:fill="FFFFFF"/>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2"/>
              </w:numPr>
              <w:kinsoku/>
              <w:wordWrap/>
              <w:overflowPunct/>
              <w:topLinePunct w:val="0"/>
              <w:autoSpaceDE/>
              <w:autoSpaceDN/>
              <w:bidi w:val="0"/>
              <w:adjustRightInd/>
              <w:snapToGrid/>
              <w:ind w:left="0" w:leftChars="0" w:firstLine="0" w:firstLineChars="0"/>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▲GGI 格兰夫-高尔指数 1-20</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shd w:val="clear" w:color="000000" w:fill="FFFFFF"/>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2"/>
              </w:numPr>
              <w:kinsoku/>
              <w:wordWrap/>
              <w:overflowPunct/>
              <w:topLinePunct w:val="0"/>
              <w:autoSpaceDE/>
              <w:autoSpaceDN/>
              <w:bidi w:val="0"/>
              <w:adjustRightInd/>
              <w:snapToGrid/>
              <w:ind w:left="0" w:leftChars="0" w:firstLine="0" w:firstLineChars="0"/>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Resp 呼吸频率 0-30bpm</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shd w:val="clear" w:color="000000" w:fill="FFFFFF"/>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2"/>
              </w:numPr>
              <w:kinsoku/>
              <w:wordWrap/>
              <w:overflowPunct/>
              <w:topLinePunct w:val="0"/>
              <w:autoSpaceDE/>
              <w:autoSpaceDN/>
              <w:bidi w:val="0"/>
              <w:adjustRightInd/>
              <w:snapToGrid/>
              <w:ind w:left="0" w:leftChars="0" w:firstLine="0" w:firstLineChars="0"/>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CPI 心脏功能指数 0-1.5w/m2</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shd w:val="clear" w:color="000000" w:fill="FFFFFF"/>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2"/>
              </w:numPr>
              <w:kinsoku/>
              <w:wordWrap/>
              <w:overflowPunct/>
              <w:topLinePunct w:val="0"/>
              <w:autoSpaceDE/>
              <w:autoSpaceDN/>
              <w:bidi w:val="0"/>
              <w:adjustRightInd/>
              <w:snapToGrid/>
              <w:ind w:left="0" w:leftChars="0" w:firstLine="0" w:firstLineChars="0"/>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TBW 全身液体水平 30-80%</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shd w:val="clear" w:color="000000" w:fill="FFFFFF"/>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2"/>
              </w:numPr>
              <w:kinsoku/>
              <w:wordWrap/>
              <w:overflowPunct/>
              <w:topLinePunct w:val="0"/>
              <w:autoSpaceDE/>
              <w:autoSpaceDN/>
              <w:bidi w:val="0"/>
              <w:adjustRightInd/>
              <w:snapToGrid/>
              <w:ind w:left="0" w:leftChars="0" w:firstLine="0" w:firstLineChars="0"/>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TBW 全身液体水平 9-240Kg</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shd w:val="clear" w:color="000000" w:fill="FFFFFF"/>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2"/>
              </w:numPr>
              <w:kinsoku/>
              <w:wordWrap/>
              <w:overflowPunct/>
              <w:topLinePunct w:val="0"/>
              <w:autoSpaceDE/>
              <w:autoSpaceDN/>
              <w:bidi w:val="0"/>
              <w:adjustRightInd/>
              <w:snapToGrid/>
              <w:ind w:left="0" w:leftChars="0" w:firstLine="0" w:firstLineChars="0"/>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SVV每搏输出量变异0-100%</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shd w:val="clear" w:color="000000" w:fill="FFFFFF"/>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2"/>
              </w:numPr>
              <w:kinsoku/>
              <w:wordWrap/>
              <w:overflowPunct/>
              <w:topLinePunct w:val="0"/>
              <w:autoSpaceDE/>
              <w:autoSpaceDN/>
              <w:bidi w:val="0"/>
              <w:adjustRightInd/>
              <w:snapToGrid/>
              <w:ind w:left="0" w:leftChars="0" w:firstLine="0" w:firstLineChars="0"/>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dECW细胞外液体水平</w:t>
            </w:r>
          </w:p>
        </w:tc>
      </w:tr>
      <w:tr>
        <w:tblPrEx>
          <w:tblCellMar>
            <w:top w:w="0" w:type="dxa"/>
            <w:left w:w="108" w:type="dxa"/>
            <w:bottom w:w="0" w:type="dxa"/>
            <w:right w:w="108" w:type="dxa"/>
          </w:tblCellMar>
        </w:tblPrEx>
        <w:trPr>
          <w:trHeight w:val="482"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right w:val="single" w:color="3F3F3F" w:sz="4" w:space="0"/>
            </w:tcBorders>
            <w:shd w:val="clear" w:color="000000" w:fill="FFFFFF"/>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2"/>
              </w:numPr>
              <w:kinsoku/>
              <w:wordWrap/>
              <w:overflowPunct/>
              <w:topLinePunct w:val="0"/>
              <w:autoSpaceDE/>
              <w:autoSpaceDN/>
              <w:bidi w:val="0"/>
              <w:adjustRightInd/>
              <w:snapToGrid/>
              <w:ind w:left="0" w:leftChars="0" w:firstLine="0" w:firstLineChars="0"/>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TPR 全身外周血管阻力 0-5000dn·s/cm5</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bottom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left w:val="single" w:color="3F3F3F" w:sz="4" w:space="0"/>
              <w:bottom w:val="single" w:color="auto" w:sz="4" w:space="0"/>
              <w:right w:val="single" w:color="3F3F3F" w:sz="4" w:space="0"/>
            </w:tcBorders>
            <w:shd w:val="clear" w:color="000000" w:fill="FFFFFF"/>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nil"/>
              <w:left w:val="nil"/>
              <w:bottom w:val="single" w:color="auto" w:sz="4" w:space="0"/>
              <w:right w:val="single" w:color="3F3F3F" w:sz="4" w:space="0"/>
            </w:tcBorders>
            <w:shd w:val="clear" w:color="000000" w:fill="FFFFFF"/>
            <w:vAlign w:val="center"/>
          </w:tcPr>
          <w:p>
            <w:pPr>
              <w:keepNext w:val="0"/>
              <w:keepLines w:val="0"/>
              <w:pageBreakBefore w:val="0"/>
              <w:widowControl/>
              <w:numPr>
                <w:ilvl w:val="0"/>
                <w:numId w:val="2"/>
              </w:numPr>
              <w:kinsoku/>
              <w:wordWrap/>
              <w:overflowPunct/>
              <w:topLinePunct w:val="0"/>
              <w:autoSpaceDE/>
              <w:autoSpaceDN/>
              <w:bidi w:val="0"/>
              <w:adjustRightInd/>
              <w:snapToGrid/>
              <w:ind w:left="0" w:leftChars="0" w:firstLine="0" w:firstLineChars="0"/>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TPRI 全身外周血管阻力指数 0-7000dn·s /cm5·m²</w:t>
            </w:r>
          </w:p>
        </w:tc>
      </w:tr>
      <w:tr>
        <w:tblPrEx>
          <w:tblCellMar>
            <w:top w:w="0" w:type="dxa"/>
            <w:left w:w="108" w:type="dxa"/>
            <w:bottom w:w="0" w:type="dxa"/>
            <w:right w:w="108" w:type="dxa"/>
          </w:tblCellMar>
        </w:tblPrEx>
        <w:trPr>
          <w:trHeight w:val="454" w:hRule="atLeast"/>
          <w:jc w:val="center"/>
        </w:trPr>
        <w:tc>
          <w:tcPr>
            <w:tcW w:w="805"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numPr>
                <w:ilvl w:val="0"/>
                <w:numId w:val="2"/>
              </w:numPr>
              <w:kinsoku/>
              <w:wordWrap/>
              <w:overflowPunct/>
              <w:topLinePunct w:val="0"/>
              <w:autoSpaceDE/>
              <w:autoSpaceDN/>
              <w:bidi w:val="0"/>
              <w:adjustRightInd/>
              <w:snapToGrid/>
              <w:ind w:left="0" w:leftChars="0" w:firstLine="0" w:firstLineChars="0"/>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AC动脉顺应性</w:t>
            </w:r>
          </w:p>
        </w:tc>
      </w:tr>
      <w:tr>
        <w:tblPrEx>
          <w:tblCellMar>
            <w:top w:w="0" w:type="dxa"/>
            <w:left w:w="108" w:type="dxa"/>
            <w:bottom w:w="0" w:type="dxa"/>
            <w:right w:w="108" w:type="dxa"/>
          </w:tblCellMar>
        </w:tblPrEx>
        <w:trPr>
          <w:trHeight w:val="454" w:hRule="atLeast"/>
          <w:jc w:val="center"/>
        </w:trPr>
        <w:tc>
          <w:tcPr>
            <w:tcW w:w="805" w:type="dxa"/>
            <w:vMerge w:val="continue"/>
            <w:tcBorders>
              <w:top w:val="single" w:color="auto" w:sz="4" w:space="0"/>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p>
        </w:tc>
        <w:tc>
          <w:tcPr>
            <w:tcW w:w="1272" w:type="dxa"/>
            <w:vMerge w:val="continue"/>
            <w:tcBorders>
              <w:top w:val="single" w:color="auto" w:sz="4" w:space="0"/>
              <w:left w:val="single" w:color="3F3F3F" w:sz="4" w:space="0"/>
              <w:right w:val="single" w:color="3F3F3F" w:sz="4" w:space="0"/>
            </w:tcBorders>
            <w:shd w:val="clear" w:color="000000" w:fill="FFFFFF"/>
            <w:vAlign w:val="center"/>
          </w:tcPr>
          <w:p>
            <w:pPr>
              <w:widowControl/>
              <w:jc w:val="left"/>
              <w:rPr>
                <w:rFonts w:hint="default" w:ascii="Times New Roman" w:hAnsi="Times New Roman" w:cs="Times New Roman"/>
                <w:b/>
                <w:bCs/>
                <w:color w:val="000000" w:themeColor="text1"/>
                <w:kern w:val="0"/>
                <w:sz w:val="22"/>
                <w:szCs w:val="22"/>
                <w14:textFill>
                  <w14:solidFill>
                    <w14:schemeClr w14:val="tx1"/>
                  </w14:solidFill>
                </w14:textFill>
              </w:rPr>
            </w:pPr>
          </w:p>
        </w:tc>
        <w:tc>
          <w:tcPr>
            <w:tcW w:w="7577" w:type="dxa"/>
            <w:tcBorders>
              <w:top w:val="single" w:color="auto" w:sz="4" w:space="0"/>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2"/>
              </w:numPr>
              <w:kinsoku/>
              <w:wordWrap/>
              <w:overflowPunct/>
              <w:topLinePunct w:val="0"/>
              <w:autoSpaceDE/>
              <w:autoSpaceDN/>
              <w:bidi w:val="0"/>
              <w:adjustRightInd/>
              <w:snapToGrid/>
              <w:ind w:left="0" w:leftChars="0" w:firstLine="0" w:firstLineChars="0"/>
              <w:jc w:val="both"/>
              <w:textAlignment w:val="auto"/>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14:textFill>
                  <w14:solidFill>
                    <w14:schemeClr w14:val="tx1"/>
                  </w14:solidFill>
                </w14:textFill>
              </w:rPr>
              <w:t>D02氧输送</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1272" w:type="dxa"/>
            <w:vMerge w:val="continue"/>
            <w:tcBorders>
              <w:left w:val="single" w:color="3F3F3F"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4"/>
                <w:szCs w:val="24"/>
                <w14:textFill>
                  <w14:solidFill>
                    <w14:schemeClr w14:val="tx1"/>
                  </w14:solidFill>
                </w14:textFill>
              </w:rPr>
            </w:pPr>
          </w:p>
        </w:tc>
        <w:tc>
          <w:tcPr>
            <w:tcW w:w="7577"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2"/>
              </w:numPr>
              <w:kinsoku/>
              <w:wordWrap/>
              <w:overflowPunct/>
              <w:topLinePunct w:val="0"/>
              <w:autoSpaceDE/>
              <w:autoSpaceDN/>
              <w:bidi w:val="0"/>
              <w:adjustRightInd/>
              <w:snapToGrid/>
              <w:ind w:left="0" w:leftChars="0" w:firstLine="0" w:firstLineChars="0"/>
              <w:jc w:val="both"/>
              <w:textAlignment w:val="auto"/>
              <w:rPr>
                <w:rFonts w:ascii="宋体" w:hAnsi="宋体" w:cs="宋体"/>
                <w:b w:val="0"/>
                <w:bCs w:val="0"/>
                <w:color w:val="000000" w:themeColor="text1"/>
                <w:kern w:val="0"/>
                <w:sz w:val="24"/>
                <w:szCs w:val="24"/>
                <w14:textFill>
                  <w14:solidFill>
                    <w14:schemeClr w14:val="tx1"/>
                  </w14:solidFill>
                </w14:textFill>
              </w:rPr>
            </w:pPr>
            <w:r>
              <w:rPr>
                <w:rFonts w:ascii="宋体" w:hAnsi="宋体" w:cs="宋体"/>
                <w:b w:val="0"/>
                <w:bCs w:val="0"/>
                <w:color w:val="000000" w:themeColor="text1"/>
                <w:kern w:val="0"/>
                <w:sz w:val="24"/>
                <w:szCs w:val="24"/>
                <w14:textFill>
                  <w14:solidFill>
                    <w14:schemeClr w14:val="tx1"/>
                  </w14:solidFill>
                </w14:textFill>
              </w:rPr>
              <w:t>DO2I氧输送指数</w:t>
            </w:r>
            <w:r>
              <w:rPr>
                <w:rFonts w:hint="eastAsia" w:ascii="宋体" w:hAnsi="宋体" w:cs="宋体"/>
                <w:b w:val="0"/>
                <w:bCs w:val="0"/>
                <w:color w:val="000000" w:themeColor="text1"/>
                <w:kern w:val="0"/>
                <w:sz w:val="24"/>
                <w:szCs w:val="24"/>
                <w14:textFill>
                  <w14:solidFill>
                    <w14:schemeClr w14:val="tx1"/>
                  </w14:solidFill>
                </w14:textFill>
              </w:rPr>
              <w:t xml:space="preserve"> </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1272" w:type="dxa"/>
            <w:vMerge w:val="continue"/>
            <w:tcBorders>
              <w:left w:val="single" w:color="3F3F3F"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4"/>
                <w:szCs w:val="24"/>
                <w14:textFill>
                  <w14:solidFill>
                    <w14:schemeClr w14:val="tx1"/>
                  </w14:solidFill>
                </w14:textFill>
              </w:rPr>
            </w:pPr>
          </w:p>
        </w:tc>
        <w:tc>
          <w:tcPr>
            <w:tcW w:w="7577"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numPr>
                <w:ilvl w:val="0"/>
                <w:numId w:val="2"/>
              </w:numPr>
              <w:kinsoku/>
              <w:wordWrap/>
              <w:overflowPunct/>
              <w:topLinePunct w:val="0"/>
              <w:autoSpaceDE/>
              <w:autoSpaceDN/>
              <w:bidi w:val="0"/>
              <w:adjustRightInd/>
              <w:snapToGrid/>
              <w:ind w:left="0" w:leftChars="0" w:firstLine="0" w:firstLineChars="0"/>
              <w:jc w:val="both"/>
              <w:textAlignment w:val="auto"/>
              <w:rPr>
                <w:rFonts w:ascii="宋体" w:hAnsi="宋体" w:cs="宋体"/>
                <w:b w:val="0"/>
                <w:bCs w:val="0"/>
                <w:color w:val="000000" w:themeColor="text1"/>
                <w:kern w:val="0"/>
                <w:sz w:val="24"/>
                <w:szCs w:val="24"/>
                <w14:textFill>
                  <w14:solidFill>
                    <w14:schemeClr w14:val="tx1"/>
                  </w14:solidFill>
                </w14:textFill>
              </w:rPr>
            </w:pPr>
            <w:r>
              <w:rPr>
                <w:rFonts w:ascii="宋体" w:hAnsi="宋体" w:cs="宋体"/>
                <w:b w:val="0"/>
                <w:bCs w:val="0"/>
                <w:color w:val="000000" w:themeColor="text1"/>
                <w:kern w:val="0"/>
                <w:sz w:val="24"/>
                <w:szCs w:val="24"/>
                <w14:textFill>
                  <w14:solidFill>
                    <w14:schemeClr w14:val="tx1"/>
                  </w14:solidFill>
                </w14:textFill>
              </w:rPr>
              <w:t>CR心力储备</w:t>
            </w:r>
          </w:p>
        </w:tc>
      </w:tr>
      <w:tr>
        <w:tblPrEx>
          <w:tblCellMar>
            <w:top w:w="0" w:type="dxa"/>
            <w:left w:w="108" w:type="dxa"/>
            <w:bottom w:w="0" w:type="dxa"/>
            <w:right w:w="108" w:type="dxa"/>
          </w:tblCellMar>
        </w:tblPrEx>
        <w:trPr>
          <w:trHeight w:val="454" w:hRule="atLeast"/>
          <w:jc w:val="center"/>
        </w:trPr>
        <w:tc>
          <w:tcPr>
            <w:tcW w:w="805" w:type="dxa"/>
            <w:vMerge w:val="continue"/>
            <w:tcBorders>
              <w:left w:val="single" w:color="auto" w:sz="4" w:space="0"/>
              <w:bottom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1272" w:type="dxa"/>
            <w:vMerge w:val="continue"/>
            <w:tcBorders>
              <w:left w:val="single" w:color="3F3F3F" w:sz="4" w:space="0"/>
              <w:bottom w:val="single" w:color="3F3F3F" w:sz="4" w:space="0"/>
              <w:right w:val="single" w:color="3F3F3F" w:sz="4" w:space="0"/>
            </w:tcBorders>
            <w:shd w:val="clear" w:color="000000" w:fill="FFFFFF"/>
            <w:vAlign w:val="center"/>
          </w:tcPr>
          <w:p>
            <w:pPr>
              <w:widowControl/>
              <w:jc w:val="left"/>
              <w:rPr>
                <w:rFonts w:ascii="宋体" w:hAnsi="宋体" w:cs="宋体"/>
                <w:b/>
                <w:bCs/>
                <w:color w:val="000000" w:themeColor="text1"/>
                <w:kern w:val="0"/>
                <w:sz w:val="24"/>
                <w:szCs w:val="24"/>
                <w14:textFill>
                  <w14:solidFill>
                    <w14:schemeClr w14:val="tx1"/>
                  </w14:solidFill>
                </w14:textFill>
              </w:rPr>
            </w:pPr>
          </w:p>
        </w:tc>
        <w:tc>
          <w:tcPr>
            <w:tcW w:w="7577" w:type="dxa"/>
            <w:tcBorders>
              <w:top w:val="nil"/>
              <w:left w:val="nil"/>
              <w:bottom w:val="single" w:color="3F3F3F" w:sz="4" w:space="0"/>
              <w:right w:val="single" w:color="3F3F3F"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jc w:val="both"/>
              <w:textAlignment w:val="auto"/>
              <w:rPr>
                <w:rFonts w:ascii="宋体" w:hAnsi="宋体" w:cs="宋体"/>
                <w:b w:val="0"/>
                <w:bCs w:val="0"/>
                <w:color w:val="000000" w:themeColor="text1"/>
                <w:kern w:val="0"/>
                <w:sz w:val="24"/>
                <w:szCs w:val="24"/>
                <w14:textFill>
                  <w14:solidFill>
                    <w14:schemeClr w14:val="tx1"/>
                  </w14:solidFill>
                </w14:textFill>
              </w:rPr>
            </w:pPr>
            <w:r>
              <w:rPr>
                <w:rFonts w:hint="eastAsia" w:ascii="宋体" w:hAnsi="宋体" w:cs="宋体"/>
                <w:b w:val="0"/>
                <w:bCs w:val="0"/>
                <w:color w:val="000000" w:themeColor="text1"/>
                <w:kern w:val="0"/>
                <w:sz w:val="24"/>
                <w:szCs w:val="24"/>
                <w:lang w:val="en-US" w:eastAsia="zh-CN"/>
                <w14:textFill>
                  <w14:solidFill>
                    <w14:schemeClr w14:val="tx1"/>
                  </w14:solidFill>
                </w14:textFill>
              </w:rPr>
              <w:t>30.</w:t>
            </w:r>
            <w:r>
              <w:rPr>
                <w:rFonts w:ascii="宋体" w:hAnsi="宋体" w:cs="宋体"/>
                <w:b w:val="0"/>
                <w:bCs w:val="0"/>
                <w:color w:val="000000" w:themeColor="text1"/>
                <w:kern w:val="0"/>
                <w:sz w:val="24"/>
                <w:szCs w:val="24"/>
                <w14:textFill>
                  <w14:solidFill>
                    <w14:schemeClr w14:val="tx1"/>
                  </w14:solidFill>
                </w14:textFill>
              </w:rPr>
              <w:t>▲R基础阻抗值150-900ohm</w:t>
            </w:r>
          </w:p>
        </w:tc>
      </w:tr>
    </w:tbl>
    <w:p>
      <w:pPr>
        <w:pStyle w:val="3"/>
        <w:bidi w:val="0"/>
        <w:jc w:val="center"/>
      </w:pPr>
      <w:r>
        <w:rPr>
          <w:rFonts w:hint="eastAsia"/>
        </w:rPr>
        <w:t>设备配套耗材试剂情况</w:t>
      </w:r>
      <w:bookmarkStart w:id="0" w:name="_GoBack"/>
      <w:bookmarkEnd w:id="0"/>
    </w:p>
    <w:p>
      <w:pPr>
        <w:jc w:val="left"/>
        <w:rPr>
          <w:rFonts w:ascii="宋体" w:hAnsi="宋体" w:cs="宋体"/>
          <w:b/>
          <w:bCs/>
          <w:kern w:val="0"/>
          <w:sz w:val="24"/>
          <w:szCs w:val="24"/>
        </w:rPr>
      </w:pPr>
      <w:r>
        <w:rPr>
          <w:rFonts w:hint="eastAsia" w:ascii="宋体" w:hAnsi="宋体" w:cs="宋体"/>
          <w:b/>
          <w:bCs/>
          <w:kern w:val="0"/>
          <w:sz w:val="28"/>
          <w:szCs w:val="28"/>
        </w:rPr>
        <w:t>配套耗材或试剂  （</w:t>
      </w:r>
      <w:r>
        <w:rPr>
          <w:rFonts w:hint="eastAsia" w:ascii="宋体" w:hAnsi="宋体" w:cs="宋体"/>
          <w:b/>
          <w:bCs/>
          <w:color w:val="FF0000"/>
          <w:kern w:val="0"/>
          <w:sz w:val="28"/>
          <w:szCs w:val="28"/>
        </w:rPr>
        <w:t>开放</w:t>
      </w:r>
      <w:r>
        <w:rPr>
          <w:rFonts w:hint="eastAsia" w:ascii="宋体" w:hAnsi="宋体" w:cs="宋体"/>
          <w:b/>
          <w:bCs/>
          <w:color w:val="FF0000"/>
          <w:kern w:val="0"/>
          <w:sz w:val="28"/>
          <w:szCs w:val="28"/>
          <w:lang w:eastAsia="zh-CN"/>
        </w:rPr>
        <w:t>□</w:t>
      </w:r>
      <w:r>
        <w:rPr>
          <w:rFonts w:hint="eastAsia" w:ascii="宋体" w:hAnsi="宋体" w:cs="宋体"/>
          <w:b/>
          <w:bCs/>
          <w:color w:val="FF0000"/>
          <w:kern w:val="0"/>
          <w:sz w:val="28"/>
          <w:szCs w:val="28"/>
        </w:rPr>
        <w:t xml:space="preserve">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专用</w:t>
      </w:r>
      <w:r>
        <w:rPr>
          <w:rFonts w:hint="eastAsia" w:ascii="宋体" w:hAnsi="宋体" w:cs="宋体"/>
          <w:b/>
          <w:bCs/>
          <w:color w:val="FF0000"/>
          <w:kern w:val="0"/>
          <w:sz w:val="28"/>
          <w:szCs w:val="28"/>
          <w:lang w:eastAsia="zh-CN"/>
        </w:rPr>
        <w:t>☑</w:t>
      </w:r>
      <w:r>
        <w:rPr>
          <w:rFonts w:hint="eastAsia" w:ascii="宋体" w:hAnsi="宋体" w:cs="宋体"/>
          <w:b/>
          <w:bCs/>
          <w:color w:val="FF0000"/>
          <w:kern w:val="0"/>
          <w:sz w:val="28"/>
          <w:szCs w:val="28"/>
        </w:rPr>
        <w:t xml:space="preserve">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 无□</w:t>
      </w:r>
      <w:r>
        <w:rPr>
          <w:rFonts w:hint="eastAsia" w:ascii="宋体" w:hAnsi="宋体" w:cs="宋体"/>
          <w:b/>
          <w:bCs/>
          <w:kern w:val="0"/>
          <w:sz w:val="28"/>
          <w:szCs w:val="28"/>
        </w:rPr>
        <w:t xml:space="preserve">） </w:t>
      </w:r>
    </w:p>
    <w:p>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ascii="宋体" w:hAnsi="宋体" w:cs="宋体"/>
          <w:b/>
          <w:bCs/>
          <w:kern w:val="0"/>
          <w:sz w:val="24"/>
          <w:szCs w:val="24"/>
        </w:rPr>
      </w:pPr>
      <w:r>
        <w:rPr>
          <w:rFonts w:hint="eastAsia" w:ascii="宋体" w:hAnsi="宋体" w:cs="宋体"/>
          <w:b/>
          <w:bCs/>
          <w:kern w:val="0"/>
          <w:sz w:val="24"/>
          <w:szCs w:val="24"/>
        </w:rPr>
        <w:t>配套耗材</w:t>
      </w:r>
    </w:p>
    <w:tbl>
      <w:tblPr>
        <w:tblStyle w:val="8"/>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60"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序号</w:t>
            </w:r>
          </w:p>
        </w:tc>
        <w:tc>
          <w:tcPr>
            <w:tcW w:w="5094"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名称</w:t>
            </w:r>
          </w:p>
        </w:tc>
        <w:tc>
          <w:tcPr>
            <w:tcW w:w="1985"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单位</w:t>
            </w:r>
          </w:p>
        </w:tc>
        <w:tc>
          <w:tcPr>
            <w:tcW w:w="2126"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预算单价（元）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60" w:type="dxa"/>
            <w:vAlign w:val="center"/>
          </w:tcPr>
          <w:p>
            <w:pPr>
              <w:jc w:val="center"/>
              <w:rPr>
                <w:rFonts w:ascii="仿宋_GB2312" w:hAnsi="Times New Roman" w:eastAsia="仿宋_GB2312"/>
                <w:b/>
                <w:sz w:val="28"/>
                <w:szCs w:val="21"/>
              </w:rPr>
            </w:pPr>
            <w:r>
              <w:rPr>
                <w:rFonts w:hint="eastAsia" w:ascii="仿宋_GB2312" w:hAnsi="Times New Roman" w:eastAsia="仿宋_GB2312"/>
                <w:b/>
                <w:sz w:val="28"/>
                <w:szCs w:val="21"/>
              </w:rPr>
              <w:t>1</w:t>
            </w:r>
          </w:p>
        </w:tc>
        <w:tc>
          <w:tcPr>
            <w:tcW w:w="5094"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阻抗电极片</w:t>
            </w:r>
          </w:p>
        </w:tc>
        <w:tc>
          <w:tcPr>
            <w:tcW w:w="1985"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包</w:t>
            </w:r>
          </w:p>
        </w:tc>
        <w:tc>
          <w:tcPr>
            <w:tcW w:w="2126"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120</w:t>
            </w:r>
          </w:p>
        </w:tc>
      </w:tr>
    </w:tbl>
    <w:p>
      <w:pPr>
        <w:jc w:val="left"/>
        <w:rPr>
          <w:rFonts w:ascii="Times New Roman" w:hAnsi="Times New Roman"/>
          <w:szCs w:val="21"/>
        </w:rPr>
      </w:pPr>
    </w:p>
    <w:p>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ascii="宋体" w:hAnsi="宋体" w:cs="宋体"/>
          <w:b/>
          <w:bCs/>
          <w:kern w:val="0"/>
          <w:sz w:val="24"/>
          <w:szCs w:val="24"/>
        </w:rPr>
      </w:pPr>
      <w:r>
        <w:rPr>
          <w:rFonts w:hint="eastAsia" w:ascii="宋体" w:hAnsi="宋体" w:cs="宋体"/>
          <w:b/>
          <w:bCs/>
          <w:kern w:val="0"/>
          <w:sz w:val="24"/>
          <w:szCs w:val="24"/>
        </w:rPr>
        <w:t xml:space="preserve">配套试剂 </w:t>
      </w:r>
    </w:p>
    <w:tbl>
      <w:tblPr>
        <w:tblStyle w:val="8"/>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47"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序号</w:t>
            </w:r>
          </w:p>
        </w:tc>
        <w:tc>
          <w:tcPr>
            <w:tcW w:w="5107"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名称</w:t>
            </w:r>
          </w:p>
        </w:tc>
        <w:tc>
          <w:tcPr>
            <w:tcW w:w="1985"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单位</w:t>
            </w:r>
          </w:p>
        </w:tc>
        <w:tc>
          <w:tcPr>
            <w:tcW w:w="2126" w:type="dxa"/>
            <w:vAlign w:val="center"/>
          </w:tcPr>
          <w:p>
            <w:pPr>
              <w:jc w:val="center"/>
              <w:rPr>
                <w:rFonts w:hint="eastAsia" w:ascii="仿宋_GB2312" w:hAnsi="Times New Roman" w:eastAsia="仿宋_GB2312"/>
                <w:b/>
                <w:sz w:val="24"/>
                <w:szCs w:val="21"/>
                <w:lang w:eastAsia="zh-CN"/>
              </w:rPr>
            </w:pPr>
            <w:r>
              <w:rPr>
                <w:rFonts w:hint="eastAsia" w:ascii="仿宋_GB2312" w:hAnsi="Times New Roman" w:eastAsia="仿宋_GB2312"/>
                <w:b/>
                <w:sz w:val="24"/>
                <w:szCs w:val="21"/>
              </w:rPr>
              <w:t>预算单价</w:t>
            </w:r>
            <w:r>
              <w:rPr>
                <w:rFonts w:hint="eastAsia" w:ascii="仿宋_GB2312" w:hAnsi="Times New Roman" w:eastAsia="仿宋_GB2312"/>
                <w:b/>
                <w:sz w:val="24"/>
                <w:szCs w:val="21"/>
                <w:lang w:eastAsia="zh-CN"/>
              </w:rPr>
              <w:t>（</w:t>
            </w:r>
            <w:r>
              <w:rPr>
                <w:rFonts w:hint="eastAsia" w:ascii="仿宋_GB2312" w:hAnsi="Times New Roman" w:eastAsia="仿宋_GB2312"/>
                <w:b/>
                <w:sz w:val="24"/>
                <w:szCs w:val="21"/>
                <w:lang w:val="en-US" w:eastAsia="zh-CN"/>
              </w:rPr>
              <w:t>元</w:t>
            </w:r>
            <w:r>
              <w:rPr>
                <w:rFonts w:hint="eastAsia" w:ascii="仿宋_GB2312" w:hAnsi="Times New Roman" w:eastAsia="仿宋_GB2312"/>
                <w:b/>
                <w:sz w:val="24"/>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vAlign w:val="center"/>
          </w:tcPr>
          <w:p>
            <w:pPr>
              <w:jc w:val="center"/>
              <w:rPr>
                <w:rFonts w:ascii="仿宋_GB2312" w:hAnsi="Times New Roman" w:eastAsia="仿宋_GB2312"/>
                <w:b/>
                <w:sz w:val="28"/>
                <w:szCs w:val="21"/>
              </w:rPr>
            </w:pPr>
            <w:r>
              <w:rPr>
                <w:rFonts w:hint="eastAsia" w:ascii="仿宋_GB2312" w:hAnsi="Times New Roman" w:eastAsia="仿宋_GB2312"/>
                <w:b/>
                <w:sz w:val="28"/>
                <w:szCs w:val="21"/>
              </w:rPr>
              <w:t>1</w:t>
            </w:r>
          </w:p>
        </w:tc>
        <w:tc>
          <w:tcPr>
            <w:tcW w:w="5107" w:type="dxa"/>
            <w:vAlign w:val="center"/>
          </w:tcPr>
          <w:p>
            <w:pPr>
              <w:jc w:val="center"/>
              <w:rPr>
                <w:rFonts w:ascii="仿宋_GB2312" w:hAnsi="Times New Roman" w:eastAsia="仿宋_GB2312"/>
                <w:sz w:val="24"/>
                <w:szCs w:val="21"/>
              </w:rPr>
            </w:pPr>
          </w:p>
        </w:tc>
        <w:tc>
          <w:tcPr>
            <w:tcW w:w="1985" w:type="dxa"/>
            <w:vAlign w:val="center"/>
          </w:tcPr>
          <w:p>
            <w:pPr>
              <w:jc w:val="center"/>
              <w:rPr>
                <w:rFonts w:ascii="仿宋_GB2312" w:hAnsi="Times New Roman" w:eastAsia="仿宋_GB2312"/>
                <w:sz w:val="24"/>
                <w:szCs w:val="21"/>
              </w:rPr>
            </w:pPr>
          </w:p>
        </w:tc>
        <w:tc>
          <w:tcPr>
            <w:tcW w:w="2126" w:type="dxa"/>
            <w:vAlign w:val="center"/>
          </w:tcPr>
          <w:p>
            <w:pPr>
              <w:jc w:val="center"/>
              <w:rPr>
                <w:rFonts w:ascii="仿宋_GB2312" w:hAnsi="Times New Roman" w:eastAsia="仿宋_GB2312"/>
                <w:sz w:val="24"/>
                <w:szCs w:val="21"/>
              </w:rPr>
            </w:pPr>
          </w:p>
        </w:tc>
      </w:tr>
    </w:tbl>
    <w:p>
      <w:pPr>
        <w:jc w:val="center"/>
        <w:rPr>
          <w:rFonts w:ascii="微软雅黑" w:hAnsi="微软雅黑" w:eastAsia="微软雅黑" w:cs="宋体"/>
          <w:color w:val="3F3F3F"/>
          <w:kern w:val="0"/>
          <w:szCs w:val="21"/>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AE64E9"/>
    <w:multiLevelType w:val="singleLevel"/>
    <w:tmpl w:val="E2AE64E9"/>
    <w:lvl w:ilvl="0" w:tentative="0">
      <w:start w:val="12"/>
      <w:numFmt w:val="decimal"/>
      <w:suff w:val="space"/>
      <w:lvlText w:val="%1."/>
      <w:lvlJc w:val="left"/>
    </w:lvl>
  </w:abstractNum>
  <w:abstractNum w:abstractNumId="1">
    <w:nsid w:val="F1414AA6"/>
    <w:multiLevelType w:val="singleLevel"/>
    <w:tmpl w:val="F1414AA6"/>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xMjk0M2E4NWU2Y2Q5YjM1MmQzNDdjN2FlY2ZjNmIifQ=="/>
  </w:docVars>
  <w:rsids>
    <w:rsidRoot w:val="00180716"/>
    <w:rsid w:val="00024179"/>
    <w:rsid w:val="00031B84"/>
    <w:rsid w:val="0005129B"/>
    <w:rsid w:val="0007571F"/>
    <w:rsid w:val="00086401"/>
    <w:rsid w:val="000A0E04"/>
    <w:rsid w:val="000B3A24"/>
    <w:rsid w:val="000C0CEA"/>
    <w:rsid w:val="000E0A0A"/>
    <w:rsid w:val="00100D1E"/>
    <w:rsid w:val="0012370B"/>
    <w:rsid w:val="00153A42"/>
    <w:rsid w:val="0015678E"/>
    <w:rsid w:val="00180716"/>
    <w:rsid w:val="0018661F"/>
    <w:rsid w:val="001B0A84"/>
    <w:rsid w:val="001D5E72"/>
    <w:rsid w:val="00206936"/>
    <w:rsid w:val="002617DE"/>
    <w:rsid w:val="002738F1"/>
    <w:rsid w:val="002C0BFD"/>
    <w:rsid w:val="002C6C45"/>
    <w:rsid w:val="002D02F7"/>
    <w:rsid w:val="002D59FE"/>
    <w:rsid w:val="003141BC"/>
    <w:rsid w:val="0031707A"/>
    <w:rsid w:val="00333E2E"/>
    <w:rsid w:val="003407BA"/>
    <w:rsid w:val="0036311E"/>
    <w:rsid w:val="003938A4"/>
    <w:rsid w:val="003B5D40"/>
    <w:rsid w:val="003D4CEF"/>
    <w:rsid w:val="003E15A0"/>
    <w:rsid w:val="00437E27"/>
    <w:rsid w:val="00447FAF"/>
    <w:rsid w:val="004607A8"/>
    <w:rsid w:val="0046248D"/>
    <w:rsid w:val="004777CE"/>
    <w:rsid w:val="00485E99"/>
    <w:rsid w:val="004A4C3D"/>
    <w:rsid w:val="004B2BE5"/>
    <w:rsid w:val="004B4DC1"/>
    <w:rsid w:val="004B79FD"/>
    <w:rsid w:val="004C6FD8"/>
    <w:rsid w:val="004E09F3"/>
    <w:rsid w:val="004E51B4"/>
    <w:rsid w:val="004E6075"/>
    <w:rsid w:val="004F46EC"/>
    <w:rsid w:val="00536070"/>
    <w:rsid w:val="005B4177"/>
    <w:rsid w:val="006161EF"/>
    <w:rsid w:val="00627CBC"/>
    <w:rsid w:val="00667C4B"/>
    <w:rsid w:val="00696C5E"/>
    <w:rsid w:val="006B7040"/>
    <w:rsid w:val="006C1BAB"/>
    <w:rsid w:val="006C428C"/>
    <w:rsid w:val="006F1FD9"/>
    <w:rsid w:val="00716299"/>
    <w:rsid w:val="0071790B"/>
    <w:rsid w:val="00735F7B"/>
    <w:rsid w:val="00757F42"/>
    <w:rsid w:val="007610A6"/>
    <w:rsid w:val="00766032"/>
    <w:rsid w:val="00782A88"/>
    <w:rsid w:val="00787AF2"/>
    <w:rsid w:val="00787C5D"/>
    <w:rsid w:val="008046EB"/>
    <w:rsid w:val="00812AE4"/>
    <w:rsid w:val="008143CB"/>
    <w:rsid w:val="00890077"/>
    <w:rsid w:val="00893A00"/>
    <w:rsid w:val="00895307"/>
    <w:rsid w:val="008C5084"/>
    <w:rsid w:val="008D4020"/>
    <w:rsid w:val="008F18EF"/>
    <w:rsid w:val="0091437C"/>
    <w:rsid w:val="00917BB5"/>
    <w:rsid w:val="00917CA2"/>
    <w:rsid w:val="0092593E"/>
    <w:rsid w:val="00967D50"/>
    <w:rsid w:val="009731C4"/>
    <w:rsid w:val="00973FA0"/>
    <w:rsid w:val="00980851"/>
    <w:rsid w:val="00982F84"/>
    <w:rsid w:val="009836A4"/>
    <w:rsid w:val="009852C7"/>
    <w:rsid w:val="00992628"/>
    <w:rsid w:val="00A15F96"/>
    <w:rsid w:val="00A53A87"/>
    <w:rsid w:val="00A70CB8"/>
    <w:rsid w:val="00A75EBB"/>
    <w:rsid w:val="00AA10B5"/>
    <w:rsid w:val="00AA2A2D"/>
    <w:rsid w:val="00AB3ABF"/>
    <w:rsid w:val="00AB43D9"/>
    <w:rsid w:val="00AB686E"/>
    <w:rsid w:val="00AF2364"/>
    <w:rsid w:val="00B04F86"/>
    <w:rsid w:val="00B16C5C"/>
    <w:rsid w:val="00B36BC4"/>
    <w:rsid w:val="00B37A82"/>
    <w:rsid w:val="00B41E33"/>
    <w:rsid w:val="00BE5B4B"/>
    <w:rsid w:val="00C046E8"/>
    <w:rsid w:val="00C70023"/>
    <w:rsid w:val="00C70D64"/>
    <w:rsid w:val="00C717A1"/>
    <w:rsid w:val="00CA1F88"/>
    <w:rsid w:val="00D1471E"/>
    <w:rsid w:val="00D14837"/>
    <w:rsid w:val="00D2285F"/>
    <w:rsid w:val="00D5527C"/>
    <w:rsid w:val="00D577BE"/>
    <w:rsid w:val="00D650DC"/>
    <w:rsid w:val="00D736F6"/>
    <w:rsid w:val="00D73D7E"/>
    <w:rsid w:val="00D90205"/>
    <w:rsid w:val="00DA2A6D"/>
    <w:rsid w:val="00DB3248"/>
    <w:rsid w:val="00E100C3"/>
    <w:rsid w:val="00E13D8B"/>
    <w:rsid w:val="00E43D98"/>
    <w:rsid w:val="00E84839"/>
    <w:rsid w:val="00E87DEE"/>
    <w:rsid w:val="00EA0AF4"/>
    <w:rsid w:val="00EA3933"/>
    <w:rsid w:val="00F128E8"/>
    <w:rsid w:val="00F176BB"/>
    <w:rsid w:val="00F3782E"/>
    <w:rsid w:val="00F40917"/>
    <w:rsid w:val="00F47DA3"/>
    <w:rsid w:val="00F749F5"/>
    <w:rsid w:val="00F84832"/>
    <w:rsid w:val="00F84F03"/>
    <w:rsid w:val="00FD02B5"/>
    <w:rsid w:val="00FD584F"/>
    <w:rsid w:val="20527BD7"/>
    <w:rsid w:val="305C4F97"/>
    <w:rsid w:val="447C1B85"/>
    <w:rsid w:val="56C40C0A"/>
    <w:rsid w:val="5D601BFE"/>
    <w:rsid w:val="69B74A4E"/>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autoRedefine/>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13"/>
    <w:unhideWhenUsed/>
    <w:uiPriority w:val="99"/>
    <w:pPr>
      <w:jc w:val="left"/>
    </w:pPr>
  </w:style>
  <w:style w:type="paragraph" w:styleId="5">
    <w:name w:val="Balloon Text"/>
    <w:basedOn w:val="1"/>
    <w:link w:val="14"/>
    <w:unhideWhenUsed/>
    <w:uiPriority w:val="99"/>
    <w:rPr>
      <w:sz w:val="18"/>
      <w:szCs w:val="18"/>
    </w:rPr>
  </w:style>
  <w:style w:type="paragraph" w:styleId="6">
    <w:name w:val="footer"/>
    <w:basedOn w:val="1"/>
    <w:link w:val="15"/>
    <w:unhideWhenUsed/>
    <w:uiPriority w:val="99"/>
    <w:pPr>
      <w:tabs>
        <w:tab w:val="center" w:pos="4153"/>
        <w:tab w:val="right" w:pos="8306"/>
      </w:tabs>
      <w:snapToGrid w:val="0"/>
      <w:jc w:val="left"/>
    </w:pPr>
    <w:rPr>
      <w:kern w:val="0"/>
      <w:sz w:val="18"/>
      <w:szCs w:val="18"/>
    </w:rPr>
  </w:style>
  <w:style w:type="paragraph" w:styleId="7">
    <w:name w:val="header"/>
    <w:basedOn w:val="1"/>
    <w:link w:val="16"/>
    <w:unhideWhenUsed/>
    <w:uiPriority w:val="99"/>
    <w:pPr>
      <w:pBdr>
        <w:bottom w:val="single" w:color="auto" w:sz="6" w:space="1"/>
      </w:pBdr>
      <w:tabs>
        <w:tab w:val="center" w:pos="4153"/>
        <w:tab w:val="right" w:pos="8306"/>
      </w:tabs>
      <w:snapToGrid w:val="0"/>
      <w:jc w:val="center"/>
    </w:pPr>
    <w:rPr>
      <w:kern w:val="0"/>
      <w:sz w:val="18"/>
      <w:szCs w:val="18"/>
    </w:rPr>
  </w:style>
  <w:style w:type="table" w:styleId="9">
    <w:name w:val="Table Grid"/>
    <w:basedOn w:val="8"/>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unhideWhenUsed/>
    <w:uiPriority w:val="99"/>
    <w:rPr>
      <w:sz w:val="21"/>
      <w:szCs w:val="21"/>
    </w:rPr>
  </w:style>
  <w:style w:type="character" w:customStyle="1" w:styleId="12">
    <w:name w:val="标题 1 Char"/>
    <w:link w:val="2"/>
    <w:autoRedefine/>
    <w:qFormat/>
    <w:uiPriority w:val="9"/>
    <w:rPr>
      <w:b/>
      <w:bCs/>
      <w:kern w:val="44"/>
      <w:sz w:val="44"/>
      <w:szCs w:val="44"/>
    </w:rPr>
  </w:style>
  <w:style w:type="character" w:customStyle="1" w:styleId="13">
    <w:name w:val="批注文字 Char"/>
    <w:link w:val="4"/>
    <w:autoRedefine/>
    <w:semiHidden/>
    <w:qFormat/>
    <w:uiPriority w:val="99"/>
    <w:rPr>
      <w:kern w:val="2"/>
      <w:sz w:val="21"/>
      <w:szCs w:val="22"/>
    </w:rPr>
  </w:style>
  <w:style w:type="character" w:customStyle="1" w:styleId="14">
    <w:name w:val="批注框文本 Char"/>
    <w:link w:val="5"/>
    <w:autoRedefine/>
    <w:semiHidden/>
    <w:qFormat/>
    <w:uiPriority w:val="99"/>
    <w:rPr>
      <w:kern w:val="2"/>
      <w:sz w:val="18"/>
      <w:szCs w:val="18"/>
    </w:rPr>
  </w:style>
  <w:style w:type="character" w:customStyle="1" w:styleId="15">
    <w:name w:val="页脚 Char"/>
    <w:link w:val="6"/>
    <w:uiPriority w:val="99"/>
    <w:rPr>
      <w:sz w:val="18"/>
      <w:szCs w:val="18"/>
    </w:rPr>
  </w:style>
  <w:style w:type="character" w:customStyle="1" w:styleId="16">
    <w:name w:val="页眉 Char"/>
    <w:link w:val="7"/>
    <w:uiPriority w:val="99"/>
    <w:rPr>
      <w:sz w:val="18"/>
      <w:szCs w:val="18"/>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477</Words>
  <Characters>639</Characters>
  <Lines>14</Lines>
  <Paragraphs>4</Paragraphs>
  <TotalTime>3</TotalTime>
  <ScaleCrop>false</ScaleCrop>
  <LinksUpToDate>false</LinksUpToDate>
  <CharactersWithSpaces>675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2023-11-21T10:01:00Z</dcterms:created>
  <dc:creator>Sky123.Org</dc:creator>
  <cp:lastModifiedBy>WE</cp:lastModifiedBy>
  <cp:lastPrinted>2020-06-15T03:32:00Z</cp:lastPrinted>
  <dcterms:modified xsi:type="dcterms:W3CDTF">2024-07-17T01:20:14Z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5ECAB3CDAB1E4F2E9F0783FF98891651</vt:lpwstr>
  </property>
</Properties>
</file>