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rPr>
      </w:pPr>
      <w:r>
        <w:rPr>
          <w:rFonts w:hint="eastAsia" w:ascii="方正小标宋简体" w:hAnsi="宋体" w:eastAsia="方正小标宋简体" w:cs="宋体"/>
          <w:b/>
          <w:bCs/>
          <w:color w:val="3F3F3F"/>
          <w:kern w:val="0"/>
          <w:sz w:val="36"/>
          <w:szCs w:val="36"/>
        </w:rPr>
        <w:t>深圳市儿童医院设备采购需求参数表</w:t>
      </w:r>
    </w:p>
    <w:tbl>
      <w:tblPr>
        <w:tblStyle w:val="7"/>
        <w:tblW w:w="9654" w:type="dxa"/>
        <w:jc w:val="center"/>
        <w:tblLayout w:type="autofit"/>
        <w:tblCellMar>
          <w:top w:w="0" w:type="dxa"/>
          <w:left w:w="108" w:type="dxa"/>
          <w:bottom w:w="0" w:type="dxa"/>
          <w:right w:w="108" w:type="dxa"/>
        </w:tblCellMar>
      </w:tblPr>
      <w:tblGrid>
        <w:gridCol w:w="660"/>
        <w:gridCol w:w="1134"/>
        <w:gridCol w:w="7860"/>
      </w:tblGrid>
      <w:tr>
        <w:tblPrEx>
          <w:tblCellMar>
            <w:top w:w="0" w:type="dxa"/>
            <w:left w:w="108" w:type="dxa"/>
            <w:bottom w:w="0" w:type="dxa"/>
            <w:right w:w="108" w:type="dxa"/>
          </w:tblCellMar>
        </w:tblPrEx>
        <w:trPr>
          <w:trHeight w:val="194" w:hRule="atLeast"/>
          <w:jc w:val="center"/>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b/>
                <w:bCs/>
                <w:color w:val="3F3F3F"/>
                <w:kern w:val="0"/>
                <w:sz w:val="22"/>
              </w:rPr>
            </w:pPr>
            <w:r>
              <w:rPr>
                <w:rFonts w:hint="eastAsia" w:ascii="宋体" w:hAnsi="宋体" w:cs="宋体"/>
                <w:b/>
                <w:bCs/>
                <w:color w:val="3F3F3F"/>
                <w:kern w:val="0"/>
                <w:sz w:val="22"/>
              </w:rPr>
              <w:t>序号</w:t>
            </w:r>
          </w:p>
        </w:tc>
        <w:tc>
          <w:tcPr>
            <w:tcW w:w="1134" w:type="dxa"/>
            <w:tcBorders>
              <w:top w:val="single" w:color="3F3F3F" w:sz="4" w:space="0"/>
              <w:left w:val="single" w:color="auto" w:sz="4" w:space="0"/>
              <w:bottom w:val="single" w:color="3F3F3F" w:sz="4" w:space="0"/>
              <w:right w:val="single" w:color="3F3F3F" w:sz="4" w:space="0"/>
            </w:tcBorders>
            <w:shd w:val="clear" w:color="000000" w:fill="FFFFFF"/>
            <w:vAlign w:val="center"/>
          </w:tcPr>
          <w:p>
            <w:pPr>
              <w:widowControl/>
              <w:jc w:val="center"/>
              <w:rPr>
                <w:rFonts w:ascii="宋体" w:hAnsi="宋体" w:cs="宋体"/>
                <w:b/>
                <w:bCs/>
                <w:color w:val="3F3F3F"/>
                <w:kern w:val="0"/>
                <w:sz w:val="22"/>
              </w:rPr>
            </w:pPr>
            <w:r>
              <w:rPr>
                <w:rFonts w:hint="eastAsia" w:ascii="宋体" w:hAnsi="宋体" w:cs="宋体"/>
                <w:b/>
                <w:bCs/>
                <w:color w:val="3F3F3F"/>
                <w:kern w:val="0"/>
                <w:sz w:val="22"/>
              </w:rPr>
              <w:t>项目名称</w:t>
            </w:r>
          </w:p>
        </w:tc>
        <w:tc>
          <w:tcPr>
            <w:tcW w:w="7860" w:type="dxa"/>
            <w:tcBorders>
              <w:top w:val="single" w:color="3F3F3F" w:sz="4" w:space="0"/>
              <w:left w:val="nil"/>
              <w:bottom w:val="single" w:color="3F3F3F" w:sz="4" w:space="0"/>
              <w:right w:val="single" w:color="3F3F3F" w:sz="4" w:space="0"/>
            </w:tcBorders>
            <w:shd w:val="clear" w:color="000000" w:fill="FFFFFF"/>
          </w:tcPr>
          <w:p>
            <w:pPr>
              <w:widowControl/>
              <w:jc w:val="center"/>
              <w:rPr>
                <w:rFonts w:ascii="宋体" w:hAnsi="宋体" w:cs="宋体"/>
                <w:b/>
                <w:bCs/>
                <w:color w:val="3F3F3F"/>
                <w:kern w:val="0"/>
                <w:sz w:val="22"/>
              </w:rPr>
            </w:pPr>
            <w:r>
              <w:rPr>
                <w:rFonts w:hint="eastAsia" w:ascii="宋体" w:hAnsi="宋体" w:cs="宋体"/>
                <w:b/>
                <w:bCs/>
                <w:color w:val="3F3F3F"/>
                <w:kern w:val="0"/>
                <w:sz w:val="22"/>
              </w:rPr>
              <w:t>招标事项及要求</w:t>
            </w:r>
          </w:p>
        </w:tc>
      </w:tr>
      <w:tr>
        <w:tblPrEx>
          <w:tblCellMar>
            <w:top w:w="0" w:type="dxa"/>
            <w:left w:w="108" w:type="dxa"/>
            <w:bottom w:w="0" w:type="dxa"/>
            <w:right w:w="108" w:type="dxa"/>
          </w:tblCellMar>
        </w:tblPrEx>
        <w:trPr>
          <w:trHeight w:val="645" w:hRule="atLeast"/>
          <w:jc w:val="center"/>
        </w:trPr>
        <w:tc>
          <w:tcPr>
            <w:tcW w:w="660" w:type="dxa"/>
            <w:vMerge w:val="restart"/>
            <w:tcBorders>
              <w:top w:val="single" w:color="auto" w:sz="4" w:space="0"/>
              <w:left w:val="single" w:color="3F3F3F" w:sz="4" w:space="0"/>
              <w:right w:val="single" w:color="3F3F3F" w:sz="4" w:space="0"/>
            </w:tcBorders>
            <w:shd w:val="clear" w:color="000000" w:fill="FFFFFF"/>
            <w:vAlign w:val="center"/>
          </w:tcPr>
          <w:p>
            <w:pPr>
              <w:widowControl/>
              <w:jc w:val="center"/>
              <w:rPr>
                <w:rFonts w:ascii="宋体" w:hAnsi="宋体" w:cs="宋体"/>
                <w:b/>
                <w:bCs/>
                <w:color w:val="3F3F3F"/>
                <w:kern w:val="0"/>
                <w:sz w:val="22"/>
              </w:rPr>
            </w:pPr>
            <w:r>
              <w:rPr>
                <w:rFonts w:hint="eastAsia" w:ascii="宋体" w:hAnsi="宋体" w:cs="宋体"/>
                <w:color w:val="3F3F3F"/>
                <w:kern w:val="0"/>
                <w:sz w:val="20"/>
                <w:szCs w:val="20"/>
              </w:rPr>
              <w:t>1</w:t>
            </w:r>
            <w:r>
              <w:rPr>
                <w:rFonts w:hint="eastAsia" w:ascii="宋体" w:hAnsi="宋体" w:cs="宋体"/>
                <w:b/>
                <w:bCs/>
                <w:color w:val="3F3F3F"/>
                <w:kern w:val="0"/>
                <w:sz w:val="22"/>
              </w:rPr>
              <w:t>　</w:t>
            </w:r>
          </w:p>
        </w:tc>
        <w:tc>
          <w:tcPr>
            <w:tcW w:w="1134" w:type="dxa"/>
            <w:vMerge w:val="restart"/>
            <w:tcBorders>
              <w:top w:val="single" w:color="3F3F3F" w:sz="4" w:space="0"/>
              <w:left w:val="single" w:color="3F3F3F" w:sz="4" w:space="0"/>
              <w:right w:val="single" w:color="3F3F3F" w:sz="4" w:space="0"/>
            </w:tcBorders>
            <w:shd w:val="clear" w:color="000000" w:fill="FFFFFF"/>
            <w:vAlign w:val="center"/>
          </w:tcPr>
          <w:p>
            <w:pPr>
              <w:widowControl/>
              <w:jc w:val="center"/>
              <w:rPr>
                <w:rFonts w:ascii="宋体" w:hAnsi="宋体" w:cs="宋体"/>
                <w:b/>
                <w:bCs/>
                <w:color w:val="3F3F3F"/>
                <w:kern w:val="0"/>
                <w:sz w:val="20"/>
                <w:szCs w:val="20"/>
              </w:rPr>
            </w:pPr>
            <w:r>
              <w:rPr>
                <w:rFonts w:hint="eastAsia" w:ascii="宋体" w:hAnsi="宋体" w:cs="宋体"/>
                <w:b/>
                <w:bCs/>
                <w:color w:val="3F3F3F"/>
                <w:kern w:val="0"/>
                <w:sz w:val="20"/>
                <w:szCs w:val="20"/>
              </w:rPr>
              <w:t>全自动生化免疫流水线</w:t>
            </w:r>
          </w:p>
        </w:tc>
        <w:tc>
          <w:tcPr>
            <w:tcW w:w="7860" w:type="dxa"/>
            <w:tcBorders>
              <w:top w:val="single" w:color="3F3F3F" w:sz="4" w:space="0"/>
              <w:left w:val="nil"/>
              <w:bottom w:val="single" w:color="3F3F3F" w:sz="4" w:space="0"/>
              <w:right w:val="single" w:color="3F3F3F" w:sz="4" w:space="0"/>
            </w:tcBorders>
            <w:shd w:val="clear" w:color="000000" w:fill="FFFFFF"/>
            <w:vAlign w:val="center"/>
          </w:tcPr>
          <w:p>
            <w:pPr>
              <w:pStyle w:val="16"/>
              <w:numPr>
                <w:ilvl w:val="0"/>
                <w:numId w:val="0"/>
              </w:numPr>
              <w:spacing w:after="0"/>
              <w:ind w:leftChars="0"/>
              <w:jc w:val="left"/>
              <w:rPr>
                <w:rFonts w:ascii="宋体" w:hAnsi="宋体" w:cs="宋体"/>
                <w:color w:val="3F3F3F"/>
                <w:kern w:val="0"/>
                <w:sz w:val="20"/>
                <w:szCs w:val="20"/>
              </w:rPr>
            </w:pPr>
            <w:r>
              <w:rPr>
                <w:rFonts w:hint="eastAsia" w:ascii="宋体" w:hAnsi="宋体" w:cs="宋体"/>
                <w:color w:val="000000"/>
                <w:szCs w:val="21"/>
                <w:lang w:val="en-US" w:eastAsia="zh-CN"/>
              </w:rPr>
              <w:t>1.</w:t>
            </w:r>
            <w:r>
              <w:rPr>
                <w:rFonts w:hint="eastAsia" w:ascii="宋体" w:hAnsi="宋体" w:cs="宋体"/>
                <w:color w:val="000000"/>
                <w:szCs w:val="21"/>
              </w:rPr>
              <w:t>系统及轨道整体要求（要求流水线轨道、前后处理、分析模块为同一品牌，不接受多品牌拼装）</w:t>
            </w:r>
          </w:p>
        </w:tc>
      </w:tr>
      <w:tr>
        <w:tblPrEx>
          <w:tblCellMar>
            <w:top w:w="0" w:type="dxa"/>
            <w:left w:w="108" w:type="dxa"/>
            <w:bottom w:w="0" w:type="dxa"/>
            <w:right w:w="108" w:type="dxa"/>
          </w:tblCellMar>
        </w:tblPrEx>
        <w:trPr>
          <w:trHeight w:val="645" w:hRule="atLeast"/>
          <w:jc w:val="center"/>
        </w:trPr>
        <w:tc>
          <w:tcPr>
            <w:tcW w:w="660" w:type="dxa"/>
            <w:vMerge w:val="continue"/>
            <w:tcBorders>
              <w:left w:val="single" w:color="3F3F3F" w:sz="4" w:space="0"/>
              <w:right w:val="single" w:color="3F3F3F" w:sz="4" w:space="0"/>
            </w:tcBorders>
            <w:vAlign w:val="center"/>
          </w:tcPr>
          <w:p>
            <w:pPr>
              <w:widowControl/>
              <w:jc w:val="left"/>
              <w:rPr>
                <w:rFonts w:ascii="宋体" w:hAnsi="宋体" w:cs="宋体"/>
                <w:color w:val="3F3F3F"/>
                <w:kern w:val="0"/>
                <w:sz w:val="20"/>
                <w:szCs w:val="20"/>
              </w:rPr>
            </w:pPr>
          </w:p>
        </w:tc>
        <w:tc>
          <w:tcPr>
            <w:tcW w:w="1134" w:type="dxa"/>
            <w:vMerge w:val="continue"/>
            <w:tcBorders>
              <w:left w:val="single" w:color="3F3F3F" w:sz="4" w:space="0"/>
              <w:right w:val="single" w:color="3F3F3F" w:sz="4" w:space="0"/>
            </w:tcBorders>
            <w:vAlign w:val="center"/>
          </w:tcPr>
          <w:p>
            <w:pPr>
              <w:widowControl/>
              <w:jc w:val="left"/>
              <w:rPr>
                <w:rFonts w:ascii="宋体" w:hAnsi="宋体" w:cs="宋体"/>
                <w:color w:val="3F3F3F"/>
                <w:kern w:val="0"/>
                <w:sz w:val="20"/>
                <w:szCs w:val="20"/>
              </w:rPr>
            </w:pPr>
          </w:p>
        </w:tc>
        <w:tc>
          <w:tcPr>
            <w:tcW w:w="7860" w:type="dxa"/>
            <w:tcBorders>
              <w:top w:val="single" w:color="3F3F3F" w:sz="4" w:space="0"/>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1.1▲流水线所连接的检测单元（生化分析仪、免疫分析仪）须为同一品牌，开展检测的项目包括甲功、性激素、心肌标志物、术前八项、肿瘤标志物以及生化等常规项目，能够满足医院实验室生化、免疫项目检测的基本需求。（同时提供①产品功能截图；②技术说明书或彩页作为证明材料，并对相关内容进行标注同时加盖厂家公章）</w:t>
            </w:r>
          </w:p>
        </w:tc>
      </w:tr>
      <w:tr>
        <w:tblPrEx>
          <w:tblCellMar>
            <w:top w:w="0" w:type="dxa"/>
            <w:left w:w="108" w:type="dxa"/>
            <w:bottom w:w="0" w:type="dxa"/>
            <w:right w:w="108" w:type="dxa"/>
          </w:tblCellMar>
        </w:tblPrEx>
        <w:trPr>
          <w:trHeight w:val="645" w:hRule="atLeast"/>
          <w:jc w:val="center"/>
        </w:trPr>
        <w:tc>
          <w:tcPr>
            <w:tcW w:w="660" w:type="dxa"/>
            <w:vMerge w:val="continue"/>
            <w:tcBorders>
              <w:left w:val="single" w:color="3F3F3F" w:sz="4" w:space="0"/>
              <w:right w:val="single" w:color="3F3F3F" w:sz="4" w:space="0"/>
            </w:tcBorders>
            <w:vAlign w:val="center"/>
          </w:tcPr>
          <w:p>
            <w:pPr>
              <w:widowControl/>
              <w:jc w:val="left"/>
              <w:rPr>
                <w:rFonts w:ascii="宋体" w:hAnsi="宋体" w:cs="宋体"/>
                <w:color w:val="3F3F3F"/>
                <w:kern w:val="0"/>
                <w:sz w:val="20"/>
                <w:szCs w:val="20"/>
              </w:rPr>
            </w:pPr>
          </w:p>
        </w:tc>
        <w:tc>
          <w:tcPr>
            <w:tcW w:w="1134" w:type="dxa"/>
            <w:vMerge w:val="continue"/>
            <w:tcBorders>
              <w:left w:val="single" w:color="3F3F3F" w:sz="4" w:space="0"/>
              <w:right w:val="single" w:color="3F3F3F" w:sz="4" w:space="0"/>
            </w:tcBorders>
            <w:vAlign w:val="center"/>
          </w:tcPr>
          <w:p>
            <w:pPr>
              <w:widowControl/>
              <w:jc w:val="left"/>
              <w:rPr>
                <w:rFonts w:ascii="宋体" w:hAnsi="宋体" w:cs="宋体"/>
                <w:color w:val="3F3F3F"/>
                <w:kern w:val="0"/>
                <w:sz w:val="20"/>
                <w:szCs w:val="20"/>
              </w:rPr>
            </w:pPr>
          </w:p>
        </w:tc>
        <w:tc>
          <w:tcPr>
            <w:tcW w:w="7860" w:type="dxa"/>
            <w:tcBorders>
              <w:top w:val="single" w:color="3F3F3F" w:sz="4" w:space="0"/>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1.2流水线系统需配置批量进样单元、进样单元、出样单元、离心单元、去盖单元、样本检测单元（全自动生化分析仪、全自动化学发光免疫分析仪）、加盖（加膜）单元、冷藏储存单元、轨道及数据管理系统，以上所有功能单元均有轨道连接实现全自动化流程。</w:t>
            </w:r>
          </w:p>
        </w:tc>
      </w:tr>
      <w:tr>
        <w:tblPrEx>
          <w:tblCellMar>
            <w:top w:w="0" w:type="dxa"/>
            <w:left w:w="108" w:type="dxa"/>
            <w:bottom w:w="0" w:type="dxa"/>
            <w:right w:w="108" w:type="dxa"/>
          </w:tblCellMar>
        </w:tblPrEx>
        <w:trPr>
          <w:trHeight w:val="645" w:hRule="atLeast"/>
          <w:jc w:val="center"/>
        </w:trPr>
        <w:tc>
          <w:tcPr>
            <w:tcW w:w="660" w:type="dxa"/>
            <w:vMerge w:val="continue"/>
            <w:tcBorders>
              <w:left w:val="single" w:color="3F3F3F" w:sz="4" w:space="0"/>
              <w:right w:val="single" w:color="3F3F3F" w:sz="4" w:space="0"/>
            </w:tcBorders>
            <w:vAlign w:val="center"/>
          </w:tcPr>
          <w:p>
            <w:pPr>
              <w:widowControl/>
              <w:jc w:val="left"/>
              <w:rPr>
                <w:rFonts w:ascii="宋体" w:hAnsi="宋体" w:cs="宋体"/>
                <w:color w:val="3F3F3F"/>
                <w:kern w:val="0"/>
                <w:sz w:val="20"/>
                <w:szCs w:val="20"/>
              </w:rPr>
            </w:pPr>
          </w:p>
        </w:tc>
        <w:tc>
          <w:tcPr>
            <w:tcW w:w="1134" w:type="dxa"/>
            <w:vMerge w:val="continue"/>
            <w:tcBorders>
              <w:left w:val="single" w:color="3F3F3F" w:sz="4" w:space="0"/>
              <w:right w:val="single" w:color="3F3F3F" w:sz="4" w:space="0"/>
            </w:tcBorders>
            <w:vAlign w:val="center"/>
          </w:tcPr>
          <w:p>
            <w:pPr>
              <w:widowControl/>
              <w:jc w:val="left"/>
              <w:rPr>
                <w:rFonts w:ascii="宋体" w:hAnsi="宋体" w:cs="宋体"/>
                <w:color w:val="3F3F3F"/>
                <w:kern w:val="0"/>
                <w:sz w:val="20"/>
                <w:szCs w:val="20"/>
              </w:rPr>
            </w:pPr>
          </w:p>
        </w:tc>
        <w:tc>
          <w:tcPr>
            <w:tcW w:w="7860" w:type="dxa"/>
            <w:tcBorders>
              <w:top w:val="single" w:color="3F3F3F" w:sz="4" w:space="0"/>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1.3样本上线后，全流程均可自动完成，任何环节都无须人工在模块间搬运传递样本架，实现完整的自动化标本处理流程。</w:t>
            </w:r>
          </w:p>
        </w:tc>
      </w:tr>
      <w:tr>
        <w:tblPrEx>
          <w:tblCellMar>
            <w:top w:w="0" w:type="dxa"/>
            <w:left w:w="108" w:type="dxa"/>
            <w:bottom w:w="0" w:type="dxa"/>
            <w:right w:w="108" w:type="dxa"/>
          </w:tblCellMar>
        </w:tblPrEx>
        <w:trPr>
          <w:trHeight w:val="420" w:hRule="atLeast"/>
          <w:jc w:val="center"/>
        </w:trPr>
        <w:tc>
          <w:tcPr>
            <w:tcW w:w="660" w:type="dxa"/>
            <w:vMerge w:val="continue"/>
            <w:tcBorders>
              <w:left w:val="single" w:color="3F3F3F" w:sz="4" w:space="0"/>
              <w:right w:val="single" w:color="3F3F3F" w:sz="4" w:space="0"/>
            </w:tcBorders>
            <w:vAlign w:val="center"/>
          </w:tcPr>
          <w:p>
            <w:pPr>
              <w:widowControl/>
              <w:jc w:val="left"/>
              <w:rPr>
                <w:rFonts w:ascii="宋体" w:hAnsi="宋体" w:cs="宋体"/>
                <w:color w:val="3F3F3F"/>
                <w:kern w:val="0"/>
                <w:sz w:val="20"/>
                <w:szCs w:val="20"/>
              </w:rPr>
            </w:pPr>
          </w:p>
        </w:tc>
        <w:tc>
          <w:tcPr>
            <w:tcW w:w="1134" w:type="dxa"/>
            <w:vMerge w:val="continue"/>
            <w:tcBorders>
              <w:left w:val="single" w:color="3F3F3F" w:sz="4" w:space="0"/>
              <w:right w:val="single" w:color="3F3F3F" w:sz="4" w:space="0"/>
            </w:tcBorders>
            <w:vAlign w:val="center"/>
          </w:tcPr>
          <w:p>
            <w:pPr>
              <w:widowControl/>
              <w:jc w:val="left"/>
              <w:rPr>
                <w:rFonts w:ascii="宋体" w:hAnsi="宋体" w:cs="宋体"/>
                <w:color w:val="3F3F3F"/>
                <w:kern w:val="0"/>
                <w:sz w:val="20"/>
                <w:szCs w:val="20"/>
              </w:rPr>
            </w:pPr>
          </w:p>
        </w:tc>
        <w:tc>
          <w:tcPr>
            <w:tcW w:w="7860" w:type="dxa"/>
            <w:tcBorders>
              <w:top w:val="single" w:color="3F3F3F" w:sz="4" w:space="0"/>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1.4.▲样品传送方式全程为单样本管运输。（需同时提供①产品功能截图；②技术说明书或彩页作为证明材料，并对相关内容进行标注同时加盖厂家公章）</w:t>
            </w:r>
          </w:p>
        </w:tc>
      </w:tr>
      <w:tr>
        <w:tblPrEx>
          <w:tblCellMar>
            <w:top w:w="0" w:type="dxa"/>
            <w:left w:w="108" w:type="dxa"/>
            <w:bottom w:w="0" w:type="dxa"/>
            <w:right w:w="108" w:type="dxa"/>
          </w:tblCellMar>
        </w:tblPrEx>
        <w:trPr>
          <w:trHeight w:val="90" w:hRule="atLeast"/>
          <w:jc w:val="center"/>
        </w:trPr>
        <w:tc>
          <w:tcPr>
            <w:tcW w:w="660" w:type="dxa"/>
            <w:vMerge w:val="continue"/>
            <w:tcBorders>
              <w:left w:val="single" w:color="3F3F3F" w:sz="4" w:space="0"/>
              <w:right w:val="single" w:color="3F3F3F" w:sz="4" w:space="0"/>
            </w:tcBorders>
            <w:vAlign w:val="center"/>
          </w:tcPr>
          <w:p>
            <w:pPr>
              <w:widowControl/>
              <w:jc w:val="left"/>
              <w:rPr>
                <w:rFonts w:ascii="宋体" w:hAnsi="宋体" w:cs="宋体"/>
                <w:color w:val="3F3F3F"/>
                <w:kern w:val="0"/>
                <w:sz w:val="20"/>
                <w:szCs w:val="20"/>
              </w:rPr>
            </w:pPr>
          </w:p>
        </w:tc>
        <w:tc>
          <w:tcPr>
            <w:tcW w:w="1134" w:type="dxa"/>
            <w:vMerge w:val="continue"/>
            <w:tcBorders>
              <w:left w:val="single" w:color="3F3F3F" w:sz="4" w:space="0"/>
              <w:right w:val="single" w:color="3F3F3F" w:sz="4" w:space="0"/>
            </w:tcBorders>
            <w:vAlign w:val="center"/>
          </w:tcPr>
          <w:p>
            <w:pPr>
              <w:widowControl/>
              <w:jc w:val="left"/>
              <w:rPr>
                <w:rFonts w:ascii="宋体" w:hAnsi="宋体" w:cs="宋体"/>
                <w:color w:val="3F3F3F"/>
                <w:kern w:val="0"/>
                <w:sz w:val="20"/>
                <w:szCs w:val="20"/>
              </w:rPr>
            </w:pPr>
          </w:p>
        </w:tc>
        <w:tc>
          <w:tcPr>
            <w:tcW w:w="7860" w:type="dxa"/>
            <w:tcBorders>
              <w:top w:val="single" w:color="3F3F3F" w:sz="4" w:space="0"/>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1.5.▲流水线轨道样本传输速度≥3600试管/小时。（需同时提供①产品功能截图；②技术说明书或彩页作为证明材料，并对相关内容进行标注同时加盖厂家公章）</w:t>
            </w:r>
          </w:p>
        </w:tc>
      </w:tr>
      <w:tr>
        <w:tblPrEx>
          <w:tblCellMar>
            <w:top w:w="0" w:type="dxa"/>
            <w:left w:w="108" w:type="dxa"/>
            <w:bottom w:w="0" w:type="dxa"/>
            <w:right w:w="108" w:type="dxa"/>
          </w:tblCellMar>
        </w:tblPrEx>
        <w:trPr>
          <w:trHeight w:val="320" w:hRule="atLeast"/>
          <w:jc w:val="center"/>
        </w:trPr>
        <w:tc>
          <w:tcPr>
            <w:tcW w:w="660" w:type="dxa"/>
            <w:vMerge w:val="continue"/>
            <w:tcBorders>
              <w:left w:val="single" w:color="3F3F3F" w:sz="4" w:space="0"/>
              <w:right w:val="single" w:color="3F3F3F" w:sz="4" w:space="0"/>
            </w:tcBorders>
            <w:vAlign w:val="center"/>
          </w:tcPr>
          <w:p>
            <w:pPr>
              <w:widowControl/>
              <w:jc w:val="left"/>
              <w:rPr>
                <w:rFonts w:ascii="宋体" w:hAnsi="宋体" w:cs="宋体"/>
                <w:color w:val="3F3F3F"/>
                <w:kern w:val="0"/>
                <w:sz w:val="20"/>
                <w:szCs w:val="20"/>
              </w:rPr>
            </w:pPr>
          </w:p>
        </w:tc>
        <w:tc>
          <w:tcPr>
            <w:tcW w:w="1134" w:type="dxa"/>
            <w:vMerge w:val="continue"/>
            <w:tcBorders>
              <w:left w:val="single" w:color="3F3F3F" w:sz="4" w:space="0"/>
              <w:right w:val="single" w:color="3F3F3F" w:sz="4" w:space="0"/>
            </w:tcBorders>
            <w:vAlign w:val="center"/>
          </w:tcPr>
          <w:p>
            <w:pPr>
              <w:widowControl/>
              <w:jc w:val="left"/>
              <w:rPr>
                <w:rFonts w:ascii="宋体" w:hAnsi="宋体" w:cs="宋体"/>
                <w:color w:val="3F3F3F"/>
                <w:kern w:val="0"/>
                <w:sz w:val="20"/>
                <w:szCs w:val="20"/>
              </w:rPr>
            </w:pPr>
          </w:p>
        </w:tc>
        <w:tc>
          <w:tcPr>
            <w:tcW w:w="7860" w:type="dxa"/>
            <w:tcBorders>
              <w:top w:val="single" w:color="3F3F3F" w:sz="4" w:space="0"/>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1.6.轨道采用双向循环多轨设计，样本运输通道数量≥3个。（提供产品操作手册或彩页或试剂说明书作为证明材料，并对相关内容进行标注同时加盖厂家公章）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336"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color w:val="3F3F3F"/>
                <w:kern w:val="0"/>
                <w:sz w:val="20"/>
                <w:szCs w:val="20"/>
              </w:rPr>
            </w:pPr>
          </w:p>
        </w:tc>
        <w:tc>
          <w:tcPr>
            <w:tcW w:w="7860" w:type="dxa"/>
            <w:tcBorders>
              <w:top w:val="single" w:color="3F3F3F" w:sz="4" w:space="0"/>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1.7.急诊样本可优先处理</w:t>
            </w:r>
          </w:p>
        </w:tc>
      </w:tr>
      <w:tr>
        <w:tblPrEx>
          <w:tblCellMar>
            <w:top w:w="0" w:type="dxa"/>
            <w:left w:w="108" w:type="dxa"/>
            <w:bottom w:w="0" w:type="dxa"/>
            <w:right w:w="108" w:type="dxa"/>
          </w:tblCellMar>
        </w:tblPrEx>
        <w:trPr>
          <w:trHeight w:val="645"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jc w:val="center"/>
              <w:rPr>
                <w:rFonts w:ascii="宋体" w:hAnsi="宋体" w:cs="宋体"/>
                <w:color w:val="3F3F3F"/>
                <w:kern w:val="0"/>
                <w:sz w:val="20"/>
                <w:szCs w:val="20"/>
              </w:rPr>
            </w:pPr>
          </w:p>
        </w:tc>
        <w:tc>
          <w:tcPr>
            <w:tcW w:w="7860" w:type="dxa"/>
            <w:tcBorders>
              <w:top w:val="single" w:color="3F3F3F" w:sz="4" w:space="0"/>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1.8.▲样本运输底座内置RFID芯片，可实时追踪定位每一个样本信息。（需同时提供①产品功能截图；②技术说明书或彩页作为证明材料，并对相关内容进行标注同时加盖厂家公章）</w:t>
            </w:r>
          </w:p>
        </w:tc>
      </w:tr>
      <w:tr>
        <w:tblPrEx>
          <w:tblCellMar>
            <w:top w:w="0" w:type="dxa"/>
            <w:left w:w="108" w:type="dxa"/>
            <w:bottom w:w="0" w:type="dxa"/>
            <w:right w:w="108" w:type="dxa"/>
          </w:tblCellMar>
        </w:tblPrEx>
        <w:trPr>
          <w:trHeight w:val="616"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1.9.全自动生化分析仪、全自动化学发光免疫分析仪在连接流水线后仍需具备独立进样的的工作模式。</w:t>
            </w:r>
          </w:p>
        </w:tc>
      </w:tr>
      <w:tr>
        <w:tblPrEx>
          <w:tblCellMar>
            <w:top w:w="0" w:type="dxa"/>
            <w:left w:w="108" w:type="dxa"/>
            <w:bottom w:w="0" w:type="dxa"/>
            <w:right w:w="108" w:type="dxa"/>
          </w:tblCellMar>
        </w:tblPrEx>
        <w:trPr>
          <w:trHeight w:val="616"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1.10.▲流水线系统采用电力驱动，无需空压机或气泵（需同时提供①产品功能截图；②技术说明书或彩页作为证明材料，并对相关内容进行标注同时加盖厂家公章）</w:t>
            </w:r>
          </w:p>
        </w:tc>
      </w:tr>
      <w:tr>
        <w:tblPrEx>
          <w:tblCellMar>
            <w:top w:w="0" w:type="dxa"/>
            <w:left w:w="108" w:type="dxa"/>
            <w:bottom w:w="0" w:type="dxa"/>
            <w:right w:w="108" w:type="dxa"/>
          </w:tblCellMar>
        </w:tblPrEx>
        <w:trPr>
          <w:trHeight w:val="809"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r>
              <w:rPr>
                <w:rFonts w:hint="eastAsia" w:ascii="宋体" w:hAnsi="宋体" w:cs="宋体"/>
                <w:b/>
                <w:color w:val="FF0000"/>
              </w:rPr>
              <w:t>1.11.流水线系统前后处理单元均可扩展≥4个，以满足未来发展需求。（提供产品操作手册或彩页或试剂说明书作为证明材料，并对相关内容进行标注同时加盖厂家公章）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82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jc w:val="left"/>
              <w:rPr>
                <w:rFonts w:ascii="宋体" w:hAnsi="宋体" w:cs="宋体"/>
                <w:color w:val="000000"/>
                <w:szCs w:val="21"/>
              </w:rPr>
            </w:pPr>
            <w:r>
              <w:rPr>
                <w:rFonts w:hint="eastAsia" w:ascii="宋体" w:hAnsi="宋体" w:cs="宋体"/>
                <w:color w:val="000000"/>
                <w:szCs w:val="21"/>
              </w:rPr>
              <w:t>2.样本前处理系统：</w:t>
            </w:r>
          </w:p>
          <w:p>
            <w:pPr>
              <w:widowControl/>
              <w:jc w:val="left"/>
              <w:rPr>
                <w:rFonts w:ascii="宋体" w:hAnsi="宋体" w:cs="宋体"/>
                <w:color w:val="3F3F3F"/>
                <w:kern w:val="0"/>
                <w:sz w:val="20"/>
                <w:szCs w:val="20"/>
              </w:rPr>
            </w:pPr>
            <w:r>
              <w:rPr>
                <w:rFonts w:hint="eastAsia" w:ascii="宋体" w:hAnsi="宋体" w:cs="宋体"/>
                <w:color w:val="000000"/>
                <w:szCs w:val="21"/>
              </w:rPr>
              <w:t>由样本进样单元、出样单元、批量进样单元、离心单元、开盖单元等模块组成，实现样本装载、批量进样、自动离心、自动开盖、分类等样本前处理功能。</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2.1.进样单元</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2.1.1.▲单个进样单元处理速度≥900管/小时（提供产品操作手册或彩页作为证明材料，并对相关内容进行标注同时加盖厂家公章）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2.1.2.进样单元可同时兼容多种类型样本管进样，可同时支持13-16mm管径、75-100mm高度的样本管在同一个样本架上同时进样，方便样本的装载。</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2.1.3.支持多种条码格式。</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2.1.4.单个进样单元最大样本容量≥500管（提供产品操作手册或彩页或试剂说明书作为证明材料，并对相关内容进行标注同时加盖厂家公章）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0"/>
                <w:szCs w:val="20"/>
              </w:rPr>
            </w:pPr>
            <w:r>
              <w:rPr>
                <w:rFonts w:hint="eastAsia" w:ascii="宋体" w:hAnsi="宋体" w:cs="宋体"/>
                <w:color w:val="000000"/>
                <w:szCs w:val="21"/>
              </w:rPr>
              <w:t>2.2.批量进样单元</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2.2.1.采用倾倒式样本进样方式，无需样本架，可快速批量装载样本。</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2.2.2.单个批量进样单元样本装载速度≥800管/小时。（提供产品操作手册或彩页或试剂说明书作为证明材料，并对相关内容进行标注同时加盖厂家公章）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2.2.3.单个批量进样单元最大样本容量≥500管。（提供产品操作手册或彩页或试剂说明书作为证明材料，并对相关内容进行标注同时加盖厂家公章）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2.3.离心单元</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2.3.1.▲线上单台离心机处理速度≥350管/小时。（提供产品操作手册或彩页作为证明材料，并对相关内容进行标注同时加盖厂家公章）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2.3.2.▲线上总离心速度≥1000管/小时，单台离心机（非离心模块）样本最大容量≥80管。（提供产品操作手册或彩页作为证明材料，并对相关内容进行标注同时加盖厂家公章）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2.3.3.支持自定义离心温度。</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2.3.4.具备低温自动平衡功能。</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ascii="宋体" w:hAnsi="宋体" w:cs="宋体"/>
                <w:color w:val="000000"/>
                <w:szCs w:val="21"/>
              </w:rPr>
              <w:t>2.3.5.支持自定义离心时间</w:t>
            </w:r>
            <w:r>
              <w:rPr>
                <w:rFonts w:hint="eastAsia" w:ascii="宋体" w:hAnsi="宋体" w:cs="宋体"/>
                <w:color w:val="000000"/>
                <w:szCs w:val="21"/>
              </w:rPr>
              <w:t>。</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ascii="宋体" w:hAnsi="宋体" w:cs="宋体"/>
                <w:color w:val="000000"/>
                <w:szCs w:val="21"/>
              </w:rPr>
              <w:t>2.3.6.支持急诊样本优先装载离心</w:t>
            </w:r>
            <w:r>
              <w:rPr>
                <w:rFonts w:hint="eastAsia" w:ascii="宋体" w:hAnsi="宋体" w:cs="宋体"/>
                <w:color w:val="000000"/>
                <w:szCs w:val="21"/>
              </w:rPr>
              <w:t>。</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ascii="宋体" w:hAnsi="宋体" w:cs="宋体"/>
                <w:color w:val="000000"/>
                <w:szCs w:val="21"/>
              </w:rPr>
              <w:t>2.3.7.同一台离心机可同时支持不同尺寸、不同类型的样本管离心</w:t>
            </w:r>
            <w:r>
              <w:rPr>
                <w:rFonts w:hint="eastAsia" w:ascii="宋体" w:hAnsi="宋体" w:cs="宋体"/>
                <w:color w:val="000000"/>
                <w:szCs w:val="21"/>
              </w:rPr>
              <w:t>。</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ascii="宋体" w:hAnsi="宋体" w:cs="宋体"/>
                <w:color w:val="000000"/>
                <w:szCs w:val="21"/>
              </w:rPr>
              <w:t>2.3.8.支持自定义离心转速</w:t>
            </w:r>
            <w:r>
              <w:rPr>
                <w:rFonts w:hint="eastAsia" w:ascii="宋体" w:hAnsi="宋体" w:cs="宋体"/>
                <w:color w:val="000000"/>
                <w:szCs w:val="21"/>
              </w:rPr>
              <w:t>。</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ascii="宋体" w:hAnsi="宋体" w:cs="宋体"/>
                <w:b/>
                <w:color w:val="FF0000"/>
              </w:rPr>
              <w:t>2.3.9.最大离心转速</w:t>
            </w:r>
            <w:r>
              <w:rPr>
                <w:rFonts w:hint="eastAsia" w:ascii="宋体" w:hAnsi="宋体" w:cs="宋体"/>
                <w:b/>
                <w:color w:val="FF0000"/>
              </w:rPr>
              <w:t>≥</w:t>
            </w:r>
            <w:r>
              <w:rPr>
                <w:rFonts w:ascii="宋体" w:hAnsi="宋体" w:cs="宋体"/>
                <w:b/>
                <w:color w:val="FF0000"/>
              </w:rPr>
              <w:t>3500RPM</w:t>
            </w:r>
            <w:r>
              <w:rPr>
                <w:rFonts w:hint="eastAsia" w:ascii="宋体" w:hAnsi="宋体" w:cs="宋体"/>
                <w:b/>
                <w:color w:val="FF0000"/>
              </w:rPr>
              <w:t>。（提供产品操作手册或彩页或试剂说明书作为证明材料，并对相关内容进行标注同时加盖厂家公章）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ascii="宋体" w:hAnsi="宋体" w:cs="宋体"/>
                <w:color w:val="000000"/>
                <w:szCs w:val="21"/>
              </w:rPr>
              <w:t>2.3.10.无需离心的样本可越过离心机</w:t>
            </w:r>
            <w:r>
              <w:rPr>
                <w:rFonts w:hint="eastAsia" w:ascii="宋体" w:hAnsi="宋体" w:cs="宋体"/>
                <w:color w:val="000000"/>
                <w:szCs w:val="21"/>
              </w:rPr>
              <w:t>。</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ascii="宋体" w:hAnsi="宋体" w:cs="宋体"/>
                <w:color w:val="000000"/>
                <w:szCs w:val="21"/>
              </w:rPr>
              <w:t>2.3.11.离心机支持单独离线或关机，不影响流水线其他模块运行</w:t>
            </w:r>
            <w:r>
              <w:rPr>
                <w:rFonts w:hint="eastAsia" w:ascii="宋体" w:hAnsi="宋体" w:cs="宋体"/>
                <w:color w:val="000000"/>
                <w:szCs w:val="21"/>
              </w:rPr>
              <w:t>。</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ascii="宋体" w:hAnsi="宋体" w:cs="宋体"/>
                <w:color w:val="000000"/>
                <w:szCs w:val="21"/>
              </w:rPr>
              <w:t>2.4.开盖单元</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2.4.1.▲单台最大处理速度≥1200管/小时。（提供产品操作手册或彩页作为证明材料，并对相关内容进行标注同时加盖厂家公章）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ascii="宋体" w:hAnsi="宋体" w:cs="宋体"/>
                <w:color w:val="000000"/>
                <w:szCs w:val="21"/>
              </w:rPr>
              <w:t>2.4.2.支持螺旋盖与直拔盖混合开盖</w:t>
            </w:r>
            <w:r>
              <w:rPr>
                <w:rFonts w:hint="eastAsia" w:ascii="宋体" w:hAnsi="宋体" w:cs="宋体"/>
                <w:color w:val="000000"/>
                <w:szCs w:val="21"/>
              </w:rPr>
              <w:t>。</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ascii="宋体" w:hAnsi="宋体" w:cs="宋体"/>
                <w:color w:val="000000"/>
                <w:szCs w:val="21"/>
              </w:rPr>
              <w:t>2.4.3.开盖单元可同时处理不同直径，</w:t>
            </w:r>
            <w:r>
              <w:rPr>
                <w:rFonts w:hint="eastAsia" w:ascii="宋体" w:hAnsi="宋体" w:cs="宋体"/>
                <w:color w:val="000000"/>
                <w:szCs w:val="21"/>
              </w:rPr>
              <w:t>不同</w:t>
            </w:r>
            <w:r>
              <w:rPr>
                <w:rFonts w:ascii="宋体" w:hAnsi="宋体" w:cs="宋体"/>
                <w:color w:val="000000"/>
                <w:szCs w:val="21"/>
              </w:rPr>
              <w:t>高度样本管</w:t>
            </w:r>
            <w:r>
              <w:rPr>
                <w:rFonts w:hint="eastAsia" w:ascii="宋体" w:hAnsi="宋体" w:cs="宋体"/>
                <w:color w:val="000000"/>
                <w:szCs w:val="21"/>
              </w:rPr>
              <w:t>。</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ascii="宋体" w:hAnsi="宋体" w:cs="宋体"/>
                <w:color w:val="000000"/>
                <w:szCs w:val="21"/>
              </w:rPr>
              <w:t>2.4.</w:t>
            </w:r>
            <w:r>
              <w:rPr>
                <w:rFonts w:hint="eastAsia" w:ascii="宋体" w:hAnsi="宋体" w:cs="宋体"/>
                <w:color w:val="000000"/>
                <w:szCs w:val="21"/>
              </w:rPr>
              <w:t>4</w:t>
            </w:r>
            <w:r>
              <w:rPr>
                <w:rFonts w:ascii="宋体" w:hAnsi="宋体" w:cs="宋体"/>
                <w:color w:val="000000"/>
                <w:szCs w:val="21"/>
              </w:rPr>
              <w:t>.内置废弃管盖回收装置，封闭式内置回收以避免气溶胶生物危害。</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ascii="宋体" w:hAnsi="宋体" w:cs="宋体"/>
                <w:color w:val="000000"/>
                <w:szCs w:val="21"/>
              </w:rPr>
              <w:t>2.5.出样单元</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2.5.1.▲单个出样单元处理速度≥</w:t>
            </w:r>
            <w:r>
              <w:rPr>
                <w:rFonts w:hint="eastAsia" w:ascii="宋体" w:hAnsi="宋体" w:cs="宋体"/>
                <w:b/>
                <w:color w:val="FF0000"/>
                <w:lang w:val="en-US" w:eastAsia="zh-CN"/>
              </w:rPr>
              <w:t>750</w:t>
            </w:r>
            <w:r>
              <w:rPr>
                <w:rFonts w:hint="eastAsia" w:ascii="宋体" w:hAnsi="宋体" w:cs="宋体"/>
                <w:b/>
                <w:color w:val="FF0000"/>
              </w:rPr>
              <w:t>管/小时。（提供产品操作手册或彩页作为证明材料，并对相关内容进行标注同时加盖厂家公章）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ascii="宋体" w:hAnsi="宋体" w:cs="宋体"/>
                <w:b/>
                <w:color w:val="FF0000"/>
              </w:rPr>
              <w:t>2.5.2.单个出样单元最大样本容量</w:t>
            </w:r>
            <w:r>
              <w:rPr>
                <w:rFonts w:hint="eastAsia" w:ascii="宋体" w:hAnsi="宋体" w:cs="宋体"/>
                <w:b/>
                <w:color w:val="FF0000"/>
              </w:rPr>
              <w:t>≥</w:t>
            </w:r>
            <w:r>
              <w:rPr>
                <w:rFonts w:ascii="宋体" w:hAnsi="宋体" w:cs="宋体"/>
                <w:b/>
                <w:color w:val="FF0000"/>
              </w:rPr>
              <w:t>500管</w:t>
            </w:r>
            <w:r>
              <w:rPr>
                <w:rFonts w:hint="eastAsia" w:ascii="宋体" w:hAnsi="宋体" w:cs="宋体"/>
                <w:b/>
                <w:color w:val="FF0000"/>
              </w:rPr>
              <w:t>。（提供产品操作手册或彩页或试剂说明书作为证明材料，并对相关内容进行标注同时加盖厂家公章）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2.5.3出样单元可根据需要设置出样区功能，单个出样单元最大可设置≥20个分区。（提供产品操作手册或彩页或试剂说明书作为证明材料，并对相关内容进行标注同时加盖厂家公章）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2.5.4出样单元可直接分类出样至第三方分析仪器样本架，支持品牌≥3个。（提供产品操作手册或彩页或试剂说明书作为证明材料，并对相关内容进行标注同时加盖厂家公章）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3.全自动生化分析仪</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0"/>
                <w:szCs w:val="20"/>
              </w:rPr>
            </w:pPr>
            <w:r>
              <w:rPr>
                <w:rFonts w:hint="eastAsia" w:ascii="宋体" w:hAnsi="宋体" w:cs="宋体"/>
                <w:b/>
                <w:color w:val="FF0000"/>
              </w:rPr>
              <w:t>3.1线上生化分析仪总测试速度≥8000测试/小时，其中光学总测试速度≥5000测试/小时，电解质总测试速度≥4000测试/小时。（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3.2系统具备可扩展性，同品牌生化和免疫单元可直接组合联机，无需通过流水线轨道。</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3.3具备模块化扩展功能，最多支持≥4个检测模块连接。</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3.4检测样本类型：血清、血浆、尿液、脑脊液等。</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3.5分析方法：比色法、比浊法、间接离子选择电极法。</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3.6连接流水线后仍可独立单机进样，总进样样本容量≥900个。（提供产品操作手册或彩页或试剂说明书作为证明材料，并对相关内容进行标注同时加盖厂家公章）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3.7.急诊优先位：可按需设置，单模块最多可设置≥20个急诊位。（提供产品操作手册或彩页或试剂说明书作为证明材料，并对相关内容进行标注同时加盖厂家公章）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3.8样本针：样本针具备液面探测、压力监测、凝块和气泡检出等功能。</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3.9携带污染：样品间携带污染率≤0.1ppm。（提供产品操作手册或彩页或试剂说明书作为证明材料，并对相关内容进行标注同时加盖厂家公章）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3.10.生化分析仪总冷藏试剂位≥400个。（提供产品操作手册或彩页或试剂说明书作为证明材料，并对相关内容进行标注同时加盖厂家公章）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3.11.单机可冷藏储存质控品。</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3.12.支持自动质控。</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3.13.支持试剂在机自动校准功能。</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3.14.单模块可同时装载双试剂项目≥70个。（提供产品操作手册或彩页或试剂说明书作为证明材料，并对相关内容进行标注）</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3.15.▲酸碱液等辅助液体等均可以在仪器运行状态进行更换。（提供产品操作手册或彩页作为证明材料，并对相关内容进行标注同时加盖厂家公章）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3.16.▲总反应体积:常规生化（不含电解质）项目的最小总反应体积≤80ul。（提供产品操作手册或彩页作为证明材料，并对相关内容进行标注同时加盖厂家公章）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3.17.▲比色杯系统：采用玻璃杯。（提供产品操作手册或彩页作为证明材料，并对相关内容进行标注同时加盖厂家公章）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3.18.采用超声混匀或压电搅拌技术混匀。</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3.19.▲检测波长：比色波长范围340-804nm。（提供产品操作手册或彩页作为证明材料，并对相关内容进行标注）</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3.20.▲单模块支持分析波长≥1</w:t>
            </w:r>
            <w:r>
              <w:rPr>
                <w:rFonts w:ascii="宋体" w:hAnsi="宋体" w:cs="宋体"/>
                <w:b/>
                <w:color w:val="FF0000"/>
              </w:rPr>
              <w:t>4</w:t>
            </w:r>
            <w:r>
              <w:rPr>
                <w:rFonts w:hint="eastAsia" w:ascii="宋体" w:hAnsi="宋体" w:cs="宋体"/>
                <w:b/>
                <w:color w:val="FF0000"/>
              </w:rPr>
              <w:t>个。（提供产品操作手册或彩页作为证明材料，并对相关内容进行标注）</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3.21.具备自动稀释、自动重测、血清指数检测等功能。</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4.全自动免疫分析仪</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0"/>
                <w:szCs w:val="20"/>
              </w:rPr>
            </w:pPr>
            <w:r>
              <w:rPr>
                <w:rFonts w:hint="eastAsia" w:ascii="宋体" w:hAnsi="宋体" w:cs="宋体"/>
                <w:b/>
                <w:color w:val="FF0000"/>
              </w:rPr>
              <w:t>4.1.全自动免疫分析仪操作系统具备可扩展性，最多可扩展为≥4台免疫系统，且使用一个操作界面。（提供产品操作手册或彩页或试剂说明书作为证明材料，并对相关内容进行标注同时加盖厂家公章）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4.2.采用化学发光法。</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4.3.化学发光总处理速度≥1600测试/小时。（提供产品操作手册或彩页或试剂说明书作为证明材料，并对相关内容进行标注同时加盖厂家公章）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4.4.最小加样体积≤10uL。（提供产品操作手册或彩页或试剂说明书作为证明材料，并对相关内容进行标注同时加盖厂家公章）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4.5.连接流水线后仍可单机进样，总进样样本容量≥1000个。（提供产品操作手册或彩页或试剂说明书作为证明材料，并对相关内容进行标注同时加盖厂家公章）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4.6.急诊优先位：可按需设置，单模块最多可设置≥20个急诊位。（提供产品操作手册或彩页或试剂说明书作为证明材料，并对相关内容进行标注同时加盖厂家公章）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4.7.▲单模块主试剂位（不含辅助试剂位）≥4</w:t>
            </w:r>
            <w:r>
              <w:rPr>
                <w:rFonts w:hint="eastAsia" w:ascii="宋体" w:hAnsi="宋体" w:cs="宋体"/>
                <w:b/>
                <w:color w:val="FF0000"/>
                <w:lang w:val="en-US" w:eastAsia="zh-CN"/>
              </w:rPr>
              <w:t>2</w:t>
            </w:r>
            <w:r>
              <w:rPr>
                <w:rFonts w:hint="eastAsia" w:ascii="宋体" w:hAnsi="宋体" w:cs="宋体"/>
                <w:b/>
                <w:color w:val="FF0000"/>
              </w:rPr>
              <w:t>个。（提供产品操作手册或彩页作为证明材料，并对相关内容进行标注同时加盖厂家公章）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4.8.总试剂（不含辅助试剂）位≥300个。（提供产品操作手册或彩页或试剂说明书作为证明材料，并对相关内容进行标注同时加盖厂家公章）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4.9.▲可提供规格≥300测试/盒的上机试剂盒。（提供产品操作手册或彩页作为证明材料，并对相关内容进行标注同时加盖厂家公章）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4.10.试剂、辅助液体和消耗品等均可以无需暂停仪器进行加载。</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4.11.可开展高敏肌钙蛋白项目检测，99百分位参考值CV≤10%。（提供产品操作手册或彩页或试剂说明书作为证明材料，并对相关内容进行标注同时加盖厂家公章）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4.12.▲钢针加样，吸样无需额外耗材。（提供产品操作手册或彩页作为证明材料，并对相关内容进行标注同时加盖厂家公章）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4.13.▲可开展EB病毒相关抗体检测。（提供产品操作手册或彩页作为证明材料，并对相关内容进行标注同时加盖厂家公章）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4.14.TSH功能灵敏度≤0.01uIU/mL。（提供产品操作手册或彩页或试剂说明书作为证明材料，并对相关内容进行标注同时加盖厂家公章）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4.15.▲遵照CLSI EP06-A标准，β-hCG试剂原始样本检测范围上限≥10000 IU/l(无需稀释)。（提供产品操作手册或彩页作为证明材料，并对相关内容进行标注同时加盖厂家公章）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4.16.▲可开展甲肝、乙肝五项、丙肝抗体、艾滋病毒抗原抗体联合检测、梅毒等传染病项目检测，且乙肝表面抗原可提供定量检测，便于临床治疗监测。（提供产品操作手册或彩页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4.17.▲检测不受生物素影响。（提供产品操作手册或彩页作为证明材料，并对相关内容进行标注同时加盖厂家公章）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4.18.▲术前八项（乙肝两对半、丙肝抗体、艾滋病毒抗原抗体联合检测、梅毒螺旋抗体）吸样后检测时间≤30分钟。（提供①试剂说明书及仪器操作手册；②产品彩页，提供①和②中任意一项作为证明材料即可，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4.19.单机可冷藏储存质控品。</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4.20.支持自动质控。</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4.21.可开展异常凝血酶原项目检测，辅助诊断维生素K缺乏贫血。</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4.22.可开展CMV、TOXO、Rubella相关抗体检测。</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jc w:val="left"/>
              <w:rPr>
                <w:rFonts w:ascii="宋体" w:hAnsi="宋体" w:cs="宋体"/>
                <w:color w:val="000000"/>
                <w:szCs w:val="21"/>
              </w:rPr>
            </w:pPr>
            <w:r>
              <w:rPr>
                <w:rFonts w:hint="eastAsia" w:ascii="宋体" w:hAnsi="宋体" w:cs="宋体"/>
                <w:color w:val="000000"/>
                <w:szCs w:val="21"/>
              </w:rPr>
              <w:t>5.样本后处理系统</w:t>
            </w:r>
          </w:p>
          <w:p>
            <w:pPr>
              <w:widowControl/>
              <w:jc w:val="left"/>
              <w:rPr>
                <w:rFonts w:ascii="宋体" w:hAnsi="宋体" w:cs="宋体"/>
                <w:color w:val="3F3F3F"/>
                <w:kern w:val="0"/>
                <w:sz w:val="20"/>
                <w:szCs w:val="20"/>
              </w:rPr>
            </w:pPr>
            <w:r>
              <w:rPr>
                <w:rFonts w:hint="eastAsia" w:ascii="宋体" w:hAnsi="宋体" w:cs="宋体"/>
                <w:color w:val="000000"/>
                <w:szCs w:val="21"/>
              </w:rPr>
              <w:t>后处理系统由加盖（加膜）单元、在线冷藏储存单元、二次去盖（去膜）单元组成，与前处理系统及仪器通过轨道连接，达到完整的自动化。</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5.1.加盖单元最大处理速度≥1200管/小时。（提供产品操作手册或彩页或试剂说明书作为证明材料，并对相关内容进行标注同时加盖厂家公章）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5.2.加盖模块单台塑料盖容量≥6000个。（提供产品操作手册或彩页或试剂说明书作为证明材料，并对相关内容进行标注同时加盖厂家公章）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5.3.▲在线冰箱单台最大可储标本≥15000管。（提供产品操作手册或彩页作为证明材料，并对相关内容进行标注同时加盖厂家公章）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5.4.在线冰箱支持样本自动保存、自动丢弃、自动抓取复测。</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5.5.可自定义样本在线储存时间。</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5.6.可根据需要自定义储存温度，温度设定范围4℃-16℃。</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b/>
                <w:color w:val="FF0000"/>
              </w:rPr>
              <w:t>5.7.对于已加盖的样本管，可以自动二次去盖，单模块二次去盖（去膜）速度≥300管/小时。（提供产品操作手册或彩页或试剂说明书作为证明材料，并对相关内容进行标注同时加盖厂家公章）</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6.流水线数据管理系统</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0"/>
                <w:szCs w:val="20"/>
              </w:rPr>
            </w:pPr>
            <w:r>
              <w:rPr>
                <w:rFonts w:hint="eastAsia" w:ascii="宋体" w:hAnsi="宋体" w:cs="宋体"/>
                <w:color w:val="000000"/>
                <w:szCs w:val="21"/>
              </w:rPr>
              <w:t>6.1.能够提供开放的数据接口。</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6.2.传输协议支持ASTM/HL7标准与现有LIS或HIS系统连接。</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6.3.能够提供自动化管理功能，实现不同仪器（第三方仪器）和自动化流水线系统连接和同步。</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6.4.能根据需求编制程序规则，进行基于规则的自动化样本分类/路由操作和手工或其他平台样本分析前处理操作。</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6.5.能够提供特殊样本（LIS停机时急诊样本、科研样本）检测申请、条码打印、结果报告打印等功能。</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6.6.能够提供质控管理功能，支持图形方式显示质控结果，实时监测所有仪器性能和分析性能。</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6.7.能够提供完整的样本工作流程管理功能，实时获取样本的准确位置，样本的待完成任务，样本距离TAT目标的时限等信息。</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6.8.能够提供样本储存和检索功能，可自定义特殊样本/特殊结果（例如科研样本）检索方式，通过样本详细信息检索和调出样本。</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6.9.能够提供样本TAT预警功能，可自定义TAT预警时间，监测接近最大限定时间的样本进行可视化警报。</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6.10.能够提供查询统计分析报告，支持周转时间分析、质量控制分析、仪器故障问题分析等。</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6.11.能够实时集中监测和控制所有连接仪器和自动化流水线系统，及时评估和纠正系统中任一环节出现的问题。</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7.系统及轨道整体要求</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0"/>
                <w:szCs w:val="20"/>
              </w:rPr>
            </w:pPr>
            <w:r>
              <w:rPr>
                <w:rFonts w:hint="eastAsia" w:ascii="宋体" w:hAnsi="宋体" w:cs="宋体"/>
                <w:color w:val="000000"/>
                <w:szCs w:val="21"/>
              </w:rPr>
              <w:t>7.1中标供应商负责全自动流水线在实验室的合理布局，在医院提出发货申请的后6个月内到货，并在安装条件达到安装要求的前提下进行安装调试以及与LIS系统的双向通讯连接。</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7.2中标供应商负责按照医院要求进行应用和操作培训，包括自动化的维护和培训。</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vAlign w:val="center"/>
          </w:tcPr>
          <w:p>
            <w:pPr>
              <w:widowControl/>
              <w:jc w:val="left"/>
              <w:rPr>
                <w:rFonts w:ascii="宋体" w:hAnsi="宋体" w:cs="宋体"/>
                <w:color w:val="3F3F3F"/>
                <w:kern w:val="0"/>
                <w:sz w:val="20"/>
                <w:szCs w:val="20"/>
              </w:rPr>
            </w:pPr>
            <w:r>
              <w:rPr>
                <w:rFonts w:hint="eastAsia" w:ascii="宋体" w:hAnsi="宋体" w:cs="宋体"/>
                <w:color w:val="000000"/>
                <w:szCs w:val="21"/>
              </w:rPr>
              <w:t>7.3中标供应商在仪器正式投入使用之日起，保修合同期限内免费供软硬件维修、维护及免费更换配件，耗材除外。</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tcPr>
          <w:p>
            <w:pPr>
              <w:widowControl/>
              <w:jc w:val="left"/>
              <w:rPr>
                <w:rFonts w:ascii="宋体" w:hAnsi="宋体" w:cs="宋体"/>
                <w:color w:val="3F3F3F"/>
                <w:kern w:val="0"/>
                <w:sz w:val="20"/>
                <w:szCs w:val="20"/>
              </w:rPr>
            </w:pPr>
            <w:r>
              <w:rPr>
                <w:rFonts w:hint="eastAsia" w:ascii="宋体" w:hAnsi="宋体" w:cs="宋体"/>
                <w:color w:val="000000"/>
                <w:szCs w:val="21"/>
              </w:rPr>
              <w:t>7.4.支持400电话报修和官方微信平台报修。</w:t>
            </w:r>
          </w:p>
        </w:tc>
      </w:tr>
      <w:tr>
        <w:tblPrEx>
          <w:tblCellMar>
            <w:top w:w="0" w:type="dxa"/>
            <w:left w:w="108" w:type="dxa"/>
            <w:bottom w:w="0" w:type="dxa"/>
            <w:right w:w="108" w:type="dxa"/>
          </w:tblCellMar>
        </w:tblPrEx>
        <w:trPr>
          <w:trHeight w:val="508" w:hRule="atLeast"/>
          <w:jc w:val="center"/>
        </w:trPr>
        <w:tc>
          <w:tcPr>
            <w:tcW w:w="660" w:type="dxa"/>
            <w:vMerge w:val="continue"/>
            <w:tcBorders>
              <w:left w:val="single" w:color="3F3F3F" w:sz="4" w:space="0"/>
              <w:right w:val="single" w:color="3F3F3F" w:sz="4" w:space="0"/>
            </w:tcBorders>
            <w:shd w:val="clear" w:color="000000" w:fill="FFFFFF"/>
            <w:vAlign w:val="center"/>
          </w:tcPr>
          <w:p>
            <w:pPr>
              <w:widowControl/>
              <w:jc w:val="left"/>
              <w:rPr>
                <w:rFonts w:ascii="宋体" w:hAnsi="宋体" w:cs="宋体"/>
                <w:b/>
                <w:bCs/>
                <w:color w:val="3F3F3F"/>
                <w:kern w:val="0"/>
                <w:sz w:val="22"/>
              </w:rPr>
            </w:pPr>
          </w:p>
        </w:tc>
        <w:tc>
          <w:tcPr>
            <w:tcW w:w="1134" w:type="dxa"/>
            <w:vMerge w:val="continue"/>
            <w:tcBorders>
              <w:left w:val="single" w:color="3F3F3F" w:sz="4" w:space="0"/>
              <w:right w:val="single" w:color="3F3F3F" w:sz="4" w:space="0"/>
            </w:tcBorders>
            <w:shd w:val="clear" w:color="000000" w:fill="FFFFFF"/>
            <w:vAlign w:val="center"/>
          </w:tcPr>
          <w:p>
            <w:pPr>
              <w:widowControl/>
              <w:rPr>
                <w:rFonts w:ascii="宋体" w:hAnsi="宋体" w:cs="宋体"/>
                <w:b/>
                <w:bCs/>
                <w:color w:val="3F3F3F"/>
                <w:kern w:val="0"/>
                <w:sz w:val="22"/>
              </w:rPr>
            </w:pPr>
          </w:p>
        </w:tc>
        <w:tc>
          <w:tcPr>
            <w:tcW w:w="7860" w:type="dxa"/>
            <w:tcBorders>
              <w:top w:val="nil"/>
              <w:left w:val="nil"/>
              <w:bottom w:val="single" w:color="3F3F3F" w:sz="4" w:space="0"/>
              <w:right w:val="single" w:color="3F3F3F" w:sz="4" w:space="0"/>
            </w:tcBorders>
            <w:shd w:val="clear" w:color="000000" w:fill="FFFFFF"/>
          </w:tcPr>
          <w:p>
            <w:pPr>
              <w:jc w:val="left"/>
              <w:rPr>
                <w:rFonts w:ascii="宋体" w:hAnsi="宋体" w:cs="宋体"/>
                <w:color w:val="000000"/>
                <w:szCs w:val="21"/>
              </w:rPr>
            </w:pPr>
            <w:r>
              <w:rPr>
                <w:rFonts w:hint="eastAsia"/>
                <w:b/>
                <w:bCs/>
                <w:szCs w:val="21"/>
              </w:rPr>
              <w:t>★</w:t>
            </w:r>
            <w:r>
              <w:rPr>
                <w:rFonts w:hint="eastAsia" w:ascii="宋体" w:hAnsi="宋体" w:cs="宋体"/>
                <w:color w:val="000000"/>
                <w:szCs w:val="21"/>
              </w:rPr>
              <w:t>8.样本处理系统配置参数（不接受多品牌拼装）</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3116"/>
              <w:gridCol w:w="2426"/>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tcPr>
                <w:p>
                  <w:pPr>
                    <w:jc w:val="center"/>
                    <w:rPr>
                      <w:rFonts w:ascii="宋体" w:hAnsi="宋体" w:cs="宋体"/>
                      <w:color w:val="000000"/>
                      <w:szCs w:val="21"/>
                    </w:rPr>
                  </w:pPr>
                  <w:r>
                    <w:rPr>
                      <w:rFonts w:hint="eastAsia" w:ascii="宋体" w:hAnsi="宋体" w:cs="宋体"/>
                      <w:color w:val="000000"/>
                      <w:szCs w:val="21"/>
                    </w:rPr>
                    <w:t>序号</w:t>
                  </w:r>
                </w:p>
              </w:tc>
              <w:tc>
                <w:tcPr>
                  <w:tcW w:w="3000" w:type="dxa"/>
                </w:tcPr>
                <w:p>
                  <w:pPr>
                    <w:jc w:val="center"/>
                    <w:rPr>
                      <w:rFonts w:ascii="宋体" w:hAnsi="宋体" w:cs="宋体"/>
                      <w:color w:val="000000"/>
                      <w:szCs w:val="21"/>
                    </w:rPr>
                  </w:pPr>
                  <w:r>
                    <w:rPr>
                      <w:rFonts w:hint="eastAsia" w:ascii="宋体" w:hAnsi="宋体" w:cs="宋体"/>
                      <w:color w:val="000000"/>
                      <w:szCs w:val="21"/>
                    </w:rPr>
                    <w:t>货物名称</w:t>
                  </w:r>
                </w:p>
              </w:tc>
              <w:tc>
                <w:tcPr>
                  <w:tcW w:w="2335" w:type="dxa"/>
                </w:tcPr>
                <w:p>
                  <w:pPr>
                    <w:jc w:val="center"/>
                    <w:rPr>
                      <w:rFonts w:ascii="宋体" w:hAnsi="宋体" w:cs="宋体"/>
                      <w:color w:val="000000"/>
                      <w:szCs w:val="21"/>
                    </w:rPr>
                  </w:pPr>
                  <w:r>
                    <w:rPr>
                      <w:rFonts w:hint="eastAsia" w:ascii="宋体" w:hAnsi="宋体" w:cs="宋体"/>
                      <w:color w:val="000000"/>
                      <w:szCs w:val="21"/>
                    </w:rPr>
                    <w:t>数量</w:t>
                  </w:r>
                </w:p>
              </w:tc>
              <w:tc>
                <w:tcPr>
                  <w:tcW w:w="1006" w:type="dxa"/>
                </w:tcPr>
                <w:p>
                  <w:pPr>
                    <w:jc w:val="center"/>
                    <w:rPr>
                      <w:rFonts w:ascii="宋体" w:hAnsi="宋体" w:cs="宋体"/>
                      <w:color w:val="000000"/>
                      <w:szCs w:val="21"/>
                    </w:rPr>
                  </w:pPr>
                  <w:r>
                    <w:rPr>
                      <w:rFonts w:hint="eastAsia" w:ascii="宋体" w:hAnsi="宋体" w:cs="宋体"/>
                      <w:color w:val="00000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tcPr>
                <w:p>
                  <w:pPr>
                    <w:ind w:left="425" w:hanging="425"/>
                    <w:jc w:val="left"/>
                    <w:rPr>
                      <w:rFonts w:ascii="宋体" w:hAnsi="宋体" w:cs="宋体"/>
                      <w:color w:val="000000"/>
                      <w:szCs w:val="21"/>
                    </w:rPr>
                  </w:pPr>
                  <w:r>
                    <w:rPr>
                      <w:rFonts w:ascii="宋体" w:hAnsi="宋体" w:cs="宋体"/>
                      <w:color w:val="000000"/>
                      <w:szCs w:val="21"/>
                    </w:rPr>
                    <w:t>1.</w:t>
                  </w:r>
                </w:p>
              </w:tc>
              <w:tc>
                <w:tcPr>
                  <w:tcW w:w="3000" w:type="dxa"/>
                </w:tcPr>
                <w:p>
                  <w:pPr>
                    <w:jc w:val="left"/>
                    <w:rPr>
                      <w:rFonts w:ascii="宋体" w:hAnsi="宋体" w:cs="宋体"/>
                      <w:color w:val="000000"/>
                      <w:szCs w:val="21"/>
                    </w:rPr>
                  </w:pPr>
                  <w:r>
                    <w:rPr>
                      <w:rFonts w:hint="eastAsia" w:ascii="宋体" w:hAnsi="宋体" w:cs="宋体"/>
                      <w:color w:val="000000"/>
                      <w:szCs w:val="21"/>
                    </w:rPr>
                    <w:t>样本进样模块</w:t>
                  </w:r>
                </w:p>
              </w:tc>
              <w:tc>
                <w:tcPr>
                  <w:tcW w:w="2335" w:type="dxa"/>
                </w:tcPr>
                <w:p>
                  <w:pPr>
                    <w:jc w:val="left"/>
                    <w:rPr>
                      <w:rFonts w:ascii="宋体" w:hAnsi="宋体" w:cs="宋体"/>
                      <w:color w:val="000000"/>
                      <w:szCs w:val="21"/>
                    </w:rPr>
                  </w:pPr>
                  <w:r>
                    <w:rPr>
                      <w:rFonts w:hint="eastAsia" w:ascii="宋体" w:hAnsi="宋体" w:cs="宋体"/>
                      <w:color w:val="000000"/>
                      <w:szCs w:val="21"/>
                    </w:rPr>
                    <w:t>≥1</w:t>
                  </w:r>
                </w:p>
              </w:tc>
              <w:tc>
                <w:tcPr>
                  <w:tcW w:w="1006" w:type="dxa"/>
                </w:tcPr>
                <w:p>
                  <w:pPr>
                    <w:jc w:val="left"/>
                    <w:rPr>
                      <w:rFonts w:ascii="宋体" w:hAnsi="宋体" w:cs="宋体"/>
                      <w:color w:val="000000"/>
                      <w:szCs w:val="21"/>
                    </w:rPr>
                  </w:pPr>
                  <w:r>
                    <w:rPr>
                      <w:rFonts w:hint="eastAsia" w:ascii="宋体" w:hAnsi="宋体" w:cs="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tcPr>
                <w:p>
                  <w:pPr>
                    <w:ind w:left="425" w:hanging="425"/>
                    <w:jc w:val="left"/>
                    <w:rPr>
                      <w:rFonts w:ascii="宋体" w:hAnsi="宋体" w:cs="宋体"/>
                      <w:color w:val="000000"/>
                      <w:szCs w:val="21"/>
                    </w:rPr>
                  </w:pPr>
                  <w:r>
                    <w:rPr>
                      <w:rFonts w:ascii="宋体" w:hAnsi="宋体" w:cs="宋体"/>
                      <w:color w:val="000000"/>
                      <w:szCs w:val="21"/>
                    </w:rPr>
                    <w:t>2.</w:t>
                  </w:r>
                </w:p>
              </w:tc>
              <w:tc>
                <w:tcPr>
                  <w:tcW w:w="3000" w:type="dxa"/>
                </w:tcPr>
                <w:p>
                  <w:pPr>
                    <w:jc w:val="left"/>
                    <w:rPr>
                      <w:rFonts w:ascii="宋体" w:hAnsi="宋体" w:cs="宋体"/>
                      <w:color w:val="000000"/>
                      <w:szCs w:val="21"/>
                    </w:rPr>
                  </w:pPr>
                  <w:r>
                    <w:rPr>
                      <w:rFonts w:hint="eastAsia" w:ascii="宋体" w:hAnsi="宋体" w:cs="宋体"/>
                      <w:color w:val="000000"/>
                      <w:szCs w:val="21"/>
                    </w:rPr>
                    <w:t>样本出样模块</w:t>
                  </w:r>
                </w:p>
              </w:tc>
              <w:tc>
                <w:tcPr>
                  <w:tcW w:w="2335" w:type="dxa"/>
                </w:tcPr>
                <w:p>
                  <w:pPr>
                    <w:jc w:val="left"/>
                    <w:rPr>
                      <w:rFonts w:ascii="宋体" w:hAnsi="宋体" w:cs="宋体"/>
                      <w:color w:val="000000"/>
                      <w:szCs w:val="21"/>
                    </w:rPr>
                  </w:pPr>
                  <w:r>
                    <w:rPr>
                      <w:rFonts w:hint="eastAsia" w:ascii="宋体" w:hAnsi="宋体" w:cs="宋体"/>
                      <w:color w:val="000000"/>
                      <w:szCs w:val="21"/>
                    </w:rPr>
                    <w:t>≥1</w:t>
                  </w:r>
                </w:p>
              </w:tc>
              <w:tc>
                <w:tcPr>
                  <w:tcW w:w="1006" w:type="dxa"/>
                </w:tcPr>
                <w:p>
                  <w:pPr>
                    <w:jc w:val="left"/>
                    <w:rPr>
                      <w:rFonts w:ascii="宋体" w:hAnsi="宋体" w:cs="宋体"/>
                      <w:color w:val="000000"/>
                      <w:szCs w:val="21"/>
                    </w:rPr>
                  </w:pPr>
                  <w:r>
                    <w:rPr>
                      <w:rFonts w:hint="eastAsia" w:ascii="宋体" w:hAnsi="宋体" w:cs="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tcPr>
                <w:p>
                  <w:pPr>
                    <w:ind w:left="425" w:hanging="425"/>
                    <w:jc w:val="left"/>
                    <w:rPr>
                      <w:rFonts w:ascii="宋体" w:hAnsi="宋体" w:cs="宋体"/>
                      <w:color w:val="000000"/>
                      <w:szCs w:val="21"/>
                    </w:rPr>
                  </w:pPr>
                  <w:r>
                    <w:rPr>
                      <w:rFonts w:ascii="宋体" w:hAnsi="宋体" w:cs="宋体"/>
                      <w:color w:val="000000"/>
                      <w:szCs w:val="21"/>
                    </w:rPr>
                    <w:t>3.</w:t>
                  </w:r>
                </w:p>
              </w:tc>
              <w:tc>
                <w:tcPr>
                  <w:tcW w:w="3000" w:type="dxa"/>
                </w:tcPr>
                <w:p>
                  <w:pPr>
                    <w:jc w:val="left"/>
                    <w:rPr>
                      <w:rFonts w:ascii="宋体" w:hAnsi="宋体" w:cs="宋体"/>
                      <w:color w:val="000000"/>
                      <w:szCs w:val="21"/>
                    </w:rPr>
                  </w:pPr>
                  <w:r>
                    <w:rPr>
                      <w:rFonts w:hint="eastAsia" w:ascii="宋体" w:hAnsi="宋体" w:cs="宋体"/>
                      <w:color w:val="000000"/>
                      <w:szCs w:val="21"/>
                    </w:rPr>
                    <w:t>批量进样模块</w:t>
                  </w:r>
                </w:p>
              </w:tc>
              <w:tc>
                <w:tcPr>
                  <w:tcW w:w="2335" w:type="dxa"/>
                </w:tcPr>
                <w:p>
                  <w:pPr>
                    <w:jc w:val="left"/>
                    <w:rPr>
                      <w:rFonts w:ascii="宋体" w:hAnsi="宋体" w:cs="宋体"/>
                      <w:color w:val="000000"/>
                      <w:szCs w:val="21"/>
                    </w:rPr>
                  </w:pPr>
                  <w:r>
                    <w:rPr>
                      <w:rFonts w:hint="eastAsia" w:ascii="宋体" w:hAnsi="宋体" w:cs="宋体"/>
                      <w:color w:val="000000"/>
                      <w:szCs w:val="21"/>
                    </w:rPr>
                    <w:t>≥1</w:t>
                  </w:r>
                </w:p>
              </w:tc>
              <w:tc>
                <w:tcPr>
                  <w:tcW w:w="1006" w:type="dxa"/>
                </w:tcPr>
                <w:p>
                  <w:pPr>
                    <w:jc w:val="left"/>
                    <w:rPr>
                      <w:rFonts w:ascii="宋体" w:hAnsi="宋体" w:cs="宋体"/>
                      <w:color w:val="000000"/>
                      <w:szCs w:val="21"/>
                    </w:rPr>
                  </w:pPr>
                  <w:r>
                    <w:rPr>
                      <w:rFonts w:hint="eastAsia" w:ascii="宋体" w:hAnsi="宋体" w:cs="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tcPr>
                <w:p>
                  <w:pPr>
                    <w:ind w:left="425" w:hanging="425"/>
                    <w:jc w:val="left"/>
                    <w:rPr>
                      <w:rFonts w:ascii="宋体" w:hAnsi="宋体" w:cs="宋体"/>
                      <w:color w:val="000000"/>
                      <w:szCs w:val="21"/>
                    </w:rPr>
                  </w:pPr>
                  <w:r>
                    <w:rPr>
                      <w:rFonts w:ascii="宋体" w:hAnsi="宋体" w:cs="宋体"/>
                      <w:color w:val="000000"/>
                      <w:szCs w:val="21"/>
                    </w:rPr>
                    <w:t>4.</w:t>
                  </w:r>
                </w:p>
              </w:tc>
              <w:tc>
                <w:tcPr>
                  <w:tcW w:w="3000" w:type="dxa"/>
                </w:tcPr>
                <w:p>
                  <w:pPr>
                    <w:jc w:val="left"/>
                    <w:rPr>
                      <w:rFonts w:ascii="宋体" w:hAnsi="宋体" w:cs="宋体"/>
                      <w:color w:val="000000"/>
                      <w:szCs w:val="21"/>
                    </w:rPr>
                  </w:pPr>
                  <w:r>
                    <w:rPr>
                      <w:rFonts w:hint="eastAsia" w:ascii="宋体" w:hAnsi="宋体" w:cs="宋体"/>
                      <w:color w:val="000000"/>
                      <w:szCs w:val="21"/>
                    </w:rPr>
                    <w:t>离心模块</w:t>
                  </w:r>
                </w:p>
              </w:tc>
              <w:tc>
                <w:tcPr>
                  <w:tcW w:w="2335" w:type="dxa"/>
                </w:tcPr>
                <w:p>
                  <w:pPr>
                    <w:jc w:val="left"/>
                    <w:rPr>
                      <w:rFonts w:ascii="宋体" w:hAnsi="宋体" w:cs="宋体"/>
                      <w:color w:val="000000"/>
                      <w:szCs w:val="21"/>
                    </w:rPr>
                  </w:pPr>
                  <w:r>
                    <w:rPr>
                      <w:rFonts w:hint="eastAsia" w:ascii="宋体" w:hAnsi="宋体" w:cs="宋体"/>
                      <w:color w:val="000000"/>
                      <w:szCs w:val="21"/>
                    </w:rPr>
                    <w:t>≥3</w:t>
                  </w:r>
                </w:p>
              </w:tc>
              <w:tc>
                <w:tcPr>
                  <w:tcW w:w="1006" w:type="dxa"/>
                </w:tcPr>
                <w:p>
                  <w:pPr>
                    <w:jc w:val="left"/>
                    <w:rPr>
                      <w:rFonts w:ascii="宋体" w:hAnsi="宋体" w:cs="宋体"/>
                      <w:color w:val="000000"/>
                      <w:szCs w:val="21"/>
                    </w:rPr>
                  </w:pPr>
                  <w:r>
                    <w:rPr>
                      <w:rFonts w:hint="eastAsia" w:ascii="宋体" w:hAnsi="宋体" w:cs="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tcPr>
                <w:p>
                  <w:pPr>
                    <w:ind w:left="425" w:hanging="425"/>
                    <w:jc w:val="left"/>
                    <w:rPr>
                      <w:rFonts w:ascii="宋体" w:hAnsi="宋体" w:cs="宋体"/>
                      <w:color w:val="000000"/>
                      <w:szCs w:val="21"/>
                    </w:rPr>
                  </w:pPr>
                  <w:r>
                    <w:rPr>
                      <w:rFonts w:ascii="宋体" w:hAnsi="宋体" w:cs="宋体"/>
                      <w:color w:val="000000"/>
                      <w:szCs w:val="21"/>
                    </w:rPr>
                    <w:t>5.</w:t>
                  </w:r>
                </w:p>
              </w:tc>
              <w:tc>
                <w:tcPr>
                  <w:tcW w:w="3000" w:type="dxa"/>
                </w:tcPr>
                <w:p>
                  <w:pPr>
                    <w:jc w:val="left"/>
                    <w:rPr>
                      <w:rFonts w:ascii="宋体" w:hAnsi="宋体" w:cs="宋体"/>
                      <w:color w:val="000000"/>
                      <w:szCs w:val="21"/>
                    </w:rPr>
                  </w:pPr>
                  <w:r>
                    <w:rPr>
                      <w:rFonts w:hint="eastAsia" w:ascii="宋体" w:hAnsi="宋体" w:cs="宋体"/>
                      <w:color w:val="000000"/>
                      <w:szCs w:val="21"/>
                    </w:rPr>
                    <w:t>开盖模块</w:t>
                  </w:r>
                </w:p>
              </w:tc>
              <w:tc>
                <w:tcPr>
                  <w:tcW w:w="2335" w:type="dxa"/>
                </w:tcPr>
                <w:p>
                  <w:pPr>
                    <w:jc w:val="left"/>
                    <w:rPr>
                      <w:rFonts w:ascii="宋体" w:hAnsi="宋体" w:cs="宋体"/>
                      <w:color w:val="000000"/>
                      <w:szCs w:val="21"/>
                    </w:rPr>
                  </w:pPr>
                  <w:r>
                    <w:rPr>
                      <w:rFonts w:hint="eastAsia" w:ascii="宋体" w:hAnsi="宋体" w:cs="宋体"/>
                      <w:color w:val="000000"/>
                      <w:szCs w:val="21"/>
                    </w:rPr>
                    <w:t>≥1</w:t>
                  </w:r>
                </w:p>
              </w:tc>
              <w:tc>
                <w:tcPr>
                  <w:tcW w:w="1006" w:type="dxa"/>
                </w:tcPr>
                <w:p>
                  <w:pPr>
                    <w:jc w:val="left"/>
                    <w:rPr>
                      <w:rFonts w:ascii="宋体" w:hAnsi="宋体" w:cs="宋体"/>
                      <w:color w:val="000000"/>
                      <w:szCs w:val="21"/>
                    </w:rPr>
                  </w:pPr>
                  <w:r>
                    <w:rPr>
                      <w:rFonts w:hint="eastAsia" w:ascii="宋体" w:hAnsi="宋体" w:cs="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tcPr>
                <w:p>
                  <w:pPr>
                    <w:ind w:left="425" w:hanging="425"/>
                    <w:jc w:val="left"/>
                    <w:rPr>
                      <w:rFonts w:ascii="宋体" w:hAnsi="宋体" w:cs="宋体"/>
                      <w:color w:val="000000"/>
                      <w:szCs w:val="21"/>
                    </w:rPr>
                  </w:pPr>
                  <w:r>
                    <w:rPr>
                      <w:rFonts w:ascii="宋体" w:hAnsi="宋体" w:cs="宋体"/>
                      <w:color w:val="000000"/>
                      <w:szCs w:val="21"/>
                    </w:rPr>
                    <w:t>6.</w:t>
                  </w:r>
                </w:p>
              </w:tc>
              <w:tc>
                <w:tcPr>
                  <w:tcW w:w="3000" w:type="dxa"/>
                </w:tcPr>
                <w:p>
                  <w:pPr>
                    <w:jc w:val="left"/>
                    <w:rPr>
                      <w:rFonts w:ascii="宋体" w:hAnsi="宋体" w:cs="宋体"/>
                      <w:color w:val="000000"/>
                      <w:szCs w:val="21"/>
                    </w:rPr>
                  </w:pPr>
                  <w:r>
                    <w:rPr>
                      <w:rFonts w:hint="eastAsia" w:ascii="宋体" w:hAnsi="宋体" w:cs="宋体"/>
                      <w:color w:val="000000"/>
                      <w:szCs w:val="21"/>
                    </w:rPr>
                    <w:t>缓冲模块</w:t>
                  </w:r>
                </w:p>
              </w:tc>
              <w:tc>
                <w:tcPr>
                  <w:tcW w:w="2335" w:type="dxa"/>
                </w:tcPr>
                <w:p>
                  <w:pPr>
                    <w:jc w:val="left"/>
                    <w:rPr>
                      <w:rFonts w:ascii="宋体" w:hAnsi="宋体" w:cs="宋体"/>
                      <w:color w:val="000000"/>
                      <w:szCs w:val="21"/>
                    </w:rPr>
                  </w:pPr>
                  <w:r>
                    <w:rPr>
                      <w:rFonts w:hint="eastAsia" w:ascii="宋体" w:hAnsi="宋体" w:cs="宋体"/>
                      <w:color w:val="000000"/>
                      <w:szCs w:val="21"/>
                    </w:rPr>
                    <w:t>≥2</w:t>
                  </w:r>
                </w:p>
              </w:tc>
              <w:tc>
                <w:tcPr>
                  <w:tcW w:w="1006" w:type="dxa"/>
                </w:tcPr>
                <w:p>
                  <w:pPr>
                    <w:jc w:val="left"/>
                    <w:rPr>
                      <w:rFonts w:ascii="宋体" w:hAnsi="宋体" w:cs="宋体"/>
                      <w:color w:val="000000"/>
                      <w:szCs w:val="21"/>
                    </w:rPr>
                  </w:pPr>
                  <w:r>
                    <w:rPr>
                      <w:rFonts w:hint="eastAsia" w:ascii="宋体" w:hAnsi="宋体" w:cs="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tcPr>
                <w:p>
                  <w:pPr>
                    <w:ind w:left="425" w:hanging="425"/>
                    <w:jc w:val="left"/>
                    <w:rPr>
                      <w:rFonts w:ascii="宋体" w:hAnsi="宋体" w:cs="宋体"/>
                      <w:color w:val="000000"/>
                      <w:szCs w:val="21"/>
                    </w:rPr>
                  </w:pPr>
                  <w:r>
                    <w:rPr>
                      <w:rFonts w:ascii="宋体" w:hAnsi="宋体" w:cs="宋体"/>
                      <w:color w:val="000000"/>
                      <w:szCs w:val="21"/>
                    </w:rPr>
                    <w:t>7.</w:t>
                  </w:r>
                </w:p>
              </w:tc>
              <w:tc>
                <w:tcPr>
                  <w:tcW w:w="3000" w:type="dxa"/>
                </w:tcPr>
                <w:p>
                  <w:pPr>
                    <w:jc w:val="left"/>
                    <w:rPr>
                      <w:rFonts w:ascii="宋体" w:hAnsi="宋体" w:cs="宋体"/>
                      <w:color w:val="000000"/>
                      <w:szCs w:val="21"/>
                    </w:rPr>
                  </w:pPr>
                  <w:r>
                    <w:rPr>
                      <w:rFonts w:hint="eastAsia" w:ascii="宋体" w:hAnsi="宋体" w:cs="宋体"/>
                      <w:color w:val="000000"/>
                      <w:szCs w:val="21"/>
                    </w:rPr>
                    <w:t>生化分析模块</w:t>
                  </w:r>
                </w:p>
              </w:tc>
              <w:tc>
                <w:tcPr>
                  <w:tcW w:w="2335" w:type="dxa"/>
                </w:tcPr>
                <w:p>
                  <w:pPr>
                    <w:jc w:val="left"/>
                    <w:rPr>
                      <w:rFonts w:ascii="宋体" w:hAnsi="宋体" w:cs="宋体"/>
                      <w:color w:val="000000"/>
                      <w:szCs w:val="21"/>
                    </w:rPr>
                  </w:pPr>
                  <w:r>
                    <w:rPr>
                      <w:rFonts w:hint="eastAsia" w:ascii="宋体" w:hAnsi="宋体" w:cs="宋体"/>
                      <w:color w:val="000000"/>
                      <w:szCs w:val="21"/>
                    </w:rPr>
                    <w:t>满足处理能力</w:t>
                  </w:r>
                </w:p>
              </w:tc>
              <w:tc>
                <w:tcPr>
                  <w:tcW w:w="1006" w:type="dxa"/>
                </w:tcPr>
                <w:p>
                  <w:pPr>
                    <w:jc w:val="left"/>
                    <w:rPr>
                      <w:rFonts w:ascii="宋体" w:hAnsi="宋体" w:cs="宋体"/>
                      <w:color w:val="000000"/>
                      <w:szCs w:val="21"/>
                    </w:rPr>
                  </w:pPr>
                  <w:r>
                    <w:rPr>
                      <w:rFonts w:hint="eastAsia" w:ascii="宋体" w:hAnsi="宋体" w:cs="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tcPr>
                <w:p>
                  <w:pPr>
                    <w:ind w:left="425" w:hanging="425"/>
                    <w:jc w:val="left"/>
                    <w:rPr>
                      <w:rFonts w:ascii="宋体" w:hAnsi="宋体" w:cs="宋体"/>
                      <w:color w:val="000000"/>
                      <w:szCs w:val="21"/>
                    </w:rPr>
                  </w:pPr>
                  <w:r>
                    <w:rPr>
                      <w:rFonts w:ascii="宋体" w:hAnsi="宋体" w:cs="宋体"/>
                      <w:color w:val="000000"/>
                      <w:szCs w:val="21"/>
                    </w:rPr>
                    <w:t>8.</w:t>
                  </w:r>
                </w:p>
              </w:tc>
              <w:tc>
                <w:tcPr>
                  <w:tcW w:w="3000" w:type="dxa"/>
                </w:tcPr>
                <w:p>
                  <w:pPr>
                    <w:jc w:val="left"/>
                    <w:rPr>
                      <w:rFonts w:ascii="宋体" w:hAnsi="宋体" w:cs="宋体"/>
                      <w:color w:val="000000"/>
                      <w:szCs w:val="21"/>
                    </w:rPr>
                  </w:pPr>
                  <w:r>
                    <w:rPr>
                      <w:rFonts w:hint="eastAsia" w:ascii="宋体" w:hAnsi="宋体" w:cs="宋体"/>
                      <w:color w:val="000000"/>
                      <w:szCs w:val="21"/>
                    </w:rPr>
                    <w:t>免疫分析模块</w:t>
                  </w:r>
                </w:p>
              </w:tc>
              <w:tc>
                <w:tcPr>
                  <w:tcW w:w="2335" w:type="dxa"/>
                </w:tcPr>
                <w:p>
                  <w:pPr>
                    <w:jc w:val="left"/>
                    <w:rPr>
                      <w:rFonts w:ascii="宋体" w:hAnsi="宋体" w:cs="宋体"/>
                      <w:color w:val="000000"/>
                      <w:szCs w:val="21"/>
                    </w:rPr>
                  </w:pPr>
                  <w:r>
                    <w:rPr>
                      <w:rFonts w:hint="eastAsia" w:ascii="宋体" w:hAnsi="宋体" w:cs="宋体"/>
                      <w:color w:val="000000"/>
                      <w:szCs w:val="21"/>
                    </w:rPr>
                    <w:t>满足处理能力</w:t>
                  </w:r>
                </w:p>
              </w:tc>
              <w:tc>
                <w:tcPr>
                  <w:tcW w:w="1006" w:type="dxa"/>
                </w:tcPr>
                <w:p>
                  <w:pPr>
                    <w:jc w:val="left"/>
                    <w:rPr>
                      <w:rFonts w:ascii="宋体" w:hAnsi="宋体" w:cs="宋体"/>
                      <w:color w:val="000000"/>
                      <w:szCs w:val="21"/>
                    </w:rPr>
                  </w:pPr>
                  <w:r>
                    <w:rPr>
                      <w:rFonts w:hint="eastAsia" w:ascii="宋体" w:hAnsi="宋体" w:cs="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tcPr>
                <w:p>
                  <w:pPr>
                    <w:ind w:left="425" w:hanging="425"/>
                    <w:jc w:val="left"/>
                    <w:rPr>
                      <w:rFonts w:ascii="宋体" w:hAnsi="宋体" w:cs="宋体"/>
                      <w:color w:val="000000"/>
                      <w:szCs w:val="21"/>
                    </w:rPr>
                  </w:pPr>
                  <w:r>
                    <w:rPr>
                      <w:rFonts w:ascii="宋体" w:hAnsi="宋体" w:cs="宋体"/>
                      <w:color w:val="000000"/>
                      <w:szCs w:val="21"/>
                    </w:rPr>
                    <w:t>9.</w:t>
                  </w:r>
                </w:p>
              </w:tc>
              <w:tc>
                <w:tcPr>
                  <w:tcW w:w="3000" w:type="dxa"/>
                </w:tcPr>
                <w:p>
                  <w:pPr>
                    <w:jc w:val="left"/>
                    <w:rPr>
                      <w:rFonts w:ascii="宋体" w:hAnsi="宋体" w:cs="宋体"/>
                      <w:color w:val="000000"/>
                      <w:szCs w:val="21"/>
                    </w:rPr>
                  </w:pPr>
                  <w:r>
                    <w:rPr>
                      <w:rFonts w:hint="eastAsia" w:ascii="宋体" w:hAnsi="宋体" w:cs="宋体"/>
                      <w:color w:val="000000"/>
                      <w:szCs w:val="21"/>
                    </w:rPr>
                    <w:t>加盖模块</w:t>
                  </w:r>
                </w:p>
              </w:tc>
              <w:tc>
                <w:tcPr>
                  <w:tcW w:w="2335" w:type="dxa"/>
                </w:tcPr>
                <w:p>
                  <w:pPr>
                    <w:jc w:val="left"/>
                    <w:rPr>
                      <w:rFonts w:ascii="宋体" w:hAnsi="宋体" w:cs="宋体"/>
                      <w:color w:val="000000"/>
                      <w:szCs w:val="21"/>
                    </w:rPr>
                  </w:pPr>
                  <w:r>
                    <w:rPr>
                      <w:rFonts w:hint="eastAsia" w:ascii="宋体" w:hAnsi="宋体" w:cs="宋体"/>
                      <w:color w:val="000000"/>
                      <w:szCs w:val="21"/>
                    </w:rPr>
                    <w:t>≥1</w:t>
                  </w:r>
                </w:p>
              </w:tc>
              <w:tc>
                <w:tcPr>
                  <w:tcW w:w="1006" w:type="dxa"/>
                </w:tcPr>
                <w:p>
                  <w:pPr>
                    <w:jc w:val="left"/>
                    <w:rPr>
                      <w:rFonts w:ascii="宋体" w:hAnsi="宋体" w:cs="宋体"/>
                      <w:color w:val="000000"/>
                      <w:szCs w:val="21"/>
                    </w:rPr>
                  </w:pPr>
                  <w:r>
                    <w:rPr>
                      <w:rFonts w:hint="eastAsia" w:ascii="宋体" w:hAnsi="宋体" w:cs="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tcPr>
                <w:p>
                  <w:pPr>
                    <w:ind w:left="425" w:hanging="425"/>
                    <w:jc w:val="left"/>
                    <w:rPr>
                      <w:rFonts w:ascii="宋体" w:hAnsi="宋体" w:cs="宋体"/>
                      <w:color w:val="000000"/>
                      <w:szCs w:val="21"/>
                    </w:rPr>
                  </w:pPr>
                  <w:r>
                    <w:rPr>
                      <w:rFonts w:ascii="宋体" w:hAnsi="宋体" w:cs="宋体"/>
                      <w:color w:val="000000"/>
                      <w:szCs w:val="21"/>
                    </w:rPr>
                    <w:t>10.</w:t>
                  </w:r>
                </w:p>
              </w:tc>
              <w:tc>
                <w:tcPr>
                  <w:tcW w:w="3000" w:type="dxa"/>
                </w:tcPr>
                <w:p>
                  <w:pPr>
                    <w:jc w:val="left"/>
                    <w:rPr>
                      <w:rFonts w:ascii="宋体" w:hAnsi="宋体" w:cs="宋体"/>
                      <w:color w:val="000000"/>
                      <w:szCs w:val="21"/>
                    </w:rPr>
                  </w:pPr>
                  <w:r>
                    <w:rPr>
                      <w:rFonts w:hint="eastAsia" w:ascii="宋体" w:hAnsi="宋体" w:cs="宋体"/>
                      <w:color w:val="000000"/>
                      <w:szCs w:val="21"/>
                    </w:rPr>
                    <w:t>在线储存冰箱</w:t>
                  </w:r>
                </w:p>
              </w:tc>
              <w:tc>
                <w:tcPr>
                  <w:tcW w:w="2335" w:type="dxa"/>
                </w:tcPr>
                <w:p>
                  <w:pPr>
                    <w:jc w:val="left"/>
                    <w:rPr>
                      <w:rFonts w:ascii="宋体" w:hAnsi="宋体" w:cs="宋体"/>
                      <w:color w:val="000000"/>
                      <w:szCs w:val="21"/>
                    </w:rPr>
                  </w:pPr>
                  <w:r>
                    <w:rPr>
                      <w:rFonts w:hint="eastAsia" w:ascii="宋体" w:hAnsi="宋体" w:cs="宋体"/>
                      <w:color w:val="000000"/>
                      <w:szCs w:val="21"/>
                    </w:rPr>
                    <w:t>≥1</w:t>
                  </w:r>
                </w:p>
              </w:tc>
              <w:tc>
                <w:tcPr>
                  <w:tcW w:w="1006" w:type="dxa"/>
                </w:tcPr>
                <w:p>
                  <w:pPr>
                    <w:jc w:val="left"/>
                    <w:rPr>
                      <w:rFonts w:ascii="宋体" w:hAnsi="宋体" w:cs="宋体"/>
                      <w:color w:val="000000"/>
                      <w:szCs w:val="21"/>
                    </w:rPr>
                  </w:pPr>
                  <w:r>
                    <w:rPr>
                      <w:rFonts w:hint="eastAsia" w:ascii="宋体" w:hAnsi="宋体" w:cs="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tcPr>
                <w:p>
                  <w:pPr>
                    <w:ind w:left="425" w:hanging="425"/>
                    <w:jc w:val="left"/>
                    <w:rPr>
                      <w:rFonts w:ascii="宋体" w:hAnsi="宋体" w:cs="宋体"/>
                      <w:color w:val="000000"/>
                      <w:szCs w:val="21"/>
                    </w:rPr>
                  </w:pPr>
                  <w:r>
                    <w:rPr>
                      <w:rFonts w:ascii="宋体" w:hAnsi="宋体" w:cs="宋体"/>
                      <w:color w:val="000000"/>
                      <w:szCs w:val="21"/>
                    </w:rPr>
                    <w:t>11.</w:t>
                  </w:r>
                </w:p>
              </w:tc>
              <w:tc>
                <w:tcPr>
                  <w:tcW w:w="3000" w:type="dxa"/>
                </w:tcPr>
                <w:p>
                  <w:pPr>
                    <w:jc w:val="left"/>
                    <w:rPr>
                      <w:rFonts w:ascii="宋体" w:hAnsi="宋体" w:cs="宋体"/>
                      <w:color w:val="000000"/>
                      <w:szCs w:val="21"/>
                    </w:rPr>
                  </w:pPr>
                  <w:r>
                    <w:rPr>
                      <w:rFonts w:hint="eastAsia" w:ascii="宋体" w:hAnsi="宋体" w:cs="宋体"/>
                      <w:color w:val="000000"/>
                      <w:szCs w:val="21"/>
                    </w:rPr>
                    <w:t>二次去盖模块</w:t>
                  </w:r>
                </w:p>
              </w:tc>
              <w:tc>
                <w:tcPr>
                  <w:tcW w:w="2335" w:type="dxa"/>
                </w:tcPr>
                <w:p>
                  <w:pPr>
                    <w:jc w:val="left"/>
                    <w:rPr>
                      <w:rFonts w:ascii="宋体" w:hAnsi="宋体" w:cs="宋体"/>
                      <w:color w:val="000000"/>
                      <w:szCs w:val="21"/>
                    </w:rPr>
                  </w:pPr>
                  <w:r>
                    <w:rPr>
                      <w:rFonts w:hint="eastAsia" w:ascii="宋体" w:hAnsi="宋体" w:cs="宋体"/>
                      <w:color w:val="000000"/>
                      <w:szCs w:val="21"/>
                    </w:rPr>
                    <w:t>≥1</w:t>
                  </w:r>
                </w:p>
              </w:tc>
              <w:tc>
                <w:tcPr>
                  <w:tcW w:w="1006" w:type="dxa"/>
                </w:tcPr>
                <w:p>
                  <w:pPr>
                    <w:jc w:val="left"/>
                    <w:rPr>
                      <w:rFonts w:ascii="宋体" w:hAnsi="宋体" w:cs="宋体"/>
                      <w:color w:val="000000"/>
                      <w:szCs w:val="21"/>
                    </w:rPr>
                  </w:pPr>
                  <w:r>
                    <w:rPr>
                      <w:rFonts w:hint="eastAsia" w:ascii="宋体" w:hAnsi="宋体" w:cs="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tcPr>
                <w:p>
                  <w:pPr>
                    <w:ind w:left="425" w:hanging="425"/>
                    <w:jc w:val="left"/>
                    <w:rPr>
                      <w:rFonts w:ascii="宋体" w:hAnsi="宋体" w:cs="宋体"/>
                      <w:color w:val="000000"/>
                      <w:szCs w:val="21"/>
                    </w:rPr>
                  </w:pPr>
                  <w:r>
                    <w:rPr>
                      <w:rFonts w:ascii="宋体" w:hAnsi="宋体" w:cs="宋体"/>
                      <w:color w:val="000000"/>
                      <w:szCs w:val="21"/>
                    </w:rPr>
                    <w:t>12.</w:t>
                  </w:r>
                </w:p>
              </w:tc>
              <w:tc>
                <w:tcPr>
                  <w:tcW w:w="3000" w:type="dxa"/>
                </w:tcPr>
                <w:p>
                  <w:pPr>
                    <w:jc w:val="left"/>
                    <w:rPr>
                      <w:rFonts w:ascii="宋体" w:hAnsi="宋体" w:cs="宋体"/>
                      <w:color w:val="000000"/>
                      <w:szCs w:val="21"/>
                    </w:rPr>
                  </w:pPr>
                  <w:r>
                    <w:rPr>
                      <w:rFonts w:hint="eastAsia" w:ascii="宋体" w:hAnsi="宋体" w:cs="宋体"/>
                      <w:color w:val="000000"/>
                      <w:szCs w:val="21"/>
                    </w:rPr>
                    <w:t>样品传输系统</w:t>
                  </w:r>
                </w:p>
              </w:tc>
              <w:tc>
                <w:tcPr>
                  <w:tcW w:w="2335" w:type="dxa"/>
                </w:tcPr>
                <w:p>
                  <w:pPr>
                    <w:jc w:val="left"/>
                    <w:rPr>
                      <w:rFonts w:ascii="宋体" w:hAnsi="宋体" w:cs="宋体"/>
                      <w:color w:val="000000"/>
                      <w:szCs w:val="21"/>
                    </w:rPr>
                  </w:pPr>
                  <w:r>
                    <w:rPr>
                      <w:rFonts w:hint="eastAsia" w:ascii="宋体" w:hAnsi="宋体" w:cs="宋体"/>
                      <w:color w:val="000000"/>
                      <w:szCs w:val="21"/>
                    </w:rPr>
                    <w:t>1</w:t>
                  </w:r>
                </w:p>
              </w:tc>
              <w:tc>
                <w:tcPr>
                  <w:tcW w:w="1006" w:type="dxa"/>
                </w:tcPr>
                <w:p>
                  <w:pPr>
                    <w:jc w:val="left"/>
                    <w:rPr>
                      <w:rFonts w:ascii="宋体" w:hAnsi="宋体" w:cs="宋体"/>
                      <w:color w:val="000000"/>
                      <w:szCs w:val="21"/>
                    </w:rPr>
                  </w:pPr>
                  <w:r>
                    <w:rPr>
                      <w:rFonts w:hint="eastAsia" w:ascii="宋体" w:hAnsi="宋体" w:cs="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tcPr>
                <w:p>
                  <w:pPr>
                    <w:numPr>
                      <w:ilvl w:val="255"/>
                      <w:numId w:val="0"/>
                    </w:numPr>
                    <w:jc w:val="left"/>
                    <w:rPr>
                      <w:rFonts w:ascii="宋体" w:hAnsi="宋体" w:cs="宋体"/>
                      <w:color w:val="000000"/>
                      <w:szCs w:val="21"/>
                    </w:rPr>
                  </w:pPr>
                  <w:r>
                    <w:rPr>
                      <w:rFonts w:hint="eastAsia" w:ascii="宋体" w:hAnsi="宋体" w:cs="宋体"/>
                      <w:color w:val="000000"/>
                      <w:szCs w:val="21"/>
                    </w:rPr>
                    <w:t>13</w:t>
                  </w:r>
                </w:p>
              </w:tc>
              <w:tc>
                <w:tcPr>
                  <w:tcW w:w="3000" w:type="dxa"/>
                </w:tcPr>
                <w:p>
                  <w:pPr>
                    <w:jc w:val="left"/>
                    <w:rPr>
                      <w:rFonts w:ascii="宋体" w:hAnsi="宋体" w:cs="宋体"/>
                      <w:color w:val="000000"/>
                      <w:szCs w:val="21"/>
                    </w:rPr>
                  </w:pPr>
                  <w:r>
                    <w:rPr>
                      <w:rFonts w:hint="eastAsia" w:ascii="宋体" w:hAnsi="宋体" w:cs="宋体"/>
                      <w:color w:val="000000"/>
                      <w:szCs w:val="21"/>
                    </w:rPr>
                    <w:t>智能管理软件系统</w:t>
                  </w:r>
                </w:p>
              </w:tc>
              <w:tc>
                <w:tcPr>
                  <w:tcW w:w="2335" w:type="dxa"/>
                </w:tcPr>
                <w:p>
                  <w:pPr>
                    <w:jc w:val="left"/>
                    <w:rPr>
                      <w:rFonts w:ascii="宋体" w:hAnsi="宋体" w:cs="宋体"/>
                      <w:color w:val="000000"/>
                      <w:szCs w:val="21"/>
                    </w:rPr>
                  </w:pPr>
                  <w:r>
                    <w:rPr>
                      <w:rFonts w:hint="eastAsia" w:ascii="宋体" w:hAnsi="宋体" w:cs="宋体"/>
                      <w:color w:val="000000"/>
                      <w:szCs w:val="21"/>
                    </w:rPr>
                    <w:t>1</w:t>
                  </w:r>
                </w:p>
              </w:tc>
              <w:tc>
                <w:tcPr>
                  <w:tcW w:w="1006" w:type="dxa"/>
                </w:tcPr>
                <w:p>
                  <w:pPr>
                    <w:jc w:val="left"/>
                    <w:rPr>
                      <w:rFonts w:ascii="宋体" w:hAnsi="宋体" w:cs="宋体"/>
                      <w:color w:val="000000"/>
                      <w:szCs w:val="21"/>
                    </w:rPr>
                  </w:pPr>
                  <w:r>
                    <w:rPr>
                      <w:rFonts w:hint="eastAsia" w:ascii="宋体" w:hAnsi="宋体" w:cs="宋体"/>
                      <w:color w:val="000000"/>
                      <w:szCs w:val="21"/>
                    </w:rPr>
                    <w:t>套</w:t>
                  </w:r>
                </w:p>
              </w:tc>
            </w:tr>
          </w:tbl>
          <w:p>
            <w:pPr>
              <w:widowControl/>
              <w:jc w:val="left"/>
              <w:rPr>
                <w:rFonts w:ascii="宋体" w:hAnsi="宋体" w:cs="宋体"/>
                <w:color w:val="3F3F3F"/>
                <w:kern w:val="0"/>
                <w:sz w:val="20"/>
                <w:szCs w:val="20"/>
              </w:rPr>
            </w:pPr>
          </w:p>
        </w:tc>
      </w:tr>
    </w:tbl>
    <w:p>
      <w:pPr>
        <w:widowControl/>
        <w:jc w:val="left"/>
        <w:rPr>
          <w:rFonts w:ascii="宋体" w:hAnsi="宋体" w:cs="宋体"/>
          <w:b/>
          <w:bCs/>
          <w:color w:val="3F3F3F"/>
          <w:kern w:val="0"/>
          <w:szCs w:val="21"/>
        </w:rPr>
      </w:pPr>
    </w:p>
    <w:p>
      <w:pPr>
        <w:widowControl/>
        <w:jc w:val="left"/>
        <w:rPr>
          <w:rFonts w:ascii="宋体" w:hAnsi="宋体" w:cs="宋体"/>
          <w:b/>
          <w:bCs/>
          <w:color w:val="3F3F3F"/>
          <w:kern w:val="0"/>
          <w:szCs w:val="21"/>
        </w:rPr>
      </w:pPr>
    </w:p>
    <w:p>
      <w:pPr>
        <w:widowControl/>
        <w:jc w:val="left"/>
        <w:rPr>
          <w:rFonts w:ascii="宋体" w:hAnsi="宋体" w:cs="宋体"/>
          <w:b/>
          <w:bCs/>
          <w:color w:val="3F3F3F"/>
          <w:kern w:val="0"/>
          <w:szCs w:val="21"/>
        </w:rPr>
      </w:pPr>
    </w:p>
    <w:p>
      <w:pPr>
        <w:pStyle w:val="2"/>
        <w:jc w:val="center"/>
        <w:rPr>
          <w:kern w:val="0"/>
        </w:rPr>
      </w:pPr>
      <w:r>
        <w:rPr>
          <w:rFonts w:hint="eastAsia"/>
          <w:kern w:val="0"/>
        </w:rPr>
        <w:t>设备配套耗材试剂情况</w:t>
      </w:r>
    </w:p>
    <w:p>
      <w:pPr>
        <w:jc w:val="left"/>
        <w:rPr>
          <w:rFonts w:ascii="宋体" w:hAnsi="宋体" w:cs="宋体"/>
          <w:b/>
          <w:bCs/>
          <w:kern w:val="0"/>
          <w:sz w:val="28"/>
          <w:szCs w:val="28"/>
        </w:rPr>
      </w:pPr>
      <w:r>
        <w:rPr>
          <w:rFonts w:hint="eastAsia" w:ascii="宋体" w:hAnsi="宋体" w:cs="宋体"/>
          <w:b/>
          <w:bCs/>
          <w:kern w:val="0"/>
          <w:sz w:val="28"/>
          <w:szCs w:val="28"/>
        </w:rPr>
        <w:t>配套耗材或试剂  （</w:t>
      </w:r>
      <w:r>
        <w:rPr>
          <w:rFonts w:hint="eastAsia" w:ascii="宋体" w:hAnsi="宋体" w:cs="宋体"/>
          <w:b/>
          <w:bCs/>
          <w:color w:val="FF0000"/>
          <w:kern w:val="0"/>
          <w:sz w:val="28"/>
          <w:szCs w:val="28"/>
        </w:rPr>
        <w:t xml:space="preserve">开放□ </w:t>
      </w:r>
      <w:r>
        <w:rPr>
          <w:rFonts w:ascii="宋体" w:hAnsi="宋体" w:cs="宋体"/>
          <w:b/>
          <w:bCs/>
          <w:color w:val="FF0000"/>
          <w:kern w:val="0"/>
          <w:sz w:val="28"/>
          <w:szCs w:val="28"/>
        </w:rPr>
        <w:t xml:space="preserve">  </w:t>
      </w:r>
      <w:r>
        <w:rPr>
          <w:rFonts w:hint="eastAsia" w:ascii="宋体" w:hAnsi="宋体" w:cs="宋体"/>
          <w:b/>
          <w:bCs/>
          <w:color w:val="FF0000"/>
          <w:kern w:val="0"/>
          <w:sz w:val="28"/>
          <w:szCs w:val="28"/>
        </w:rPr>
        <w:t xml:space="preserve">专用☑ </w:t>
      </w:r>
      <w:r>
        <w:rPr>
          <w:rFonts w:ascii="宋体" w:hAnsi="宋体" w:cs="宋体"/>
          <w:b/>
          <w:bCs/>
          <w:color w:val="FF0000"/>
          <w:kern w:val="0"/>
          <w:sz w:val="28"/>
          <w:szCs w:val="28"/>
        </w:rPr>
        <w:t xml:space="preserve"> </w:t>
      </w:r>
      <w:r>
        <w:rPr>
          <w:rFonts w:hint="eastAsia" w:ascii="宋体" w:hAnsi="宋体" w:cs="宋体"/>
          <w:b/>
          <w:bCs/>
          <w:color w:val="FF0000"/>
          <w:kern w:val="0"/>
          <w:sz w:val="28"/>
          <w:szCs w:val="28"/>
        </w:rPr>
        <w:t xml:space="preserve"> 无□</w:t>
      </w:r>
      <w:r>
        <w:rPr>
          <w:rFonts w:hint="eastAsia" w:ascii="宋体" w:hAnsi="宋体" w:cs="宋体"/>
          <w:b/>
          <w:bCs/>
          <w:kern w:val="0"/>
          <w:sz w:val="28"/>
          <w:szCs w:val="28"/>
        </w:rPr>
        <w:t xml:space="preserve">） </w:t>
      </w:r>
    </w:p>
    <w:p>
      <w:pPr>
        <w:jc w:val="left"/>
        <w:rPr>
          <w:rFonts w:ascii="宋体" w:hAnsi="宋体" w:cs="宋体"/>
          <w:b/>
          <w:bCs/>
          <w:kern w:val="0"/>
          <w:sz w:val="24"/>
          <w:szCs w:val="24"/>
        </w:rPr>
      </w:pPr>
    </w:p>
    <w:p>
      <w:pPr>
        <w:jc w:val="left"/>
        <w:rPr>
          <w:rFonts w:ascii="宋体" w:hAnsi="宋体" w:cs="宋体"/>
          <w:b/>
          <w:bCs/>
          <w:kern w:val="0"/>
          <w:sz w:val="24"/>
          <w:szCs w:val="24"/>
        </w:rPr>
      </w:pPr>
      <w:r>
        <w:rPr>
          <w:rFonts w:hint="eastAsia" w:ascii="宋体" w:hAnsi="宋体" w:cs="宋体"/>
          <w:b/>
          <w:bCs/>
          <w:kern w:val="0"/>
          <w:sz w:val="24"/>
          <w:szCs w:val="24"/>
        </w:rPr>
        <w:t>配套耗材</w:t>
      </w:r>
    </w:p>
    <w:tbl>
      <w:tblPr>
        <w:tblStyle w:val="7"/>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094"/>
        <w:gridCol w:w="198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60" w:type="dxa"/>
            <w:vAlign w:val="center"/>
          </w:tcPr>
          <w:p>
            <w:pPr>
              <w:jc w:val="center"/>
              <w:rPr>
                <w:rFonts w:ascii="仿宋_GB2312" w:hAnsi="Times New Roman" w:eastAsia="仿宋_GB2312"/>
                <w:b/>
                <w:sz w:val="24"/>
                <w:szCs w:val="21"/>
              </w:rPr>
            </w:pPr>
            <w:r>
              <w:rPr>
                <w:rFonts w:hint="eastAsia" w:ascii="仿宋_GB2312" w:hAnsi="Times New Roman" w:eastAsia="仿宋_GB2312"/>
                <w:b/>
                <w:sz w:val="24"/>
                <w:szCs w:val="21"/>
              </w:rPr>
              <w:t>序号</w:t>
            </w:r>
          </w:p>
        </w:tc>
        <w:tc>
          <w:tcPr>
            <w:tcW w:w="5094" w:type="dxa"/>
            <w:vAlign w:val="center"/>
          </w:tcPr>
          <w:p>
            <w:pPr>
              <w:jc w:val="center"/>
              <w:rPr>
                <w:rFonts w:ascii="仿宋_GB2312" w:hAnsi="Times New Roman" w:eastAsia="仿宋_GB2312"/>
                <w:b/>
                <w:sz w:val="24"/>
                <w:szCs w:val="21"/>
              </w:rPr>
            </w:pPr>
            <w:r>
              <w:rPr>
                <w:rFonts w:hint="eastAsia" w:ascii="仿宋_GB2312" w:hAnsi="Times New Roman" w:eastAsia="仿宋_GB2312"/>
                <w:b/>
                <w:sz w:val="24"/>
                <w:szCs w:val="21"/>
              </w:rPr>
              <w:t>名称</w:t>
            </w:r>
          </w:p>
        </w:tc>
        <w:tc>
          <w:tcPr>
            <w:tcW w:w="1985" w:type="dxa"/>
            <w:vAlign w:val="center"/>
          </w:tcPr>
          <w:p>
            <w:pPr>
              <w:jc w:val="center"/>
              <w:rPr>
                <w:rFonts w:ascii="仿宋_GB2312" w:hAnsi="Times New Roman" w:eastAsia="仿宋_GB2312"/>
                <w:b/>
                <w:sz w:val="24"/>
                <w:szCs w:val="21"/>
              </w:rPr>
            </w:pPr>
            <w:r>
              <w:rPr>
                <w:rFonts w:hint="eastAsia" w:ascii="仿宋_GB2312" w:hAnsi="Times New Roman" w:eastAsia="仿宋_GB2312"/>
                <w:b/>
                <w:sz w:val="24"/>
                <w:szCs w:val="21"/>
              </w:rPr>
              <w:t>单位</w:t>
            </w:r>
          </w:p>
        </w:tc>
        <w:tc>
          <w:tcPr>
            <w:tcW w:w="2126" w:type="dxa"/>
            <w:vAlign w:val="center"/>
          </w:tcPr>
          <w:p>
            <w:pPr>
              <w:jc w:val="center"/>
              <w:rPr>
                <w:rFonts w:ascii="仿宋_GB2312" w:hAnsi="Times New Roman" w:eastAsia="仿宋_GB2312"/>
                <w:b/>
                <w:sz w:val="24"/>
                <w:szCs w:val="21"/>
              </w:rPr>
            </w:pPr>
            <w:r>
              <w:rPr>
                <w:rFonts w:hint="eastAsia" w:ascii="仿宋_GB2312" w:hAnsi="Times New Roman" w:eastAsia="仿宋_GB2312"/>
                <w:b/>
                <w:sz w:val="24"/>
                <w:szCs w:val="21"/>
              </w:rPr>
              <w:t>预算单价（元）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1</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加盖盖帽</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2</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反应杯</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3,101.00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3</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清洗站针</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780.00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4</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智能运载车</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5</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试剂探针</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18,100.00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6</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移液器探针</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10,100.00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7</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裂解稀释液</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3,492.00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8</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风琴泵单向阀</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1,125.00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9</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试剂瓶保护膜</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8,052.00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10</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样品杯1000/bag</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1,765.00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11</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样品杯1000ea/pkg</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3,764.00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12</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预处理样本转移管</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1,775.00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13</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手工稀释液</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2,241.00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14</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塑料架AERO样本管配适器</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15</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塑料件</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6,985.00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16</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20mL 试剂盒适配器</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17,851.00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17</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集线器</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6,597.00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18</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塑料头</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4,365.00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19</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标签</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2,037.00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20</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分杯管条码</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2,037.00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21</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管路　　　</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7,082.00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22</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缓冲液液位传感器</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8,731.00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23</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缓冲液过滤器</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6,888.00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24</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清洗液配置桶</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6,209.00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25</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清洗缓冲液液面感应传感器</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11,642.00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26</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激发液液位传感器</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7,121.00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27</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预激发液液位传感器</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6,985.00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28</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试剂针</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17,464.00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29</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试剂架</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15,523.00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30</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清洗杯　　</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3,201.00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31</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塑料架</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17,754.00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32</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塑料架金属转盘</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16,299.00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33</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塑料瓶</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8,343.00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34</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理化分析仪零件（传感器）</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5,336.00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35</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塑料样品杯</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2,619.00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36</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塑料架10 carrier/pkg</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16,299.00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37</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风琴泵组件</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2,396.00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38</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蠕动泵管</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2,375.00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39</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样本针管</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7,082.00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40</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试剂针R1A/R2B</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17,658.00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41</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试剂针R1B/R2A</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17,658.00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42</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比色杯</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1,639.00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43</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泵单向阀</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1,125.00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44</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#1样本针密封圈</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1,241.00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45</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#2样本针密封圈</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1,241.00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46</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#1试剂针密封圈</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1,979.00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47</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#2试剂针密封圈</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1,979.00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48</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注射器</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3,492.00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49</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比色杯擦拭器</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1,639.00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50</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过滤管</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2,483.00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51</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灯泡</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2,716.00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52</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搅拌器</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6,112.00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53</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缓冲液传感器</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11,642.00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54</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激发液传感器</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7,121.00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55</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预激发液传感器</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6,985.00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56</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WZ针</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11,497.00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57</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O圈</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441.00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58</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比色杯擦干棒</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1,639.00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59</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冲洗针</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3,492.00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60</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冲洗针温度传感器</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6,500.00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61</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废液针/管路</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4,860.00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62</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管路</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6,878.00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63</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过滤器</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2,483.00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64</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搅拌针</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6,112.00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65</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试剂盖</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441.00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66</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塑料盖20/bag</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441.00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67</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探针</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9,410.00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68</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温度管</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6,500.00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69</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样本针</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23,376.00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70</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样品杯</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3,783.00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71</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蠕动头套管</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16,296.00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72</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水浴槽过滤器</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15,972.00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73</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Tubing, Pump Head Water Bath Fill</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1,646.00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74</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比色杯擦</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298.00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75</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样本针螺丝</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1,946.00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76</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生化 SAMPLE P</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14,372.00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77</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试剂探针连接管</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2,572.00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78</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生化试剂盒</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13,144.00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79</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生化比色杯</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23,074.00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80</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生化SNSR BSL</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12,868.00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81</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免疫SNSR WB</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17,582.00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82</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免疫清洗站管子</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2,130.00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83</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 xml:space="preserve"> 生化RGT COOLANT</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19,402.00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84</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生化保养清洁容器</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2,812.82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85</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生化反应杯雨刷片</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821.62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86</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液体过滤器</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2,612.33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jc w:val="center"/>
              <w:rPr>
                <w:rFonts w:ascii="仿宋_GB2312" w:hAnsi="Times New Roman" w:eastAsia="仿宋_GB2312"/>
                <w:b/>
                <w:sz w:val="28"/>
                <w:szCs w:val="21"/>
              </w:rPr>
            </w:pPr>
            <w:r>
              <w:rPr>
                <w:rFonts w:hint="eastAsia" w:ascii="黑体" w:hAnsi="黑体" w:eastAsia="黑体"/>
                <w:color w:val="000000"/>
                <w:sz w:val="20"/>
                <w:szCs w:val="20"/>
              </w:rPr>
              <w:t>87</w:t>
            </w:r>
          </w:p>
        </w:tc>
        <w:tc>
          <w:tcPr>
            <w:tcW w:w="5094" w:type="dxa"/>
          </w:tcPr>
          <w:p>
            <w:pPr>
              <w:adjustRightInd w:val="0"/>
              <w:snapToGrid w:val="0"/>
              <w:spacing w:after="200" w:line="240" w:lineRule="atLeast"/>
              <w:jc w:val="center"/>
              <w:rPr>
                <w:rFonts w:ascii="华文楷体" w:hAnsi="华文楷体" w:eastAsia="华文楷体"/>
                <w:sz w:val="24"/>
              </w:rPr>
            </w:pPr>
            <w:r>
              <w:rPr>
                <w:rFonts w:hint="eastAsia" w:ascii="黑体" w:hAnsi="黑体" w:eastAsia="黑体"/>
                <w:color w:val="000000"/>
                <w:sz w:val="20"/>
                <w:szCs w:val="24"/>
              </w:rPr>
              <w:t>封膜铝箔</w:t>
            </w:r>
          </w:p>
        </w:tc>
        <w:tc>
          <w:tcPr>
            <w:tcW w:w="1985"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盒 </w:t>
            </w:r>
          </w:p>
        </w:tc>
        <w:tc>
          <w:tcPr>
            <w:tcW w:w="2126" w:type="dxa"/>
          </w:tcPr>
          <w:p>
            <w:pPr>
              <w:widowControl/>
              <w:jc w:val="center"/>
              <w:rPr>
                <w:rFonts w:ascii="华文楷体" w:hAnsi="华文楷体" w:eastAsia="华文楷体"/>
                <w:sz w:val="24"/>
              </w:rPr>
            </w:pPr>
            <w:r>
              <w:rPr>
                <w:rFonts w:hint="eastAsia" w:ascii="黑体" w:hAnsi="黑体" w:eastAsia="黑体"/>
                <w:color w:val="000000"/>
                <w:sz w:val="20"/>
                <w:szCs w:val="24"/>
              </w:rPr>
              <w:t xml:space="preserve"> 4,750.00 </w:t>
            </w:r>
          </w:p>
        </w:tc>
      </w:tr>
    </w:tbl>
    <w:p>
      <w:pPr>
        <w:jc w:val="left"/>
        <w:rPr>
          <w:rFonts w:ascii="Times New Roman" w:hAnsi="Times New Roman"/>
          <w:szCs w:val="21"/>
        </w:rPr>
      </w:pPr>
    </w:p>
    <w:p>
      <w:pPr>
        <w:jc w:val="left"/>
        <w:rPr>
          <w:rFonts w:ascii="宋体" w:hAnsi="宋体" w:cs="宋体"/>
          <w:b/>
          <w:bCs/>
          <w:kern w:val="0"/>
          <w:sz w:val="24"/>
          <w:szCs w:val="24"/>
        </w:rPr>
      </w:pPr>
      <w:r>
        <w:rPr>
          <w:rFonts w:hint="eastAsia" w:ascii="宋体" w:hAnsi="宋体" w:cs="宋体"/>
          <w:b/>
          <w:bCs/>
          <w:kern w:val="0"/>
          <w:sz w:val="24"/>
          <w:szCs w:val="24"/>
        </w:rPr>
        <w:t xml:space="preserve">配套试剂 </w:t>
      </w:r>
    </w:p>
    <w:tbl>
      <w:tblPr>
        <w:tblStyle w:val="7"/>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5107"/>
        <w:gridCol w:w="198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47" w:type="dxa"/>
            <w:vAlign w:val="center"/>
          </w:tcPr>
          <w:p>
            <w:pPr>
              <w:jc w:val="center"/>
              <w:rPr>
                <w:rFonts w:ascii="仿宋_GB2312" w:hAnsi="Times New Roman" w:eastAsia="仿宋_GB2312"/>
                <w:b/>
                <w:sz w:val="24"/>
                <w:szCs w:val="21"/>
              </w:rPr>
            </w:pPr>
            <w:r>
              <w:rPr>
                <w:rFonts w:hint="eastAsia" w:ascii="仿宋_GB2312" w:hAnsi="Times New Roman" w:eastAsia="仿宋_GB2312"/>
                <w:b/>
                <w:sz w:val="24"/>
                <w:szCs w:val="21"/>
              </w:rPr>
              <w:t>序号</w:t>
            </w:r>
          </w:p>
        </w:tc>
        <w:tc>
          <w:tcPr>
            <w:tcW w:w="5107" w:type="dxa"/>
            <w:vAlign w:val="center"/>
          </w:tcPr>
          <w:p>
            <w:pPr>
              <w:jc w:val="center"/>
              <w:rPr>
                <w:rFonts w:ascii="仿宋_GB2312" w:hAnsi="Times New Roman" w:eastAsia="仿宋_GB2312"/>
                <w:b/>
                <w:sz w:val="24"/>
                <w:szCs w:val="21"/>
              </w:rPr>
            </w:pPr>
            <w:r>
              <w:rPr>
                <w:rFonts w:hint="eastAsia" w:ascii="仿宋_GB2312" w:hAnsi="Times New Roman" w:eastAsia="仿宋_GB2312"/>
                <w:b/>
                <w:sz w:val="24"/>
                <w:szCs w:val="21"/>
              </w:rPr>
              <w:t>名称</w:t>
            </w:r>
          </w:p>
        </w:tc>
        <w:tc>
          <w:tcPr>
            <w:tcW w:w="1985" w:type="dxa"/>
            <w:vAlign w:val="center"/>
          </w:tcPr>
          <w:p>
            <w:pPr>
              <w:jc w:val="center"/>
              <w:rPr>
                <w:rFonts w:ascii="仿宋_GB2312" w:hAnsi="Times New Roman" w:eastAsia="仿宋_GB2312"/>
                <w:b/>
                <w:sz w:val="24"/>
                <w:szCs w:val="21"/>
              </w:rPr>
            </w:pPr>
            <w:r>
              <w:rPr>
                <w:rFonts w:hint="eastAsia" w:ascii="仿宋_GB2312" w:hAnsi="Times New Roman" w:eastAsia="仿宋_GB2312"/>
                <w:b/>
                <w:sz w:val="24"/>
                <w:szCs w:val="21"/>
              </w:rPr>
              <w:t>单位</w:t>
            </w:r>
          </w:p>
        </w:tc>
        <w:tc>
          <w:tcPr>
            <w:tcW w:w="2126" w:type="dxa"/>
            <w:vAlign w:val="center"/>
          </w:tcPr>
          <w:p>
            <w:pPr>
              <w:jc w:val="center"/>
              <w:rPr>
                <w:rFonts w:ascii="仿宋_GB2312" w:hAnsi="Times New Roman" w:eastAsia="仿宋_GB2312"/>
                <w:b/>
                <w:sz w:val="24"/>
                <w:szCs w:val="21"/>
              </w:rPr>
            </w:pPr>
            <w:r>
              <w:rPr>
                <w:rFonts w:hint="eastAsia" w:ascii="仿宋_GB2312" w:hAnsi="Times New Roman" w:eastAsia="仿宋_GB2312"/>
                <w:b/>
                <w:sz w:val="24"/>
                <w:szCs w:val="21"/>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甲型肝炎病毒IgG抗体检测试剂盒（化学发光微粒子免疫检测法）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4,672.00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甲型肝炎病毒IgG抗体校准品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甲型肝炎病毒IgG抗体质控品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甲型肝炎病毒IgM抗体检测试剂盒（化学发光微粒子免疫检测法）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甲型肝炎病毒IgM抗体校准品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甲型肝炎病毒IgM抗体质控品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尿中性粒细胞明胶酶相关脂质运载蛋白测定试剂盒（化学发光微粒子免疫检测法）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33,155.00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尿中性粒细胞明胶酶相关脂质运载蛋白校准品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尿中性粒细胞明胶酶相关脂质运载蛋白质控品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促甲状腺激素测定试剂盒（化学发光微粒子免疫检测法）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1,415.50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促甲状腺激素校准品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促甲状腺激素测定试剂盒（化学发光微粒子免疫检测法）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2,831.00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促甲状腺激素测定试剂盒（化学发光微粒子免疫检测法）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16,988.00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促甲状腺激素校准品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总三碘甲状腺原氨酸测定试剂盒（化学发光微粒子免疫检测法）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总三碘甲状腺原氨酸测定试剂盒（化学发光微粒子免疫检测法）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15,600.00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总三碘甲状腺原氨酸校准品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总甲状腺素测定试剂盒（化学发光微粒子免疫检测法）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2,534.00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总甲状腺素测定试剂盒（化学发光微粒子免疫检测法）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15,206.00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总甲状腺素校准品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游离三碘甲状腺原氨酸测定试剂盒（化学发光微粒子免疫检测法）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2,534.00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游离三碘甲状腺原氨酸测定试剂盒（化学发光微粒子免疫检测法）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15,206.00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游离三碘甲状腺原氨酸校准品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肌酸激酶同工酶测定试剂盒（化学发光微粒子免疫检测法）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肌酸激酶同工酶校准品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2,925.00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肌酸激酶同工酶质控品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2,915.00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高敏肌钙蛋白-I测定试剂盒（化学发光微粒子免疫检测法）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高敏肌钙蛋白-I校准品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409.00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高敏肌钙蛋白-I质控品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409.00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高敏肌钙蛋白-I测定试剂盒（化学发光微粒子免疫检测法）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高敏肌钙蛋白-I校准品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409.00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高敏肌钙蛋白-I质控品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409.00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肌红蛋白测定试剂盒（化学发光微粒子免疫检测法）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肌红蛋白校准品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肌红蛋白质控品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2,915.00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B-型尿钠肽测定试剂盒（化学发光微粒子免疫检测法）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47,500.00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B-型尿钠肽校准品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4,875.00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B-型尿钠肽测定试剂盒(化学发光微粒子免疫检测法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B-型尿钠肽校准品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4,875.00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甲胎蛋白测定试剂盒（化学发光微粒子免疫检测法）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23,166.00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甲胎蛋白测定试剂盒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3,861.00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甲胎蛋白校准品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1,170.00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癌胚抗原测定试剂盒（化学发光微粒子免疫检测法）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23,166.00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癌胚抗原测定试剂盒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3,861.00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癌胚抗原校准品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总前列腺特异性抗原测定试剂盒（化学发光微粒子免疫检测法）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总前列腺特异性抗原校准品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游离前列腺特异性抗原测定试剂盒（化学发光微粒子免疫检测法）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9,200.00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游离前列腺特异性抗原校准品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50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胃蛋白酶原I测定试剂盒（化学发光微粒子免疫检测法）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51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胃蛋白酶原I校准品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5,460.00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52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胃蛋白酶原I质控品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5,363.00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53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胃蛋白酶原II测定试剂盒（化学发光微粒子免疫检测法）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54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胃蛋白酶原II校准品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6,435.00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55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胃蛋白酶原II质控品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5,850.00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56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细胞角蛋白19片段测定试剂盒（化学发光微粒子免疫检测法）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3,415.00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57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细胞角蛋白19片段校准品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58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细胞角蛋白19片段质控品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59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癌抗原125测定试剂盒（化学发光微粒子免疫检测法）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12,500.00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60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癌抗原125校准品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61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癌抗原15-3测定试剂盒（化学发光微粒子免疫检测法）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10,246.00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62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癌抗原15-3校准品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63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糖类抗原19-9测定试剂盒（化学发光微粒子免疫检测法）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64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糖类抗原19-9校准品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65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鳞状上皮细胞癌抗原测定试剂盒（化学发光微粒子免疫检测法）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66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鳞状上皮细胞癌抗原校准品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67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鳞状上皮细胞癌抗原质控品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3,510.00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68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胃泌素释放肽前体测定试剂盒（化学发光微粒子免疫检测法）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69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胃泌素释放肽前体校准品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8,289.00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70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胃泌素释放肽前体质控品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7,801.00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71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人附睾蛋白4测定试剂盒（化学发光微粒子免疫检测法）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left"/>
              <w:rPr>
                <w:rFonts w:ascii="黑体" w:hAnsi="黑体" w:eastAsia="黑体"/>
                <w:color w:val="000000"/>
                <w:sz w:val="20"/>
                <w:szCs w:val="24"/>
              </w:rPr>
            </w:pPr>
            <w:r>
              <w:rPr>
                <w:rFonts w:hint="eastAsia" w:ascii="黑体" w:hAnsi="黑体" w:eastAsia="黑体"/>
                <w:color w:val="000000"/>
                <w:sz w:val="20"/>
                <w:szCs w:val="24"/>
              </w:rPr>
              <w:t xml:space="preserve"> 3,500.00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72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人附睾蛋白4校准品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975.00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73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人附睾蛋白4质控品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975.00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74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游离甲状腺素测定试剂盒（化学发光微粒子免疫检测法）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3,128.00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75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游离甲状腺素测定试剂盒（化学发光微粒子免疫检测法）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18,770.00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76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游离甲状腺素校准品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77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甲状腺球蛋白抗体测定试剂盒（化学发光微粒子免疫检测法）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78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甲状腺球蛋白抗体校准品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79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甲状腺球蛋白测定试剂盒（化学发光微粒子免疫检测法）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80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甲状腺球蛋白校准品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81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甲状腺球蛋白质控品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82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促甲状腺素受体抗体测定试剂盒（化学发光微粒子免疫检测法）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83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促甲状腺素受体抗体校准品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84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促甲状腺素受体抗体质控品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85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甲状腺过氧化物酶抗体测定试剂盒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86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甲状腺过氧化物酶抗体校准品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87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孕酮测定试剂盒（化学发光微粒子免疫检测法）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3,267.00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88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孕酮校准品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89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雌二醇测定试剂盒（化学发光微粒子免疫检测法）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2,930.00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90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雌二醇测定试剂盒（化学发光微粒子免疫检测法）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14,652.00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91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雌二醇校准品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92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卵泡刺激素测定试剂盒（化学发光微粒子免疫检测法）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2,791.00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93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卵泡刺激素测定试剂盒（化学发光微粒子免疫检测法）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16,750.00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94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卵泡刺激素校准品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95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促黄体生成素测定试剂盒（化学发光微粒子免疫检测法）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3,344.00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96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促黄体生成素测定试剂盒（化学发光微粒子免疫检测法）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20,065.00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97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促黄体生成素校准品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98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泌乳素测定试剂盒（化学发光微粒子免疫检测法）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2,791.00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99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泌乳素测定试剂盒（化学发光微粒子免疫检测法）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16,750.00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100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泌乳素校准品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101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硫酸脱氢表雄酮测定试剂盒（化学发光微粒子免疫检测法）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4,672.00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102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硫酸脱氢表雄酮校准品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4,875.00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103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性激素结合球蛋白测定试剂盒（化学发光微粒子免疫检测法）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6,930.00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104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性激素结合球蛋白校准品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4,875.00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105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睾酮测定试剂盒（化学发光微粒子免疫检测法）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3,603.00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106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睾酮测定试剂盒（化学发光微粒子免疫检测法）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14,414.00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107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睾酮校准品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1,755.00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108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总β人绒毛膜促性腺激素测定试剂盒（化学发光微粒子免疫检测法）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7,326.00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109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总β人绒毛膜促性腺激素校准品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110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总β人绒毛膜促性腺激素测定试剂盒（化学发光微粒子免疫检测法）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2,930.00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111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总β人绒毛膜促性腺激素测定试剂盒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17,582.40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112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总β人绒毛膜促性腺激素校准品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113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25-羟基维生素D测定试剂盒（化学发光微粒子免疫检测法）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114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25-羟基维生素D校准品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115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25-羟基维生素D质控品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116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抗环状胍氨酸多肽抗体测定试剂盒（化学发光微粒子免疫检测法）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8,830.00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117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抗环状胍氨酸多肽抗体校准品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1,865.00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118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抗环状胍氨酸多肽抗体质控品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1,643.00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119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同型半胱氨酸测定试剂盒（化学发光微粒子免疫检测法）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6,336.00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120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同型半胱氨酸校准品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1,560.00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121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同型半胱氨酸测定试剂盒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left"/>
              <w:rPr>
                <w:rFonts w:ascii="黑体" w:hAnsi="黑体" w:eastAsia="黑体"/>
                <w:color w:val="000000"/>
                <w:sz w:val="20"/>
                <w:szCs w:val="24"/>
              </w:rPr>
            </w:pPr>
            <w:r>
              <w:rPr>
                <w:rFonts w:hint="eastAsia" w:ascii="黑体" w:hAnsi="黑体" w:eastAsia="黑体"/>
                <w:color w:val="000000"/>
                <w:sz w:val="20"/>
                <w:szCs w:val="24"/>
              </w:rPr>
              <w:t xml:space="preserve"> 12,672.00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122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同型半胱氨酸校准品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1,560.00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123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铁蛋白测定试剂盒（化学发光微粒子免疫检测法）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124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铁蛋白测定试剂盒（化学发光微粒子免疫检测法）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14,850.00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125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铁蛋白校准品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126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维生素B12测定试剂盒（化学发光微粒子免疫检测法）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4,296.00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127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维生素B12校准品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128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叶酸测定试剂盒（化学发光微粒子免疫检测法）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129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叶酸校准品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3,315.00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130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全型甲状旁腺激素测定试剂盒（化学发光微粒子免疫检测法）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8,197.00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131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全型甲状旁腺激素测定试剂盒（化学发光微粒子免疫检测法）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40,986.00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132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全型甲状旁腺激素校准品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4,680.00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133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胰岛素测定试剂盒（化学发光微粒子免疫检测法）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134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胰岛素校准品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135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C肽测定试剂盒（化学发光微粒子免疫检测法）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6,831.00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136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C肽校准品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4,095.00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137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C肽质控品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4,095.00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138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皮质醇校准品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3,413.00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139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皮质醇测定试剂盒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7,702.00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140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皮质醇测定试剂盒(1000T)</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38,510.00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141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降钙素原测定试剂盒（化学发光微粒子免疫检测法）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43,906.00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142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降钙素原测定试剂盒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left"/>
              <w:rPr>
                <w:rFonts w:ascii="黑体" w:hAnsi="黑体" w:eastAsia="黑体"/>
                <w:color w:val="000000"/>
                <w:sz w:val="20"/>
                <w:szCs w:val="24"/>
              </w:rPr>
            </w:pPr>
            <w:r>
              <w:rPr>
                <w:rFonts w:hint="eastAsia" w:ascii="黑体" w:hAnsi="黑体" w:eastAsia="黑体"/>
                <w:color w:val="000000"/>
                <w:sz w:val="20"/>
                <w:szCs w:val="24"/>
              </w:rPr>
              <w:t xml:space="preserve"> 8,781.20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143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降钙素原校准品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144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降钙素原质控品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145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降钙素测定试剂盒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16,400.00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146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降钙素校准品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147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降钙素质控品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148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异常凝血酶原（PIVKA-II）测定试剂盒（化学发光微粒子免疫检测法）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149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异常凝血酶原（PIVKA-II）校准品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1,755.00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150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异常凝血酶原（PIVKA-II）质控品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1,755.00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151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梅毒螺旋体抗体测定试剂盒（化学发光微粒子免疫检测法）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28,155.00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152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梅毒螺旋体抗体校准品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3,852.00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153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梅毒螺旋体抗体质控品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3,852.00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乙型肝炎病毒表面抗原测定试剂盒（化学发光微粒子免疫检测法）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18,532.00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160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乙型肝炎病毒表面抗原校准品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3,803.00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161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乙型肝炎病毒表面抗原质控品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3,803.00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乙型肝炎病毒核心抗体测定试剂盒（化学发光微粒子免疫检测法）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20,671.00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162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乙型肝炎病毒核心抗体校准品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3,803.00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163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乙型肝炎病毒核心抗体质控品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2,999.00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乙型肝炎病毒表面抗体测定试剂盒（化学发光微粒子免疫检测法）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18,651.00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164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乙型肝炎病毒表面抗体校准品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3,803.00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165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乙型肝炎病毒表面抗体质控品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3,803.00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乙型肝炎病毒e抗原测定试剂盒（化学发光微粒子免疫检测法）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3,187.00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166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乙型肝炎病毒e抗原校准品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3,803.00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167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乙型肝炎病毒e抗原质控品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3,799.00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乙型肝炎病毒e抗体测定试剂盒（化学发光微粒子免疫检测法）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3,187.00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168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乙型肝炎病毒e抗体校准品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3,803.00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169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乙型肝炎病毒e抗体质控品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2,999.00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170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乙型肝炎病毒核心抗体IgM测定试剂盒（化学发光微粒子免疫检测法）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1,623.00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171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乙型肝炎病毒核心抗体IgM校准品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3,803.00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172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乙型肝炎病毒核心抗体IgM质控品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3,803.00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丙型肝炎病毒抗体测定试剂盒（化学发光微粒子免疫检测法）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9,464.00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丙型肝炎病毒抗体测定试剂盒（化学发光微粒子免疫检测法）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7,316.00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173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丙型肝炎病毒抗体校准品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174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丙型肝炎病毒抗体质控品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3,803.00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175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丙型肝炎病毒抗原校准品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2,535.00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176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丙型肝炎病毒抗原质控品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2,535.00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177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人类免疫缺陷病毒抗原及抗体联合测定试剂盒（化学发光微粒子免疫检测法）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49,183.00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178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人类免疫缺陷病毒抗原及抗体联合测定校准品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3,745.00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179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人类免疫缺陷病毒抗原及抗体联合测定质控品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3,599.00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180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环孢霉素测定试剂盒（化学发光微粒子免疫检测法）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10,500.00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181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环孢霉素校准品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182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雷帕霉素测定试剂盒（化学发光微粒子免疫检测法）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10,731.00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183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雷帕霉素校准品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184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普乐可复测定试剂盒（化学发光微粒子免疫检测法）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18,240.00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185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普乐可复校准品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186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卡马西平测定试剂盒（化学发光微粒子免疫检测法）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187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卡马西平校准品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9,166.00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188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弓形体IgG校准品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189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弓形体IgG质控品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190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弓形体IgG测定试剂盒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191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弓形虫IgG亲合力测定试剂盒(200T)</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10,400.00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192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弓形体IgM校准品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193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弓形体IgM质控品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194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弓形体IgM测定试剂盒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195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风疹病毒IgG校准品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5,265.00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196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风疹病毒IgG质控品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5,265.00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197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风疹病毒IgG测定试剂盒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198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风疹病毒IgM校准品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5,265.00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199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风疹病毒IgM质控品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5,265.00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200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风疹病毒IgM测定试剂盒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201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巨细胞病毒IgG校准品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202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巨细胞病毒IgG质控品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203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巨细胞病毒IgG测定试剂盒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204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巨细胞病毒IgG亲合力测定试剂盒(200T)</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205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巨细胞病毒IgM校准品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6,240.00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206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巨细胞病毒IgM质控品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6,240.00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207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巨细胞病毒IgM测定试剂盒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208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地高辛测定试剂盒（化学发光微粒子免疫检测法）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209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地高辛校准品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210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庆大霉素测定试剂盒（化学发光微粒子免疫检测法）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3,118.00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211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庆大霉素校准品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5,070.00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212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茶碱测定试剂盒（化学发光微粒子免疫检测法）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3,118.00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213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茶碱校准品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214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丙戊酸测定试剂盒（化学发光微粒子免疫检测法）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3,514.00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215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丙戊酸校准品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216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万古霉素测定试剂盒（化学发光微粒子免疫检测法）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3,118.00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217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万古霉素校准品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4,485.00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218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甲氨蝶呤校准品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219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甲氨蝶呤质控品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220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甲氨蝶呤质控品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221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甲氨蝶呤测定试剂盒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222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苯巴比妥测定试剂盒（化学发光微粒子免疫检测法）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223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苯巴比妥校准品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224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苯妥英测定试剂盒（化学发光微粒子免疫检测法）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3,118.00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225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苯妥英校准品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226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心肌标记质控品水平1</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227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心肌标记质控品水平3</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228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EB病毒核抗原IgG抗体测定试剂盒（化学发光微粒子免疫检测法）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229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EB病毒壳抗原IgG抗体测定试剂盒（化学发光微粒子免疫检测法）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230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EB病毒壳抗原IgM抗体检测试剂盒（化学发光微粒子免疫检测法）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231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EB病毒核抗原IgG抗体校准品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232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EB病毒核抗原IgG抗体质控品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233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EB病毒壳抗原IgG抗体校准品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234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EB病毒壳抗原IgG抗体质控品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235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EB病毒壳抗原IgM抗体校准品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236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EB病毒壳抗原IgM抗体质控品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237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碱性磷酸酶测定试剂盒(NPP底物-AMP缓冲液法、液体I型)</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35.73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238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丙氨酸氨基转移酶测定试剂盒（丙氨酸底物法）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93.60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239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甘胆酸测定试剂盒（乳胶免疫比浊法）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1,144.00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240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胆碱酯酶测定试剂盒（丁酰硫代胆碱底物法）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188.35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241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氨测定试剂盒（谷氨酸脱氢酶法）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696.00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242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亮氨酸氨基肽酶测定试剂盒（L-亮氨酰对硝基苯胺底物法）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341.57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243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腺苷脱氨酶测定试剂盒（过氧化物酶法）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574.02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244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a-L-岩藻糖苷酶测定试剂盒（CNPF底物法）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552.29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245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谷氨酸脱氢酶测定试剂盒(α-酮戊二酸底物法）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168.54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246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总胆汁酸测定试剂盒（酶循环法）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595.35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247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总胆汁酸校准品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248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天门冬氨酸氨基转移酶测定试剂盒(天门冬氨酸底物法、液体I型)</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83.41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249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总蛋白测定试剂盒(大包装)</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24.64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250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白蛋白测定试剂盒(大包装)</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27.20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251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前白蛋白测定试剂盒(大包装)</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204.36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252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γ-谷氨酰基转移酶测定试剂盒（GCANA底物法、液体I型）</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49.98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253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总胆红素测定试剂盒(钒酸盐氧化法)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254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直接胆红素测定试剂盒（钒酸盐法）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255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乳酸脱氢酶测定试剂盒（乳酸底物法、液体I型）</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56.41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256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甘油三酯测定试剂盒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75.01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257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胆固醇测定试剂盒(酶试剂法)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81.61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258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高密度脂蛋白胆固醇测定试剂盒(直接法-过氧化氢酶清除法）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387.13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259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低密度脂蛋白胆固醇测定试剂盒（直接法-表面活性剂清除法）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1,080.26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260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铜蓝蛋白</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1,045.20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261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谷胱甘肽还原酶测定试剂盒（酶法）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1,355.66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262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单氨氧化酶检测试剂盒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673.50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263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5’-核苷酸酶测定试剂盒（过氧化物酶法）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1,518.05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264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5’-核苷酸酶质控品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265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液体免疫学和蛋白质控品水平1</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266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液体免疫学和蛋白质控品水平3</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268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钙测定试剂盒(偶氮胂法)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10,186.63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269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钙测定试剂盒（邻甲酚酞络合酮法、液体I型）</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980.00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271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尿素氮测定试剂盒（尿素酶法）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9,897.33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273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肌酐测定试剂盒(碱性苦味酸法)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275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样品稀释液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left"/>
              <w:rPr>
                <w:rFonts w:ascii="黑体" w:hAnsi="黑体" w:eastAsia="黑体"/>
                <w:color w:val="000000"/>
                <w:sz w:val="20"/>
                <w:szCs w:val="24"/>
              </w:rPr>
            </w:pPr>
            <w:r>
              <w:rPr>
                <w:rFonts w:hint="eastAsia" w:ascii="黑体" w:hAnsi="黑体" w:eastAsia="黑体"/>
                <w:color w:val="000000"/>
                <w:sz w:val="20"/>
                <w:szCs w:val="24"/>
              </w:rPr>
              <w:t xml:space="preserve"> 21,000.00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276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二氧化碳测定试剂盒（PEPC酶法）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1,358.00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277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二氧化碳测定试剂盒（磷酸烯醇式丙酮酸羧化酶法）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9,022.80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279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二氧化碳校准品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280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镁测定试剂盒（二甲苯胺蓝法、液体I型）</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744.00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281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尿酸测定试剂盒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right"/>
              <w:rPr>
                <w:rFonts w:ascii="黑体" w:hAnsi="黑体" w:eastAsia="黑体"/>
                <w:color w:val="000000"/>
                <w:sz w:val="20"/>
                <w:szCs w:val="24"/>
              </w:rPr>
            </w:pPr>
            <w:r>
              <w:rPr>
                <w:rFonts w:hint="eastAsia" w:ascii="黑体" w:hAnsi="黑体" w:eastAsia="黑体"/>
                <w:color w:val="000000"/>
                <w:sz w:val="20"/>
                <w:szCs w:val="24"/>
              </w:rPr>
              <w:t>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283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尿酸测定试剂盒（尿酸酶法）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6,500.00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284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无机磷测定试剂盒（磷钼酸盐法、液体I型）</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247.00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286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无机磷测定试剂盒（磷钼酸盐法）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5,670.71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287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肌酸激酶测定试剂盒（磷酸肌酸底物法）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2,424.00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288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肌酸激酶同工酶校准品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left"/>
              <w:rPr>
                <w:rFonts w:ascii="黑体" w:hAnsi="黑体" w:eastAsia="黑体"/>
                <w:color w:val="000000"/>
                <w:sz w:val="20"/>
                <w:szCs w:val="24"/>
              </w:rPr>
            </w:pPr>
            <w:r>
              <w:rPr>
                <w:rFonts w:hint="eastAsia" w:ascii="黑体" w:hAnsi="黑体" w:eastAsia="黑体"/>
                <w:color w:val="000000"/>
                <w:sz w:val="20"/>
                <w:szCs w:val="24"/>
              </w:rPr>
              <w:t xml:space="preserve"> 2,555.00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289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肌酸激酶同工酶测定试剂盒(免疫抑制法)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left"/>
              <w:rPr>
                <w:rFonts w:ascii="黑体" w:hAnsi="黑体" w:eastAsia="黑体"/>
                <w:color w:val="000000"/>
                <w:sz w:val="20"/>
                <w:szCs w:val="24"/>
              </w:rPr>
            </w:pPr>
            <w:r>
              <w:rPr>
                <w:rFonts w:hint="eastAsia" w:ascii="黑体" w:hAnsi="黑体" w:eastAsia="黑体"/>
                <w:color w:val="000000"/>
                <w:sz w:val="20"/>
                <w:szCs w:val="24"/>
              </w:rPr>
              <w:t xml:space="preserve"> 1,594.80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290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肌酸激酶MB同工酶测定试剂盒（免疫抑制法）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9,548.00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292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葡萄糖测定试剂盒（己糖激酶法）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13,200.00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293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葡萄糖测定试剂盒（葡萄糖氧化酶法）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401.52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294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N-乙酰-β-D-氨基葡萄糖苷酶校准品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295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N-乙酰-β-D-氨基葡萄糖苷酶质控品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296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N-乙酰-β-D-氨基葡萄糖苷酶测定试剂盒 (MNP-G1CNAc底物法)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2,365.78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298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葡萄糖-6-磷酸脱氢酶（G-6-PD)检测试剂盒（比值法）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1,241.00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299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α-淀粉酶测定试剂盒（EPS法、液体Ⅰ型）</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1,567.00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300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α-淀粉酶测定试剂盒(CNPG3 底物法)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left"/>
              <w:rPr>
                <w:rFonts w:ascii="黑体" w:hAnsi="黑体" w:eastAsia="黑体"/>
                <w:color w:val="000000"/>
                <w:sz w:val="20"/>
                <w:szCs w:val="24"/>
              </w:rPr>
            </w:pPr>
            <w:r>
              <w:rPr>
                <w:rFonts w:hint="eastAsia" w:ascii="黑体" w:hAnsi="黑体" w:eastAsia="黑体"/>
                <w:color w:val="000000"/>
                <w:sz w:val="20"/>
                <w:szCs w:val="24"/>
              </w:rPr>
              <w:t xml:space="preserve"> 1,400.00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304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蛋白测定试剂盒(比浊法)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left"/>
              <w:rPr>
                <w:rFonts w:ascii="黑体" w:hAnsi="黑体" w:eastAsia="黑体"/>
                <w:color w:val="000000"/>
                <w:sz w:val="20"/>
                <w:szCs w:val="24"/>
              </w:rPr>
            </w:pPr>
            <w:r>
              <w:rPr>
                <w:rFonts w:hint="eastAsia" w:ascii="黑体" w:hAnsi="黑体" w:eastAsia="黑体"/>
                <w:color w:val="000000"/>
                <w:sz w:val="20"/>
                <w:szCs w:val="24"/>
              </w:rPr>
              <w:t xml:space="preserve"> 1,039.93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305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尿液/脑脊液蛋白校准品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left"/>
              <w:rPr>
                <w:rFonts w:ascii="黑体" w:hAnsi="黑体" w:eastAsia="黑体"/>
                <w:color w:val="000000"/>
                <w:sz w:val="20"/>
                <w:szCs w:val="24"/>
              </w:rPr>
            </w:pPr>
            <w:r>
              <w:rPr>
                <w:rFonts w:hint="eastAsia" w:ascii="黑体" w:hAnsi="黑体" w:eastAsia="黑体"/>
                <w:color w:val="000000"/>
                <w:sz w:val="20"/>
                <w:szCs w:val="24"/>
              </w:rPr>
              <w:t xml:space="preserve"> 3,007.00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301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脂肪酶测定试剂盒（甲基试卤灵底物法)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left"/>
              <w:rPr>
                <w:rFonts w:ascii="黑体" w:hAnsi="黑体" w:eastAsia="黑体"/>
                <w:color w:val="000000"/>
                <w:sz w:val="20"/>
                <w:szCs w:val="24"/>
              </w:rPr>
            </w:pPr>
            <w:r>
              <w:rPr>
                <w:rFonts w:hint="eastAsia" w:ascii="黑体" w:hAnsi="黑体" w:eastAsia="黑体"/>
                <w:color w:val="000000"/>
                <w:sz w:val="20"/>
                <w:szCs w:val="24"/>
              </w:rPr>
              <w:t xml:space="preserve"> 4,390.28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302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脂肪酶校准品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left"/>
              <w:rPr>
                <w:rFonts w:ascii="黑体" w:hAnsi="黑体" w:eastAsia="黑体"/>
                <w:color w:val="000000"/>
                <w:sz w:val="20"/>
                <w:szCs w:val="24"/>
              </w:rPr>
            </w:pPr>
            <w:r>
              <w:rPr>
                <w:rFonts w:hint="eastAsia" w:ascii="黑体" w:hAnsi="黑体" w:eastAsia="黑体"/>
                <w:color w:val="000000"/>
                <w:sz w:val="20"/>
                <w:szCs w:val="24"/>
              </w:rPr>
              <w:t xml:space="preserve"> 676.00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303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脂肪酶质控品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left"/>
              <w:rPr>
                <w:rFonts w:ascii="黑体" w:hAnsi="黑体" w:eastAsia="黑体"/>
                <w:color w:val="000000"/>
                <w:sz w:val="20"/>
                <w:szCs w:val="24"/>
              </w:rPr>
            </w:pPr>
            <w:r>
              <w:rPr>
                <w:rFonts w:hint="eastAsia" w:ascii="黑体" w:hAnsi="黑体" w:eastAsia="黑体"/>
                <w:color w:val="000000"/>
                <w:sz w:val="20"/>
                <w:szCs w:val="24"/>
              </w:rPr>
              <w:t xml:space="preserve"> 676.00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306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铁测定试剂盒（亚铁嗪法、液体I型）</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543.00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308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C-反应蛋白校准品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5,724.00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309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C-反应蛋白测定试剂盒（免疫比浊法）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2,109.00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310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C-反应蛋白测定试剂盒(胶乳免疫比浊法)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28,700.00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311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C-反应蛋白校准品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312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抗链球菌溶血素O测定试剂盒(胶乳免疫比浊法)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2,793.00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313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抗链球菌溶血素O校准品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2,134.00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314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抗链球菌溶血素O、类风湿因子质控品（水平2）</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1,730.00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315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抗链球菌溶血素O、类风湿因子质控品（水平1）</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1,004.00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316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抗链球菌溶血素O测定试剂盒（乳胶免疫比浊法）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2,479.00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317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类风湿因子测定试剂盒（胶乳免疫比浊法）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2,178.00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318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类风湿因子校准品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1,164.00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319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类风湿因子测定试剂盒(胶乳免疫比浊法)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4,029.00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320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类风湿因子测定试剂盒（胶乳免疫比浊法）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321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补体C3测定试剂盒（免疫比浊法）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1,229.00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322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补体C4测定试剂盒（免疫比浊法）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1,213.00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323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补体C1q测定试剂盒（免疫比浊法）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4,998.00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324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补体C1q测定试剂盒（免疫比浊法）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5,194.00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325</w:t>
            </w:r>
          </w:p>
        </w:tc>
        <w:tc>
          <w:tcPr>
            <w:tcW w:w="5107" w:type="dxa"/>
          </w:tcPr>
          <w:p>
            <w:pPr>
              <w:jc w:val="left"/>
              <w:rPr>
                <w:rFonts w:ascii="ΊΪΜε" w:hAnsi="ΊΪΜε" w:eastAsia="ΊΪΜε"/>
                <w:color w:val="000000"/>
                <w:sz w:val="20"/>
                <w:szCs w:val="24"/>
              </w:rPr>
            </w:pPr>
            <w:r>
              <w:rPr>
                <w:rFonts w:ascii="ΊΪΜε" w:hAnsi="ΊΪΜε" w:eastAsia="ΊΪΜε"/>
                <w:color w:val="000000"/>
                <w:sz w:val="20"/>
                <w:szCs w:val="24"/>
              </w:rPr>
              <w:t>α-羟丁酸脱氢酶检测试剂盒（含校准）</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1,740.00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326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免疫球蛋白A测定试剂盒（免疫比浊法）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3,663.00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327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免疫球蛋白G测定试剂盒（免疫比浊法）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2,963.00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328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免疫球蛋白M测定试剂盒（免疫比浊法）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3,549.00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329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果糖胺检测试剂盒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330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丙酮酸测定试剂盒(乳酸脱氢酶法）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610.00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331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丙酮酸测定试剂盒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785.00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332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丙酮酸测定试剂盒(乳酸脱氢酶法)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1,180.00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333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视黄醇结合蛋白测定试剂盒（乳胶免疫比浊法）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12,990.00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334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胱抑素C测定试剂盒（乳胶免疫比浊法）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19,839.00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335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α1-微量球蛋白校准品（血清）</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336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α1-微量球蛋白校准品（尿液）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337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α1-微量球蛋白质控品（血清）</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338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α1-微量球蛋白质控品（尿液）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339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α1-微量球蛋白测定试剂盒（胶乳免疫比浊法）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4,114.00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340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β2-微量球蛋白测定试剂盒（胶乳免疫比浊法）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2,371.00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341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β2-微量球蛋白标准（尿）</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156.00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342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D-二聚体测定试剂盒（乳胶免疫比浊法）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6,927.00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343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D-二聚体校准品（6点）</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1,997.00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344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D-二聚体校准品（2水平）</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1,730.00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345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游离脂肪酸测定试剂盒（ACS-ACOD法）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1,653.00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346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游离脂肪酸测定试剂盒（酶法）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4,365.00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347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游离脂肪酸校准品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348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游离脂肪酸质控品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349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游离脂肪酸测定试剂盒（ACS-ACOD法）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3,416.20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350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脂蛋白（a）检测试剂盒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351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1,5-脱水-D-山梨醇测定试剂盒(吡喃糖氧化酶法）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9,352.00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352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血管紧张素转化酶测定试剂盒(FAPGG底物法）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3,291.00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353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血管紧张素转化酶测定试剂盒（速率法）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2,888.00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354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载脂蛋白A1/B测定试剂盒（透射比浊法）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2,723.00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355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载脂蛋白A1测定试剂盒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2,208.00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356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载脂蛋白A1定标液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254.00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357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载脂蛋白B测定试剂盒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2,208.00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358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载脂蛋白B定标液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254.00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359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转铁蛋白测定试剂盒（免疫比浊法）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446.00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360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转铁蛋白测定试剂盒(免疫比浊法)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7,077.24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361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触珠蛋白测定试剂盒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362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尿微量白蛋白测定试剂盒（免疫比浊法）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1,528.00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363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尿微量白蛋白测定试剂盒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2,160.00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364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锌测定试剂盒（PAPS显色剂法）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7,567.00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365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铜测定试剂盒（PAPS显色剂法）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3,427.00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366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心型脂肪酸结合蛋白测定试剂盒（免疫比浊法）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23,285.00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367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特异性生长因子测定试剂盒（酶法）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6,985.00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368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香草扁桃酸检测试剂盒（均相酶免疫法）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left"/>
              <w:rPr>
                <w:rFonts w:ascii="黑体" w:hAnsi="黑体" w:eastAsia="黑体"/>
                <w:color w:val="000000"/>
                <w:sz w:val="20"/>
                <w:szCs w:val="24"/>
              </w:rPr>
            </w:pPr>
            <w:r>
              <w:rPr>
                <w:rFonts w:hint="eastAsia" w:ascii="黑体" w:hAnsi="黑体" w:eastAsia="黑体"/>
                <w:color w:val="000000"/>
                <w:sz w:val="20"/>
                <w:szCs w:val="24"/>
              </w:rPr>
              <w:t xml:space="preserve"> 5,500.00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369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乳酸检测试剂盒（乳酸氧化酶法）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914.00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370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不饱合铁结合力测定试剂盒（呋喃三嗪法）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2,452.00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371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可溶性转铁蛋白受体测定试剂盒（胶乳免疫比浊法）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8,820.00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372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总铁结合力检测试剂盒（亚铁嗪法）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2,244.00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373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血清淀粉样蛋白 A 测定试剂盒（胶乳免疫比浊法）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14,112.00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374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唾液酸测定试剂盒(乳酸脱氢酶法）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3,488.00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375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唾液酸化糖链抗原测定试剂盒（胶乳凝聚法）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7,056.00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376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唾液酸化糖链抗原测定试剂盒（胶乳凝聚法）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7,056.00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377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唾液酸化糖链抗原校准品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3,430.00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378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唾液酸化糖链抗原质控品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3,430.00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379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小而密低密度脂蛋白胆固醇测定试剂盒</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7,056.00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380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血浆蛋白校准品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2,425.00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381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血脂多项校准品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1,746.00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382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特殊蛋白多项校准品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1,164.00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383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铁蛋白／肌红蛋白／免疫球蛋白E质控品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3,686.00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384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铁蛋白／肌红蛋白／免疫球蛋白E质控品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3,686.00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385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免疫抑制剂复合质控品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8,731.00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386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免疫复合质控品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8,828.00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387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生化质控品（水平1）</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2,910.00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388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生化质控品（水平2）</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2,910.00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389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生化校准品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2,215.00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390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免疫质控品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4,851.00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391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免疫质控品1</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4,851.00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392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免疫质控品2</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4,851.00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393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电解质血清校准品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8,731.00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394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电解质尿液校准品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6,112.00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395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生化多项质控血清</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3,729.00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396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生化多项质控血清</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3,729.00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397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生化多项质控血清</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3,729.00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398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特定蛋白多项质控品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8,731.00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399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生化尿液多项质控品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1,631.00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400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特种蛋白八项校准品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1,164.00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401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特定蛋白校准品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1,860.00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402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生化多项校准品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403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生化多项校准品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701.00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404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生化多项校准品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1,854.00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405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中生生化多项质控品水平1</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701.00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406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中生生化多项质控品水平1</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1,854.00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407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中生生化多项质控品水平2</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701.00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408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中生生化多项质控品水平2</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1,854.00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409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C反应蛋白质控品水平2</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4,423.00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410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C反应蛋白质控品水平3</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4,423.00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411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质控血清</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3,250.00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412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质控血清</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3,250.00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413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超强免疫质控水平1</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6,752.00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414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超强免疫质控水平2</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6,752.00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415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超强免疫质控水平3</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6,752.00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416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免疫质控品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3,539.00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417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免疫质控品</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3,539.00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418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糖化白蛋白测定试剂盒（过氧化物酶法）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7,780.53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419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糖化白蛋白测定试剂盒（过氧化物酶法）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450.62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420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糖化白蛋白测定试剂盒（过氧化物酶法）</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600.82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421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浓缩清洗缓冲液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1,477.00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422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浓缩清洗缓冲液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1,365.00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423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样本萃取液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2,496.00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424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样本萃取液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2,496.00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425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样本萃取液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2,496.00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426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Alinityc试剂瓶</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427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Alinityc试剂瓶</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428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试剂盒/白</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429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试剂盒/黑</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430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电解质检测电极块</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34,927.00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431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电解质参比液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7,079.00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432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激发液检测器</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2,867.00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433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预激发液检测器</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2,915.00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434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酸性探针清洗液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5,107.00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435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Alinityc去污剂A</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3,589.00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436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去污剂a</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437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去污剂B</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5,336.00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438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去污剂b</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439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Alinityc保养液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14,188.00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440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保养液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11,000.00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441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电解质清洗液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7,043.00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442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酸性清洗液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6,403.00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443</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酸性清洗液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5,600.00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444</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碱性清洗液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4,365.00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445</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碱性清洗液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446</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激发液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1,365.00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447</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激发液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1,365.00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448</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探针冲洗液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4,485.00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449</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探针冲洗液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4,485.00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450</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探针冲洗液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451</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预激发液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tcPr>
          <w:p>
            <w:pPr>
              <w:jc w:val="center"/>
              <w:rPr>
                <w:rFonts w:ascii="黑体" w:hAnsi="黑体" w:eastAsia="黑体"/>
                <w:color w:val="000000"/>
                <w:sz w:val="20"/>
                <w:szCs w:val="24"/>
              </w:rPr>
            </w:pPr>
            <w:r>
              <w:rPr>
                <w:rFonts w:hint="eastAsia" w:ascii="黑体" w:hAnsi="黑体" w:eastAsia="黑体"/>
                <w:color w:val="000000"/>
                <w:sz w:val="20"/>
                <w:szCs w:val="24"/>
              </w:rPr>
              <w:t>452</w:t>
            </w:r>
          </w:p>
        </w:tc>
        <w:tc>
          <w:tcPr>
            <w:tcW w:w="5107" w:type="dxa"/>
          </w:tcPr>
          <w:p>
            <w:pPr>
              <w:jc w:val="left"/>
              <w:rPr>
                <w:rFonts w:ascii="黑体" w:hAnsi="黑体" w:eastAsia="黑体"/>
                <w:color w:val="000000"/>
                <w:sz w:val="20"/>
                <w:szCs w:val="24"/>
              </w:rPr>
            </w:pPr>
            <w:r>
              <w:rPr>
                <w:rFonts w:hint="eastAsia" w:ascii="黑体" w:hAnsi="黑体" w:eastAsia="黑体"/>
                <w:color w:val="000000"/>
                <w:sz w:val="20"/>
                <w:szCs w:val="24"/>
              </w:rPr>
              <w:t>预激发液</w:t>
            </w:r>
          </w:p>
        </w:tc>
        <w:tc>
          <w:tcPr>
            <w:tcW w:w="1985"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盒 </w:t>
            </w:r>
          </w:p>
        </w:tc>
        <w:tc>
          <w:tcPr>
            <w:tcW w:w="2126" w:type="dxa"/>
          </w:tcPr>
          <w:p>
            <w:pPr>
              <w:jc w:val="center"/>
              <w:rPr>
                <w:rFonts w:ascii="黑体" w:hAnsi="黑体" w:eastAsia="黑体"/>
                <w:color w:val="000000"/>
                <w:sz w:val="20"/>
                <w:szCs w:val="24"/>
              </w:rPr>
            </w:pPr>
            <w:r>
              <w:rPr>
                <w:rFonts w:hint="eastAsia" w:ascii="黑体" w:hAnsi="黑体" w:eastAsia="黑体"/>
                <w:color w:val="000000"/>
                <w:sz w:val="20"/>
                <w:szCs w:val="24"/>
              </w:rPr>
              <w:t xml:space="preserve"> 3,120.00 </w:t>
            </w:r>
          </w:p>
        </w:tc>
      </w:tr>
    </w:tbl>
    <w:p>
      <w:pPr>
        <w:jc w:val="center"/>
        <w:rPr>
          <w:rFonts w:ascii="微软雅黑" w:hAnsi="微软雅黑" w:eastAsia="微软雅黑" w:cs="宋体"/>
          <w:color w:val="3F3F3F"/>
          <w:kern w:val="0"/>
          <w:szCs w:val="21"/>
        </w:rPr>
      </w:pP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65B585-F1F9-42E5-913F-5720626190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C220A881-6D55-4E3E-8A10-230B340C35CB}"/>
  </w:font>
  <w:font w:name="微软雅黑">
    <w:panose1 w:val="020B0503020204020204"/>
    <w:charset w:val="86"/>
    <w:family w:val="swiss"/>
    <w:pitch w:val="default"/>
    <w:sig w:usb0="80000287" w:usb1="2ACF3C50" w:usb2="00000016" w:usb3="00000000" w:csb0="0004001F" w:csb1="00000000"/>
    <w:embedRegular r:id="rId3" w:fontKey="{40BC2472-91B5-4458-BB28-6ABEE0F11E40}"/>
  </w:font>
  <w:font w:name="仿宋_GB2312">
    <w:altName w:val="仿宋"/>
    <w:panose1 w:val="020B0604020202020204"/>
    <w:charset w:val="86"/>
    <w:family w:val="auto"/>
    <w:pitch w:val="default"/>
    <w:sig w:usb0="00000000" w:usb1="00000000" w:usb2="00000000" w:usb3="00000000" w:csb0="00040000" w:csb1="00000000"/>
    <w:embedRegular r:id="rId4" w:fontKey="{D32FC250-75AB-43BB-AC86-7AF1DC8AB032}"/>
  </w:font>
  <w:font w:name="华文楷体">
    <w:panose1 w:val="02010600040101010101"/>
    <w:charset w:val="86"/>
    <w:family w:val="auto"/>
    <w:pitch w:val="default"/>
    <w:sig w:usb0="00000287" w:usb1="080F0000" w:usb2="00000000" w:usb3="00000000" w:csb0="0004009F" w:csb1="DFD70000"/>
    <w:embedRegular r:id="rId5" w:fontKey="{DB61EB85-A75A-4962-B3C1-8F2F5AC788E8}"/>
  </w:font>
  <w:font w:name="ΊΪΜε">
    <w:altName w:val="Segoe Print"/>
    <w:panose1 w:val="020B0604020202020204"/>
    <w:charset w:val="A1"/>
    <w:family w:val="auto"/>
    <w:pitch w:val="default"/>
    <w:sig w:usb0="00000000" w:usb1="00000000" w:usb2="00000000" w:usb3="00000000" w:csb0="00000008" w:csb1="00000000"/>
    <w:embedRegular r:id="rId6" w:fontKey="{90210DF5-BE62-4F0D-B873-349E67F66342}"/>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kMzgyNzdjMGVjMjg3YjM2Y2VmYzc5MTcyMzBjZTUifQ=="/>
  </w:docVars>
  <w:rsids>
    <w:rsidRoot w:val="00172A27"/>
    <w:rsid w:val="00031B84"/>
    <w:rsid w:val="0007571F"/>
    <w:rsid w:val="00086401"/>
    <w:rsid w:val="000B3A24"/>
    <w:rsid w:val="000C088D"/>
    <w:rsid w:val="000E0A0A"/>
    <w:rsid w:val="00100D1E"/>
    <w:rsid w:val="001041DD"/>
    <w:rsid w:val="0012370B"/>
    <w:rsid w:val="00123BA9"/>
    <w:rsid w:val="00153A42"/>
    <w:rsid w:val="0015678E"/>
    <w:rsid w:val="00172A27"/>
    <w:rsid w:val="00180716"/>
    <w:rsid w:val="0018661F"/>
    <w:rsid w:val="00195F5D"/>
    <w:rsid w:val="001B0A84"/>
    <w:rsid w:val="001D5E72"/>
    <w:rsid w:val="00206936"/>
    <w:rsid w:val="002617DE"/>
    <w:rsid w:val="002738F1"/>
    <w:rsid w:val="002C0BFD"/>
    <w:rsid w:val="002C6C45"/>
    <w:rsid w:val="002C75D6"/>
    <w:rsid w:val="002D02F7"/>
    <w:rsid w:val="002D59FE"/>
    <w:rsid w:val="003141BC"/>
    <w:rsid w:val="0031707A"/>
    <w:rsid w:val="00320CEF"/>
    <w:rsid w:val="00333E2E"/>
    <w:rsid w:val="003407BA"/>
    <w:rsid w:val="0036311E"/>
    <w:rsid w:val="003938A4"/>
    <w:rsid w:val="003B5D40"/>
    <w:rsid w:val="003D4CEF"/>
    <w:rsid w:val="003E15A0"/>
    <w:rsid w:val="003F19FE"/>
    <w:rsid w:val="004112AE"/>
    <w:rsid w:val="00437E27"/>
    <w:rsid w:val="00444F09"/>
    <w:rsid w:val="00447FAF"/>
    <w:rsid w:val="004607A8"/>
    <w:rsid w:val="0046248D"/>
    <w:rsid w:val="004777CE"/>
    <w:rsid w:val="00485E99"/>
    <w:rsid w:val="004B2BE5"/>
    <w:rsid w:val="004B4DC1"/>
    <w:rsid w:val="004B79FD"/>
    <w:rsid w:val="004C6FD8"/>
    <w:rsid w:val="004E09F3"/>
    <w:rsid w:val="004E51B4"/>
    <w:rsid w:val="004E6075"/>
    <w:rsid w:val="004F46EC"/>
    <w:rsid w:val="00536070"/>
    <w:rsid w:val="005576B7"/>
    <w:rsid w:val="005B4177"/>
    <w:rsid w:val="006161EF"/>
    <w:rsid w:val="00627CBC"/>
    <w:rsid w:val="00667C4B"/>
    <w:rsid w:val="006947DF"/>
    <w:rsid w:val="00696C5E"/>
    <w:rsid w:val="006B7040"/>
    <w:rsid w:val="006C1BAB"/>
    <w:rsid w:val="006C428C"/>
    <w:rsid w:val="006F1FD9"/>
    <w:rsid w:val="0071790B"/>
    <w:rsid w:val="00735F7B"/>
    <w:rsid w:val="007610A6"/>
    <w:rsid w:val="00766032"/>
    <w:rsid w:val="00787AF2"/>
    <w:rsid w:val="00787C5D"/>
    <w:rsid w:val="007930F3"/>
    <w:rsid w:val="007F1F00"/>
    <w:rsid w:val="008046EB"/>
    <w:rsid w:val="00812AE4"/>
    <w:rsid w:val="008143CB"/>
    <w:rsid w:val="00890077"/>
    <w:rsid w:val="00893A00"/>
    <w:rsid w:val="00895307"/>
    <w:rsid w:val="008C5084"/>
    <w:rsid w:val="008D4020"/>
    <w:rsid w:val="008F18EF"/>
    <w:rsid w:val="0091437C"/>
    <w:rsid w:val="00917BB5"/>
    <w:rsid w:val="00917CA2"/>
    <w:rsid w:val="0092593E"/>
    <w:rsid w:val="00967D50"/>
    <w:rsid w:val="009731C4"/>
    <w:rsid w:val="00973FA0"/>
    <w:rsid w:val="00980851"/>
    <w:rsid w:val="00982F84"/>
    <w:rsid w:val="009836A4"/>
    <w:rsid w:val="009852C7"/>
    <w:rsid w:val="0098649A"/>
    <w:rsid w:val="00992628"/>
    <w:rsid w:val="00A15F96"/>
    <w:rsid w:val="00A53A87"/>
    <w:rsid w:val="00A70CB8"/>
    <w:rsid w:val="00A75EBB"/>
    <w:rsid w:val="00AA10B5"/>
    <w:rsid w:val="00AA2A2D"/>
    <w:rsid w:val="00AB3ABF"/>
    <w:rsid w:val="00AB43D9"/>
    <w:rsid w:val="00AB686E"/>
    <w:rsid w:val="00AF2364"/>
    <w:rsid w:val="00B04F86"/>
    <w:rsid w:val="00B16C5C"/>
    <w:rsid w:val="00B36BC4"/>
    <w:rsid w:val="00B37A82"/>
    <w:rsid w:val="00B4185B"/>
    <w:rsid w:val="00BA151E"/>
    <w:rsid w:val="00BE5B4B"/>
    <w:rsid w:val="00C046E8"/>
    <w:rsid w:val="00C70023"/>
    <w:rsid w:val="00C70D64"/>
    <w:rsid w:val="00C717A1"/>
    <w:rsid w:val="00CA1F88"/>
    <w:rsid w:val="00D1471E"/>
    <w:rsid w:val="00D14837"/>
    <w:rsid w:val="00D2285F"/>
    <w:rsid w:val="00D5527C"/>
    <w:rsid w:val="00D567B3"/>
    <w:rsid w:val="00D577BE"/>
    <w:rsid w:val="00D650DC"/>
    <w:rsid w:val="00D736F6"/>
    <w:rsid w:val="00D73D7E"/>
    <w:rsid w:val="00D90205"/>
    <w:rsid w:val="00DA2A6D"/>
    <w:rsid w:val="00DB3248"/>
    <w:rsid w:val="00DB5160"/>
    <w:rsid w:val="00DF4FA5"/>
    <w:rsid w:val="00E100C3"/>
    <w:rsid w:val="00E13D8B"/>
    <w:rsid w:val="00E43D98"/>
    <w:rsid w:val="00E62586"/>
    <w:rsid w:val="00E712C1"/>
    <w:rsid w:val="00E84839"/>
    <w:rsid w:val="00E87DEE"/>
    <w:rsid w:val="00EA0AF4"/>
    <w:rsid w:val="00EA3933"/>
    <w:rsid w:val="00F128E8"/>
    <w:rsid w:val="00F176BB"/>
    <w:rsid w:val="00F3782E"/>
    <w:rsid w:val="00F40917"/>
    <w:rsid w:val="00F47DA3"/>
    <w:rsid w:val="00F749F5"/>
    <w:rsid w:val="00F84832"/>
    <w:rsid w:val="00FD02B5"/>
    <w:rsid w:val="00FD584F"/>
    <w:rsid w:val="00FE351E"/>
    <w:rsid w:val="02775C44"/>
    <w:rsid w:val="0E9D7094"/>
    <w:rsid w:val="115207CE"/>
    <w:rsid w:val="16A6796B"/>
    <w:rsid w:val="1A265DBE"/>
    <w:rsid w:val="20527BD7"/>
    <w:rsid w:val="27981421"/>
    <w:rsid w:val="2F7028B6"/>
    <w:rsid w:val="33D14A98"/>
    <w:rsid w:val="45511525"/>
    <w:rsid w:val="4B106811"/>
    <w:rsid w:val="4DA15C2E"/>
    <w:rsid w:val="4E0A44C1"/>
    <w:rsid w:val="510C231B"/>
    <w:rsid w:val="60A81C41"/>
    <w:rsid w:val="6C46529C"/>
    <w:rsid w:val="73C43FBE"/>
    <w:rsid w:val="7D337EF4"/>
    <w:rsid w:val="7E145337"/>
    <w:rsid w:val="7FF31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unhideWhenUsed/>
    <w:qFormat/>
    <w:uiPriority w:val="99"/>
    <w:pPr>
      <w:jc w:val="left"/>
    </w:pPr>
  </w:style>
  <w:style w:type="paragraph" w:styleId="4">
    <w:name w:val="Balloon Text"/>
    <w:basedOn w:val="1"/>
    <w:link w:val="13"/>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kern w:val="0"/>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unhideWhenUsed/>
    <w:qFormat/>
    <w:uiPriority w:val="99"/>
    <w:rPr>
      <w:sz w:val="21"/>
      <w:szCs w:val="21"/>
    </w:rPr>
  </w:style>
  <w:style w:type="character" w:customStyle="1" w:styleId="11">
    <w:name w:val="标题 1 字符"/>
    <w:link w:val="2"/>
    <w:qFormat/>
    <w:uiPriority w:val="9"/>
    <w:rPr>
      <w:b/>
      <w:bCs/>
      <w:kern w:val="44"/>
      <w:sz w:val="44"/>
      <w:szCs w:val="44"/>
    </w:rPr>
  </w:style>
  <w:style w:type="character" w:customStyle="1" w:styleId="12">
    <w:name w:val="批注文字 字符"/>
    <w:link w:val="3"/>
    <w:semiHidden/>
    <w:qFormat/>
    <w:uiPriority w:val="99"/>
    <w:rPr>
      <w:kern w:val="2"/>
      <w:sz w:val="21"/>
      <w:szCs w:val="22"/>
    </w:rPr>
  </w:style>
  <w:style w:type="character" w:customStyle="1" w:styleId="13">
    <w:name w:val="批注框文本 字符"/>
    <w:link w:val="4"/>
    <w:semiHidden/>
    <w:qFormat/>
    <w:uiPriority w:val="99"/>
    <w:rPr>
      <w:kern w:val="2"/>
      <w:sz w:val="18"/>
      <w:szCs w:val="18"/>
    </w:rPr>
  </w:style>
  <w:style w:type="character" w:customStyle="1" w:styleId="14">
    <w:name w:val="页脚 字符"/>
    <w:link w:val="5"/>
    <w:qFormat/>
    <w:uiPriority w:val="99"/>
    <w:rPr>
      <w:sz w:val="18"/>
      <w:szCs w:val="18"/>
    </w:rPr>
  </w:style>
  <w:style w:type="character" w:customStyle="1" w:styleId="15">
    <w:name w:val="页眉 字符"/>
    <w:link w:val="6"/>
    <w:qFormat/>
    <w:uiPriority w:val="99"/>
    <w:rPr>
      <w:sz w:val="18"/>
      <w:szCs w:val="18"/>
    </w:rPr>
  </w:style>
  <w:style w:type="paragraph" w:styleId="16">
    <w:name w:val="List Paragraph"/>
    <w:basedOn w:val="1"/>
    <w:qFormat/>
    <w:uiPriority w:val="99"/>
    <w:pPr>
      <w:spacing w:after="160" w:line="259" w:lineRule="auto"/>
      <w:ind w:left="720"/>
      <w:contextualSpacing/>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26</Pages>
  <Words>13750</Words>
  <Characters>19246</Characters>
  <Lines>183</Lines>
  <Paragraphs>51</Paragraphs>
  <TotalTime>3</TotalTime>
  <ScaleCrop>false</ScaleCrop>
  <LinksUpToDate>false</LinksUpToDate>
  <CharactersWithSpaces>21399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2023-11-22T03:06:00Z</dcterms:created>
  <dc:creator>Sky123.Org</dc:creator>
  <cp:lastModifiedBy> </cp:lastModifiedBy>
  <cp:lastPrinted>2020-06-15T03:32:00Z</cp:lastPrinted>
  <dcterms:modified xsi:type="dcterms:W3CDTF">2024-07-31T09:59:48Z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0070F627B1484F98B6B5D4A1BEE267A5_13</vt:lpwstr>
  </property>
</Properties>
</file>