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深圳市儿童医院设备采购需求参数表</w:t>
      </w:r>
    </w:p>
    <w:tbl>
      <w:tblPr>
        <w:tblStyle w:val="9"/>
        <w:tblW w:w="9654" w:type="dxa"/>
        <w:tblInd w:w="0" w:type="dxa"/>
        <w:tblBorders>
          <w:top w:val="single" w:color="3F3F3F" w:sz="4" w:space="0"/>
          <w:left w:val="single" w:color="3F3F3F" w:sz="4" w:space="0"/>
          <w:bottom w:val="single" w:color="3F3F3F" w:sz="4" w:space="0"/>
          <w:right w:val="single" w:color="3F3F3F" w:sz="4" w:space="0"/>
          <w:insideH w:val="single" w:color="3F3F3F" w:sz="4" w:space="0"/>
          <w:insideV w:val="single" w:color="3F3F3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161"/>
        <w:gridCol w:w="7833"/>
      </w:tblGrid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60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61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招标技术要求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restart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61" w:type="dxa"/>
            <w:vMerge w:val="restart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全身复苏模型</w:t>
            </w: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模拟人具有真实的解剖结构和真实的按压手感；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2. 可以用以下手法正确打开/关闭模拟病人气道: 压额提额、推下颚；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3.可通气：包括口对口、口对鼻、面罩通气（包括便携面罩、袋阀面罩BVM）；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4. 模拟病人可在通气时清楚显示胸部起伏情况，在学员正常通气或补充氧气的情况下模型能提供正确的反馈数据；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5. 模型的胸部硬度至少有3种选择，有大中小弹簧硬度，最硬弹簧为60公斤，最轻弹簧为30公斤；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6. 模型各项参数及反馈的指标分数符合AHA2010指南和AHA2015指南；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7. 模型可通过手动达到双侧感知颈动脉搏动；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8. 有不同的胸部硬度：模拟人的胸部硬度要求有至少3种选择，可以方便进行胸部硬度的更换；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▲9. 模型有传感器可测量：按压深度、按压间隙、按压频率、回弹是否充足等技术指标；可反馈通气量及通气频率；可反馈手放置位置的正确与否；可测量并给与0～100分的评分；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highlight w:val="none"/>
              </w:rPr>
              <w:t>▲10.可使用手机或平板电脑免费下载APP连接模型，精准反馈心肺复苏的按压深度、回弹、速率及通气等数据；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 xml:space="preserve">▲11. 模型配备可充电式锂电池，充电和供电通过新USB－C接口，充满电的电池运行时间34小时，充电时间：0%～90% 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需要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3小时，90%～100%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需要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1小时，电池寿命700次充电；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▲12.可升级心肺复苏反馈系统功能：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12.1.无线心肺复苏反馈系统应是便携式平板、坚固耐用、特制的装置，为模拟培训和心肺复苏训练而研发；液晶屏幕显示，有图形和文字两种表达方式；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12.2.内置的软件为高质量心肺复苏训练提供反馈。可以对复苏安妮 QCPR 模型进行实时反馈和总结性反馈。实时的心肺复苏反馈（包括按压深度能否达到100%即5cm以上深度，回弹是否完全，按压速度100次/分以上，具体吹气量百分比，流动时间等）。在培训环节中可管理 1 至 6 台QCPR 模型，能够保存和输出数据。可以记录按压深度/速度、不完全回弹、通气量/次数、CPR执行不连贯、流动时间、CPR循环，每段时间等AHA要求的信息；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13.所投产品生产厂家必须通过ISO 13485、ISO 9001、ISO 14001认证，并提供相应的认证证书复印件；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14.所投产品通过CE认证,提供复印件证明；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15.所投产品品牌需要在中国大陆拥有工厂以便提供售后服务，工厂应属于该品牌，并非授权第三方,需要提供工厂的营业执照。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restart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61" w:type="dxa"/>
            <w:vMerge w:val="restart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气道管理模型</w:t>
            </w: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1、可进行气管插管，人工呼吸，吸引和支气管镜检查训练时，气道管理模型可以真实地模仿多种病理、生理情况，气道解剖结构完全和真实一样；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2、真实的解剖特征可以更加有效地讲解Sellick手法和气管痉挛；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▲3、有插管手法错误报警声（模拟牙齿断裂）；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4、插管过深可引起右侧肺扩张；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5、可以提供清除气道阻塞和吸引液体异物的操作练习；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6、可观察肺部运动并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可进行呼吸音听诊练习；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7、模拟胃胀气和呕吐情况；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8、单独的气道解剖模型，可示教讲解气道解剖结构；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▲9、模拟气管痉挛，增加插管难度；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10、可以进行光导气管插管的使用练习；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11、真实模拟解剖及头部位置使你能有效地进行插管的训练；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12、可吸引液体异物, 提供实际处理气道阻塞训练；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13、模型固定在训练板上, 容易使用，每一个训练模型都装在硬箱内并配备有清洁剂；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▲14、独立的气道解剖模型可配合其它模型使用。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restart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210" w:leftChars="0"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61" w:type="dxa"/>
            <w:vMerge w:val="restart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婴儿复苏模型</w:t>
            </w: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模拟人具有真实的解剖结构和真实的按压手感，全身婴儿模型。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 xml:space="preserve">可以跟据国际复苏联盟（ILCOR）指南使用以下手法正确打开/关闭模拟病人气道: 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2.1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压额提颌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2.2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推下颚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可通气：包括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3.1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 xml:space="preserve">口对口 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3.2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口对鼻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3.3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面罩通气（包括便携面罩、袋阀面罩BVM）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通气时模型胸部可模拟适当的起伏：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4.1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在学员正常通气或根据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复苏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指南补充氧气的情况下模型能提供正确的反馈数据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 xml:space="preserve"> 可在不需要使用工具的情况下轻易移除及更换肺部及面皮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▲6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模型各项参数及反馈的指标分数符合AHA2015指南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after="0" w:line="240" w:lineRule="auto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7、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模型有传感器可测量：按压深度、按压间隙、按压频率、回弹是否充足等技术指标；可反馈通气量及通气频率；可反馈手放置位置的正确与否；可测量并给与0～100分的评分；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after="0" w:line="240" w:lineRule="auto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▲8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具有气道头，可进行声门上气道的置入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▲9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模型有传感器可测量：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210" w:leftChars="0"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9.1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按压深度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▲9.2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按压间隙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9.3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按压频率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9.4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回弹是否充足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▲9.5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可反馈通气量及通气频率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9.6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可反馈手放置位置的正误。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▲9.7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可以测量并给与0~100分的评分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highlight w:val="none"/>
              </w:rPr>
              <w:t>▲10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highlight w:val="none"/>
              </w:rPr>
              <w:t>可使用手机或平板电脑免费下载APP连接模型，精准反馈心肺复苏的按压深度、回弹、速率及通气等数据；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▲11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 xml:space="preserve">按压深度可以大于病人胸膛的1/3深度，深至1,5 英寸 (40毫米)  而不会 触及按压系统的底部  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▲12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使用锂电池，可进行充电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▲13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使用无线蓝牙技术，可连接平板电脑APP对心肺复苏的质量进行反馈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14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该模型是由美国心脏协会心血管急救委员会成员及“2013年AHA关于CPR质量共识声明”的合著者共同开发的，该评分标准基于临床证据，或复苏和教育专家的共识。需要提供美国心脏协会开具的证明文件。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restart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numPr>
                <w:ilvl w:val="0"/>
                <w:numId w:val="0"/>
              </w:numPr>
              <w:ind w:left="210" w:leftChars="0"/>
              <w:jc w:val="left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61" w:type="dxa"/>
            <w:vMerge w:val="restart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numPr>
                <w:ilvl w:val="0"/>
                <w:numId w:val="0"/>
              </w:numPr>
              <w:ind w:left="210" w:leftChars="0"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半身儿童复苏模型</w:t>
            </w: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1.模型具有准确的解剖标志和真实的按压手感使CPR技术的掌握更加精确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2.正确的头后仰/压额抬下颌动作才可打开气道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3.使用一次性气道可快速和容易替换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4.通气过量过快会导致胃部胀气，会有提示灯提示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5.逼真的通气模拟 ：通气时可见胸部起伏, 脖子可倾斜以便于通气，以及具有可选的声音反馈通气的正确与否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6.模型配有培训垫，也可以用作手提袋，便于携带外出进行培训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7.▲符合ERC和AHA两种指南评估要求，同时反馈装置还有30：2或15：2的按压比可选，以及增加5个预通气选项。评估以及得分符合儿科指南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8.▲具有传感器可评估按压深度0-60 mm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9.具有传感器可选择训练模式和考核模式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10.▲具有传感器可评估按压速率 100-120 comps/min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11.▲具有传感器可评估胸部是否完全回弹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12.▲具有传感器可评估按压中断时间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13.▲可与手机app连接，评估心肺复苏质量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14.▲可通过手机app可以同时连接至少6个模型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15.面皮可拆除 / 再用, 清洁容易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60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116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eastAsia="宋体" w:cs="Times New Roman"/>
                <w:lang w:val="en-US" w:eastAsia="zh-CN"/>
              </w:rPr>
            </w:pPr>
          </w:p>
        </w:tc>
        <w:tc>
          <w:tcPr>
            <w:tcW w:w="7833" w:type="dxa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16.▲该模型是由美国心脏协会心血管急救委员会成员及“2013年AHA关于CPR质量共识声明”的合著者共同开发的，该评分标准基于临床证据，或复苏和教育专家的共识。需要提供美国心脏协会开具的证明文件。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654" w:type="dxa"/>
            <w:gridSpan w:val="3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配置清单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5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eastAsia="宋体" w:cs="Times New Roman"/>
              </w:rPr>
            </w:pPr>
            <w:r>
              <w:rPr>
                <w:rFonts w:hint="eastAsia" w:eastAsia="宋体" w:cs="Times New Roman"/>
              </w:rPr>
              <w:t>成人心肺复苏模型：心肺复苏模型1个、面皮3个、肺袋</w:t>
            </w:r>
            <w:r>
              <w:rPr>
                <w:rFonts w:hint="eastAsia" w:eastAsia="宋体" w:cs="Times New Roman"/>
                <w:lang w:val="en-US" w:eastAsia="zh-CN"/>
              </w:rPr>
              <w:t>2</w:t>
            </w:r>
            <w:r>
              <w:rPr>
                <w:rFonts w:hint="eastAsia" w:eastAsia="宋体" w:cs="Times New Roman"/>
              </w:rPr>
              <w:t>个、</w:t>
            </w:r>
            <w:r>
              <w:rPr>
                <w:rFonts w:hint="eastAsia" w:eastAsia="宋体" w:cs="Times New Roman"/>
                <w:lang w:val="en-US" w:eastAsia="zh-CN"/>
              </w:rPr>
              <w:t>便携箱</w:t>
            </w:r>
            <w:r>
              <w:rPr>
                <w:rFonts w:hint="eastAsia" w:eastAsia="宋体" w:cs="Times New Roman"/>
              </w:rPr>
              <w:t>1张、说明书1本。</w:t>
            </w:r>
          </w:p>
          <w:p>
            <w:pPr>
              <w:widowControl/>
              <w:ind w:firstLine="0" w:firstLineChars="0"/>
              <w:jc w:val="left"/>
              <w:rPr>
                <w:rFonts w:hint="default" w:eastAsia="宋体" w:cs="Times New Roman"/>
                <w:lang w:val="en-US" w:eastAsia="zh-CN"/>
              </w:rPr>
            </w:pPr>
            <w:r>
              <w:rPr>
                <w:rFonts w:hint="eastAsia" w:eastAsia="宋体" w:cs="Times New Roman"/>
                <w:lang w:val="en-US" w:eastAsia="zh-CN"/>
              </w:rPr>
              <w:t>气道管理模型：头部</w:t>
            </w:r>
            <w:r>
              <w:rPr>
                <w:rFonts w:hint="eastAsia" w:eastAsia="宋体" w:cs="Times New Roman"/>
              </w:rPr>
              <w:t>模型1个、</w:t>
            </w:r>
            <w:r>
              <w:rPr>
                <w:rFonts w:hint="eastAsia" w:eastAsia="宋体" w:cs="Times New Roman"/>
                <w:lang w:val="en-US" w:eastAsia="zh-CN"/>
              </w:rPr>
              <w:t>便携箱子1个、气道润滑剂1支、</w:t>
            </w:r>
            <w:r>
              <w:rPr>
                <w:rFonts w:hint="eastAsia" w:eastAsia="宋体" w:cs="Times New Roman"/>
              </w:rPr>
              <w:t>说明书1本。</w:t>
            </w:r>
            <w:r>
              <w:rPr>
                <w:rFonts w:hint="eastAsia" w:eastAsia="宋体" w:cs="Times New Roman"/>
              </w:rPr>
              <w:br w:type="textWrapping"/>
            </w:r>
            <w:r>
              <w:rPr>
                <w:rFonts w:hint="eastAsia" w:eastAsia="宋体" w:cs="Times New Roman"/>
                <w:lang w:val="en-US" w:eastAsia="zh-CN"/>
              </w:rPr>
              <w:t>婴儿复苏模型：婴儿心肺复苏模型1个、便携箱1个、说明书1本。</w:t>
            </w:r>
          </w:p>
          <w:p>
            <w:pPr>
              <w:widowControl/>
              <w:ind w:firstLine="0" w:firstLine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eastAsia="宋体" w:cs="Times New Roman"/>
                <w:lang w:val="en-US" w:eastAsia="zh-CN"/>
              </w:rPr>
              <w:t>半身儿童复苏模型：半身儿童模型1个、说明书1本</w:t>
            </w:r>
          </w:p>
        </w:tc>
      </w:tr>
    </w:tbl>
    <w:p>
      <w:pPr>
        <w:pStyle w:val="3"/>
        <w:bidi w:val="0"/>
        <w:jc w:val="center"/>
        <w:rPr>
          <w:kern w:val="0"/>
        </w:rPr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eastAsia="zh-CN"/>
        </w:rPr>
        <w:t>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9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  <w:t>/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9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</w:tr>
    </w:tbl>
    <w:p>
      <w:pPr>
        <w:jc w:val="both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Bodoni MT Poster Compressed">
    <w:panose1 w:val="02070706080601050204"/>
    <w:charset w:val="00"/>
    <w:family w:val="auto"/>
    <w:pitch w:val="default"/>
    <w:sig w:usb0="00000003" w:usb1="00000000" w:usb2="00000000" w:usb3="00000000" w:csb0="2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99F974"/>
    <w:multiLevelType w:val="singleLevel"/>
    <w:tmpl w:val="C199F97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10AF1CE4"/>
    <w:rsid w:val="15025A3C"/>
    <w:rsid w:val="20527BD7"/>
    <w:rsid w:val="24FC63FB"/>
    <w:rsid w:val="456A163F"/>
    <w:rsid w:val="4FE316D3"/>
    <w:rsid w:val="54F927D7"/>
    <w:rsid w:val="59513251"/>
    <w:rsid w:val="5E086A6C"/>
    <w:rsid w:val="69A90095"/>
    <w:rsid w:val="6D8A48D5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4"/>
    <w:unhideWhenUsed/>
    <w:qFormat/>
    <w:uiPriority w:val="99"/>
    <w:pPr>
      <w:jc w:val="left"/>
    </w:pPr>
  </w:style>
  <w:style w:type="paragraph" w:styleId="5">
    <w:name w:val="Body Text"/>
    <w:basedOn w:val="1"/>
    <w:autoRedefine/>
    <w:unhideWhenUsed/>
    <w:qFormat/>
    <w:uiPriority w:val="0"/>
    <w:pPr>
      <w:jc w:val="left"/>
    </w:pPr>
    <w:rPr>
      <w:rFonts w:ascii="Times New Roman" w:hAnsi="Times New Roman" w:eastAsia="PMingLiU" w:cs="Times New Roman"/>
      <w:b/>
      <w:bCs/>
      <w:sz w:val="20"/>
      <w:szCs w:val="20"/>
    </w:rPr>
  </w:style>
  <w:style w:type="paragraph" w:styleId="6">
    <w:name w:val="Balloon Text"/>
    <w:basedOn w:val="1"/>
    <w:link w:val="15"/>
    <w:autoRedefine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10">
    <w:name w:val="Table Grid"/>
    <w:basedOn w:val="9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3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4">
    <w:name w:val="批注文字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5">
    <w:name w:val="批注框文本 字符"/>
    <w:link w:val="6"/>
    <w:autoRedefine/>
    <w:semiHidden/>
    <w:qFormat/>
    <w:uiPriority w:val="99"/>
    <w:rPr>
      <w:kern w:val="2"/>
      <w:sz w:val="18"/>
      <w:szCs w:val="18"/>
    </w:rPr>
  </w:style>
  <w:style w:type="character" w:customStyle="1" w:styleId="16">
    <w:name w:val="页脚 字符"/>
    <w:link w:val="7"/>
    <w:autoRedefine/>
    <w:qFormat/>
    <w:uiPriority w:val="99"/>
    <w:rPr>
      <w:sz w:val="18"/>
      <w:szCs w:val="18"/>
    </w:rPr>
  </w:style>
  <w:style w:type="character" w:customStyle="1" w:styleId="17">
    <w:name w:val="页眉 字符"/>
    <w:link w:val="8"/>
    <w:autoRedefine/>
    <w:qFormat/>
    <w:uiPriority w:val="99"/>
    <w:rPr>
      <w:sz w:val="18"/>
      <w:szCs w:val="18"/>
    </w:rPr>
  </w:style>
  <w:style w:type="paragraph" w:styleId="1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2518</Words>
  <Characters>2780</Characters>
  <Lines>10</Lines>
  <Paragraphs>2</Paragraphs>
  <TotalTime>12</TotalTime>
  <ScaleCrop>false</ScaleCrop>
  <LinksUpToDate>false</LinksUpToDate>
  <CharactersWithSpaces>2832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2024-07-16T06:57:23Z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CBCF85B685CE4956B16D555D6BC99A23_13</vt:lpwstr>
  </property>
</Properties>
</file>