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</w:pPr>
      <w:r>
        <w:rPr>
          <w:rFonts w:hint="eastAsia"/>
        </w:rPr>
        <w:t>深圳市儿童医院设备采购需求参数表</w:t>
      </w:r>
    </w:p>
    <w:tbl>
      <w:tblPr>
        <w:tblStyle w:val="9"/>
        <w:tblW w:w="9654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335"/>
        <w:gridCol w:w="76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335" w:type="dxa"/>
            <w:tcBorders>
              <w:top w:val="single" w:color="3F3F3F" w:sz="4" w:space="0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rPr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7659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rPr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招标事项及要求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b/>
                <w:bCs/>
                <w:sz w:val="22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2"/>
                <w:szCs w:val="24"/>
              </w:rPr>
              <w:t>1</w:t>
            </w:r>
          </w:p>
        </w:tc>
        <w:tc>
          <w:tcPr>
            <w:tcW w:w="1335" w:type="dxa"/>
            <w:vMerge w:val="restart"/>
            <w:tcBorders>
              <w:top w:val="single" w:color="3F3F3F" w:sz="4" w:space="0"/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4"/>
              </w:rPr>
            </w:pPr>
            <w:bookmarkStart w:id="0" w:name="OLE_LINK1"/>
            <w:r>
              <w:rPr>
                <w:rFonts w:hint="default" w:ascii="Times New Roman" w:hAnsi="Times New Roman" w:eastAsia="宋体" w:cs="Times New Roman"/>
                <w:b/>
                <w:bCs/>
                <w:sz w:val="22"/>
                <w:szCs w:val="24"/>
              </w:rPr>
              <w:t>采血管智能备管系统</w:t>
            </w:r>
            <w:bookmarkEnd w:id="0"/>
          </w:p>
        </w:tc>
        <w:tc>
          <w:tcPr>
            <w:tcW w:w="7659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r>
              <w:rPr>
                <w:rFonts w:hint="eastAsia"/>
              </w:rPr>
              <w:t>1.▲取号方式：根据医院需求进行量身定做，提供医院所需的凭证进行登记的功能，凭证的种类应包含：人脸识别、诊疗卡、身份证、发票、二维码。（提供实际用户使用场景图片佐证，并注明用户名称以及联系方式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/>
        </w:tc>
        <w:tc>
          <w:tcPr>
            <w:tcW w:w="1335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/>
        </w:tc>
        <w:tc>
          <w:tcPr>
            <w:tcW w:w="7659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r>
              <w:rPr>
                <w:rFonts w:hint="eastAsia"/>
              </w:rPr>
              <w:t xml:space="preserve">2.患者自助登记时可提前识别患者、检验项目的种类，根据规则进行人员分流。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/>
        </w:tc>
        <w:tc>
          <w:tcPr>
            <w:tcW w:w="1335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/>
        </w:tc>
        <w:tc>
          <w:tcPr>
            <w:tcW w:w="7659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r>
              <w:rPr>
                <w:rFonts w:hint="eastAsia"/>
              </w:rPr>
              <w:t>3.语音叫号软件国内语言环境下开发、支持中英文、数字的语音自动合成，叫号信息内容可灵活变更、设定。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/>
        </w:tc>
        <w:tc>
          <w:tcPr>
            <w:tcW w:w="1335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/>
        </w:tc>
        <w:tc>
          <w:tcPr>
            <w:tcW w:w="7659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r>
              <w:rPr>
                <w:rFonts w:hint="eastAsia"/>
              </w:rPr>
              <w:t>4.可实现预叫号、重复叫号等，叫号次数、模式可调。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/>
        </w:tc>
        <w:tc>
          <w:tcPr>
            <w:tcW w:w="1335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/>
        </w:tc>
        <w:tc>
          <w:tcPr>
            <w:tcW w:w="7659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r>
              <w:rPr>
                <w:rFonts w:hint="eastAsia"/>
              </w:rPr>
              <w:t>5.▲通过排队叫号系统实现预约采血，实现形式≥2种。（提供实际用户使用场景图片佐证，并注明用户名称以及联系方式）。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/>
        </w:tc>
        <w:tc>
          <w:tcPr>
            <w:tcW w:w="1335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/>
        </w:tc>
        <w:tc>
          <w:tcPr>
            <w:tcW w:w="7659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r>
              <w:rPr>
                <w:rFonts w:hint="eastAsia"/>
              </w:rPr>
              <w:t>6.具备急诊、孕妇、老人等特殊患者优先功能，按需设置优先级别、分时段优先规则。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/>
        </w:tc>
        <w:tc>
          <w:tcPr>
            <w:tcW w:w="1335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/>
        </w:tc>
        <w:tc>
          <w:tcPr>
            <w:tcW w:w="7659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r>
              <w:rPr>
                <w:rFonts w:hint="eastAsia"/>
              </w:rPr>
              <w:t>7.智能分配：队列调度，根据医院要求制定患者队列分配规则。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/>
        </w:tc>
        <w:tc>
          <w:tcPr>
            <w:tcW w:w="1335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/>
        </w:tc>
        <w:tc>
          <w:tcPr>
            <w:tcW w:w="7659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r>
              <w:rPr>
                <w:rFonts w:hint="eastAsia"/>
              </w:rPr>
              <w:t>8.过号提醒：显示过号信息，并能按照医院需要设置过号处理原则。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/>
        </w:tc>
        <w:tc>
          <w:tcPr>
            <w:tcW w:w="1335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/>
        </w:tc>
        <w:tc>
          <w:tcPr>
            <w:tcW w:w="7659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r>
              <w:rPr>
                <w:rFonts w:hint="eastAsia"/>
              </w:rPr>
              <w:t>9.▲主机安装方式：每一个采血窗口旁放置一台主机，主机间并联运行，互不干扰，主机直接放置于台面或放置柜面，非落地式，不占地面空间，主机尺寸≤600*250*450mm。（提供实际用户使用场景图片佐证，标明产品尺寸，并注明用户名称以及联系方式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/>
        </w:tc>
        <w:tc>
          <w:tcPr>
            <w:tcW w:w="1335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/>
        </w:tc>
        <w:tc>
          <w:tcPr>
            <w:tcW w:w="7659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r>
              <w:rPr>
                <w:rFonts w:hint="eastAsia"/>
              </w:rPr>
              <w:t>10.试管种类：不含拓展、外挂模块，单台设备7-14种，同一种采血管可放置在多个试管仓，按需设定。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/>
        </w:tc>
        <w:tc>
          <w:tcPr>
            <w:tcW w:w="1335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/>
        </w:tc>
        <w:tc>
          <w:tcPr>
            <w:tcW w:w="7659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r>
              <w:rPr>
                <w:rFonts w:hint="eastAsia"/>
              </w:rPr>
              <w:t>11.▲处理能力：单台主机备管速度≥1400支/小时，系统处理速度与主机数量成正比。（提供实际用户使用场景产品工作视频或视频截图佐证，标明尺寸，并注明用户名称以及联系方式）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/>
        </w:tc>
        <w:tc>
          <w:tcPr>
            <w:tcW w:w="1335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/>
        </w:tc>
        <w:tc>
          <w:tcPr>
            <w:tcW w:w="7659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r>
              <w:rPr>
                <w:rFonts w:hint="eastAsia"/>
              </w:rPr>
              <w:t>12.原标签覆盖功能：自动识别原标签的位置，在原标签的位置进行粘贴试管，保留观察窗口。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/>
        </w:tc>
        <w:tc>
          <w:tcPr>
            <w:tcW w:w="1335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/>
        </w:tc>
        <w:tc>
          <w:tcPr>
            <w:tcW w:w="7659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r>
              <w:rPr>
                <w:rFonts w:hint="eastAsia"/>
              </w:rPr>
              <w:t>13.每个试管仓仓位上有采血管类型指引标识，提示使用者放入正确类型的试管。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/>
        </w:tc>
        <w:tc>
          <w:tcPr>
            <w:tcW w:w="1335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/>
        </w:tc>
        <w:tc>
          <w:tcPr>
            <w:tcW w:w="7659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r>
              <w:rPr>
                <w:rFonts w:hint="eastAsia"/>
              </w:rPr>
              <w:t>14.▲原装主机侧面具有固定嵌入式条码阅读器，非拓展性：可及时核对患者信息，以杜绝混淆。（提供实际用户使用场景图片佐证，并注明用户名称以及联系方式）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/>
        </w:tc>
        <w:tc>
          <w:tcPr>
            <w:tcW w:w="1335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/>
        </w:tc>
        <w:tc>
          <w:tcPr>
            <w:tcW w:w="7659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r>
              <w:rPr>
                <w:rFonts w:hint="eastAsia"/>
              </w:rPr>
              <w:t>15.支持试管余量探测，用完设备报警。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/>
        </w:tc>
        <w:tc>
          <w:tcPr>
            <w:tcW w:w="1335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/>
        </w:tc>
        <w:tc>
          <w:tcPr>
            <w:tcW w:w="7659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r>
              <w:rPr>
                <w:rFonts w:hint="eastAsia"/>
              </w:rPr>
              <w:t>16.支持特殊容器（无法适用于设备的标本容器）标签打印功能。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/>
        </w:tc>
        <w:tc>
          <w:tcPr>
            <w:tcW w:w="1335" w:type="dxa"/>
            <w:vMerge w:val="continue"/>
            <w:tcBorders>
              <w:left w:val="single" w:color="3F3F3F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/>
        </w:tc>
        <w:tc>
          <w:tcPr>
            <w:tcW w:w="7659" w:type="dxa"/>
            <w:tcBorders>
              <w:top w:val="single" w:color="3F3F3F" w:sz="4" w:space="0"/>
              <w:left w:val="nil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r>
              <w:rPr>
                <w:rFonts w:hint="eastAsia"/>
              </w:rPr>
              <w:t>17.▲试管规格：直径：12～16mm，长度：75～120mm，支持所有品牌的常用采血管，单个试管仓可同时兼容管径12~13mm，14~16mm的试管。试管仓兼容塑胶盖符合要求的尿管.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szCs w:val="21"/>
              </w:rPr>
              <w:t>兼容75mm末梢采血管</w:t>
            </w:r>
            <w:r>
              <w:rPr>
                <w:rFonts w:hint="eastAsia"/>
              </w:rPr>
              <w:t>（提供实际用户使用场景产品工作视频或视频截图佐证，标明尺寸，并注明用户名称以及联系方式）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/>
        </w:tc>
        <w:tc>
          <w:tcPr>
            <w:tcW w:w="1335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/>
        </w:tc>
        <w:tc>
          <w:tcPr>
            <w:tcW w:w="76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r>
              <w:rPr>
                <w:rFonts w:hint="eastAsia"/>
              </w:rPr>
              <w:t>18.</w:t>
            </w:r>
            <w:r>
              <w:rPr>
                <w:rFonts w:hint="eastAsia" w:ascii="宋体" w:hAnsi="宋体"/>
                <w:szCs w:val="21"/>
              </w:rPr>
              <w:t>试管仓可视化：设备工作时可随时观察试管仓内运行状态，便于及时加载试管，试管仓门为防尘防污可视化盖板。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/>
        </w:tc>
        <w:tc>
          <w:tcPr>
            <w:tcW w:w="1335" w:type="dxa"/>
            <w:vMerge w:val="continue"/>
            <w:tcBorders>
              <w:top w:val="single" w:color="auto" w:sz="4" w:space="0"/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/>
        </w:tc>
        <w:tc>
          <w:tcPr>
            <w:tcW w:w="7659" w:type="dxa"/>
            <w:tcBorders>
              <w:top w:val="single" w:color="auto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r>
              <w:rPr>
                <w:rFonts w:hint="eastAsia"/>
              </w:rPr>
              <w:t>19.▲设备内嵌LCD触摸屏：实时显示设备运行状态、相关提示信息。非外接屏幕，能够根据故障等级，具备分级报警功能，通过屏幕一步一步指导用户处理故障。（提供实际用户使用场景图片佐证，并注明用户名称以及联系方式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/>
        </w:tc>
        <w:tc>
          <w:tcPr>
            <w:tcW w:w="1335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/>
        </w:tc>
        <w:tc>
          <w:tcPr>
            <w:tcW w:w="7659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r>
              <w:rPr>
                <w:rFonts w:hint="eastAsia"/>
              </w:rPr>
              <w:t>20.▲取管方式：水平堆叠从主机设备侧面取管，支持不停机加管。每个患者需要的试管及特殊标签都制备在独立试管托盘盒里，可连托盘盒整体转运，有效避免漏管，漏取。（提供实际用户使用场景产品工作视频或视频截图佐证，并注明用户名称以及联系方式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/>
        </w:tc>
        <w:tc>
          <w:tcPr>
            <w:tcW w:w="1335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/>
        </w:tc>
        <w:tc>
          <w:tcPr>
            <w:tcW w:w="7659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r>
              <w:rPr>
                <w:rFonts w:hint="eastAsia"/>
              </w:rPr>
              <w:t>21.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/>
              </w:rPr>
              <w:t>▲</w:t>
            </w:r>
            <w:r>
              <w:rPr>
                <w:rFonts w:hint="eastAsia" w:ascii="宋体" w:hAnsi="宋体"/>
                <w:szCs w:val="21"/>
              </w:rPr>
              <w:t>试管装载方式：直接批量抓取试管水平放入试管仓内，无需区分试管头尾，非逐支放入试管仓，非抽屉式装载试管。支持不停机加管。</w:t>
            </w:r>
            <w:r>
              <w:rPr>
                <w:rFonts w:hint="eastAsia"/>
              </w:rPr>
              <w:t>（提供实际用户使用场景产品工作视频或视频截图佐证，并注明用户名称以及联系方式）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/>
        </w:tc>
        <w:tc>
          <w:tcPr>
            <w:tcW w:w="1335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/>
        </w:tc>
        <w:tc>
          <w:tcPr>
            <w:tcW w:w="7659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r>
              <w:rPr>
                <w:rFonts w:hint="eastAsia"/>
              </w:rPr>
              <w:t>22.▲打印机模块：整机内嵌≥3台打印机，≥2台标签打印机、≥1台回执单打印机。每台主机容纳≥2卷标签纸，每卷≥1500张标签。（提供实际用户使用场景图片佐证，并注明用户名称以及联系方式）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/>
        </w:tc>
        <w:tc>
          <w:tcPr>
            <w:tcW w:w="1335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/>
        </w:tc>
        <w:tc>
          <w:tcPr>
            <w:tcW w:w="7659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r>
              <w:rPr>
                <w:rFonts w:hint="eastAsia"/>
              </w:rPr>
              <w:t>23.▲备管防错系统：内置摄像头，通过核对管帽颜色对试管放置错误、准备错误进行验证，出错时报警并提示纠正处理。（提供实际用户使用场景产品工作视频或视频截图佐证，并注明用户名称以及联系方式）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/>
        </w:tc>
        <w:tc>
          <w:tcPr>
            <w:tcW w:w="1335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/>
        </w:tc>
        <w:tc>
          <w:tcPr>
            <w:tcW w:w="7659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r>
              <w:rPr>
                <w:rFonts w:hint="eastAsia"/>
              </w:rPr>
              <w:t xml:space="preserve">24.试管标签内容可设，标签粘贴位置可设。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/>
        </w:tc>
        <w:tc>
          <w:tcPr>
            <w:tcW w:w="1335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/>
        </w:tc>
        <w:tc>
          <w:tcPr>
            <w:tcW w:w="7659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r>
              <w:rPr>
                <w:rFonts w:hint="eastAsia"/>
              </w:rPr>
              <w:t>25.支持条码类型：code128、code39、JAN、2of5、NW-7；支持文字类型：英文、数字、汉字、标点符号等。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/>
        </w:tc>
        <w:tc>
          <w:tcPr>
            <w:tcW w:w="1335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/>
        </w:tc>
        <w:tc>
          <w:tcPr>
            <w:tcW w:w="7659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r>
              <w:rPr>
                <w:rFonts w:hint="eastAsia"/>
              </w:rPr>
              <w:t>26.▲原装主机具有固定嵌入式热敏票据打印机，可输出采血回执信息，非标签形式。（提供实际用户使用场景图片佐证，并注明用户名称以及联系方式）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/>
        </w:tc>
        <w:tc>
          <w:tcPr>
            <w:tcW w:w="1335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/>
        </w:tc>
        <w:tc>
          <w:tcPr>
            <w:tcW w:w="7659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r>
              <w:rPr>
                <w:rFonts w:hint="eastAsia"/>
              </w:rPr>
              <w:t>27.标签打印格式可随意设定，支持0/90/180/270度旋转、线、面、框、黑白反转、网格打印、连续打印、文字补正。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/>
        </w:tc>
        <w:tc>
          <w:tcPr>
            <w:tcW w:w="1335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/>
        </w:tc>
        <w:tc>
          <w:tcPr>
            <w:tcW w:w="7659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r>
              <w:rPr>
                <w:rFonts w:hint="eastAsia"/>
              </w:rPr>
              <w:t>28.与医院信息系统HIS/LIS对接，护士可完成患者呼叫、采血、管理和数据管理等工作。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/>
        </w:tc>
        <w:tc>
          <w:tcPr>
            <w:tcW w:w="1335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/>
        </w:tc>
        <w:tc>
          <w:tcPr>
            <w:tcW w:w="7659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r>
              <w:rPr>
                <w:rFonts w:hint="eastAsia"/>
              </w:rPr>
              <w:t>29.采血完成后，扫描试管条码等凭证自动记录采血时间，满足临床实验室质量管理规范要求。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/>
        </w:tc>
        <w:tc>
          <w:tcPr>
            <w:tcW w:w="1335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/>
        </w:tc>
        <w:tc>
          <w:tcPr>
            <w:tcW w:w="7659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r>
              <w:rPr>
                <w:rFonts w:hint="eastAsia"/>
              </w:rPr>
              <w:t>30.▲所有软件均为生产厂家自主开发，拥有计算机软件著作权登记证书，软件认证内容应包括：自助采血登记、备管控制、队列调度、采血管理、后台管理，证书≥5份。（提供相关证书复印件佐证）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/>
        </w:tc>
        <w:tc>
          <w:tcPr>
            <w:tcW w:w="1335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/>
        </w:tc>
        <w:tc>
          <w:tcPr>
            <w:tcW w:w="7659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r>
              <w:rPr>
                <w:rFonts w:hint="eastAsia"/>
              </w:rPr>
              <w:t>31.统计功能：可针对工作量、患者数量、时间节点、耗材用量等数据进行多种统计，可根据需要按年、月、周、日等维度自动生成各种统计报表。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/>
        </w:tc>
        <w:tc>
          <w:tcPr>
            <w:tcW w:w="1335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/>
        </w:tc>
        <w:tc>
          <w:tcPr>
            <w:tcW w:w="7659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r>
              <w:rPr>
                <w:rFonts w:hint="eastAsia"/>
              </w:rPr>
              <w:t>32.具备患者信息查询、患者采血状态查询等功能。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/>
        </w:tc>
        <w:tc>
          <w:tcPr>
            <w:tcW w:w="1335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/>
        </w:tc>
        <w:tc>
          <w:tcPr>
            <w:tcW w:w="7659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r>
              <w:rPr>
                <w:rFonts w:hint="eastAsia"/>
              </w:rPr>
              <w:t>33.护士可使用扫描平台识别条码，核对被采血者人员信息，以杜绝混淆。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/>
        </w:tc>
        <w:tc>
          <w:tcPr>
            <w:tcW w:w="1335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/>
        </w:tc>
        <w:tc>
          <w:tcPr>
            <w:tcW w:w="7659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r>
              <w:rPr>
                <w:rFonts w:hint="eastAsia"/>
              </w:rPr>
              <w:t>34.采血完成后可打印回执单，回执单信息可定制。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/>
        </w:tc>
        <w:tc>
          <w:tcPr>
            <w:tcW w:w="1335" w:type="dxa"/>
            <w:vMerge w:val="continue"/>
            <w:tcBorders>
              <w:left w:val="single" w:color="3F3F3F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/>
        </w:tc>
        <w:tc>
          <w:tcPr>
            <w:tcW w:w="7659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r>
              <w:rPr>
                <w:rFonts w:hint="eastAsia"/>
              </w:rPr>
              <w:t>35.可一键切换至应急模式，启动备用标签打印机打印标签，手工粘贴试管，保证采血的进行。</w:t>
            </w:r>
          </w:p>
        </w:tc>
      </w:tr>
    </w:tbl>
    <w:p/>
    <w:p>
      <w:r>
        <w:br w:type="page"/>
      </w:r>
    </w:p>
    <w:p>
      <w:pPr>
        <w:rPr>
          <w:rFonts w:ascii="黑体" w:hAnsi="黑体" w:eastAsia="黑体" w:cs="黑体"/>
          <w:b/>
          <w:bCs/>
          <w:kern w:val="44"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kern w:val="44"/>
          <w:sz w:val="44"/>
          <w:szCs w:val="44"/>
        </w:rPr>
        <w:t>配置清单：</w:t>
      </w:r>
    </w:p>
    <w:p>
      <w:pPr>
        <w:rPr>
          <w:rFonts w:ascii="Times New Roman" w:hAnsi="Times New Roman"/>
          <w:kern w:val="0"/>
          <w:sz w:val="20"/>
          <w:szCs w:val="20"/>
        </w:rPr>
      </w:pPr>
      <w:r>
        <w:fldChar w:fldCharType="begin"/>
      </w:r>
      <w:r>
        <w:instrText xml:space="preserve"> LINK Excel.Sheet.12 "C:\\Users\\Lenovo\\Desktop\\第二儿童-HENm-一拖一-智能采血管理系统配置清单（门诊）.xlsx" "采血!R3C2:R19C6" \a \f 4 \h </w:instrText>
      </w:r>
      <w:r>
        <w:fldChar w:fldCharType="separate"/>
      </w:r>
    </w:p>
    <w:tbl>
      <w:tblPr>
        <w:tblStyle w:val="9"/>
        <w:tblW w:w="904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0"/>
        <w:gridCol w:w="680"/>
        <w:gridCol w:w="4540"/>
        <w:gridCol w:w="1000"/>
        <w:gridCol w:w="16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90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黑体" w:hAnsi="黑体" w:eastAsia="黑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2"/>
                <w:szCs w:val="32"/>
              </w:rPr>
              <w:t>采血管智能备管系统配置清单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11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9D9D9"/>
            <w:vAlign w:val="center"/>
          </w:tcPr>
          <w:p>
            <w:pPr>
              <w:widowControl/>
              <w:rPr>
                <w:rFonts w:hint="eastAsia" w:ascii="黑体" w:hAnsi="黑体" w:eastAsia="黑体" w:cs="宋体"/>
                <w:b/>
                <w:bCs/>
                <w:color w:val="0000CC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CC"/>
                <w:kern w:val="0"/>
                <w:sz w:val="24"/>
                <w:szCs w:val="24"/>
              </w:rPr>
              <w:t>系统模块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D9D9D9"/>
            <w:vAlign w:val="center"/>
          </w:tcPr>
          <w:p>
            <w:pPr>
              <w:widowControl/>
              <w:rPr>
                <w:rFonts w:hint="eastAsia" w:ascii="黑体" w:hAnsi="黑体" w:eastAsia="黑体" w:cs="宋体"/>
                <w:b/>
                <w:bCs/>
                <w:color w:val="0000CC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CC"/>
                <w:kern w:val="0"/>
                <w:sz w:val="24"/>
                <w:szCs w:val="24"/>
              </w:rPr>
              <w:t>序号</w:t>
            </w:r>
          </w:p>
        </w:tc>
        <w:tc>
          <w:tcPr>
            <w:tcW w:w="4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D9D9D9"/>
            <w:vAlign w:val="center"/>
          </w:tcPr>
          <w:p>
            <w:pPr>
              <w:widowControl/>
              <w:rPr>
                <w:rFonts w:hint="eastAsia" w:ascii="黑体" w:hAnsi="黑体" w:eastAsia="黑体" w:cs="宋体"/>
                <w:b/>
                <w:bCs/>
                <w:color w:val="0000CC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CC"/>
                <w:kern w:val="0"/>
                <w:sz w:val="24"/>
                <w:szCs w:val="24"/>
              </w:rPr>
              <w:t>名称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D9D9D9"/>
            <w:vAlign w:val="center"/>
          </w:tcPr>
          <w:p>
            <w:pPr>
              <w:widowControl/>
              <w:rPr>
                <w:rFonts w:hint="eastAsia" w:ascii="黑体" w:hAnsi="黑体" w:eastAsia="黑体" w:cs="宋体"/>
                <w:b/>
                <w:bCs/>
                <w:color w:val="0000CC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CC"/>
                <w:kern w:val="0"/>
                <w:sz w:val="24"/>
                <w:szCs w:val="24"/>
              </w:rPr>
              <w:t>单位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D9D9D9"/>
            <w:vAlign w:val="center"/>
          </w:tcPr>
          <w:p>
            <w:pPr>
              <w:widowControl/>
              <w:rPr>
                <w:rFonts w:hint="eastAsia" w:ascii="黑体" w:hAnsi="黑体" w:eastAsia="黑体" w:cs="宋体"/>
                <w:b/>
                <w:bCs/>
                <w:color w:val="0000CC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CC"/>
                <w:kern w:val="0"/>
                <w:sz w:val="24"/>
                <w:szCs w:val="24"/>
              </w:rPr>
              <w:t>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11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智能排队管理系统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4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触摸取号机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台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11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4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排队信息集中显示屏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台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11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4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语音系统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11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4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队列调度及控制软件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1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智能备管贴标模块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4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智能备管贴标主机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台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1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4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控制软件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11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7</w:t>
            </w:r>
          </w:p>
        </w:tc>
        <w:tc>
          <w:tcPr>
            <w:tcW w:w="4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设备放置台</w:t>
            </w:r>
          </w:p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（含医疗垃圾，生活垃圾柜）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张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11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智能采血窗口模块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4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窗口显示系统（窗口屏）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块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11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9</w:t>
            </w:r>
          </w:p>
        </w:tc>
        <w:tc>
          <w:tcPr>
            <w:tcW w:w="4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窗口操作系统</w:t>
            </w:r>
          </w:p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（采血操作电脑、回执单打印机、热敏标签打印机、扫描枪）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台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1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10</w:t>
            </w:r>
          </w:p>
        </w:tc>
        <w:tc>
          <w:tcPr>
            <w:tcW w:w="4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采血管理软件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4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台上台</w:t>
            </w:r>
          </w:p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（放置电脑等物品）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1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4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带轨道多功能采血桌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11</w:t>
            </w:r>
          </w:p>
        </w:tc>
        <w:tc>
          <w:tcPr>
            <w:tcW w:w="4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安装组件</w:t>
            </w:r>
          </w:p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（排线等安装配件）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11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中央控制单元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12</w:t>
            </w:r>
          </w:p>
        </w:tc>
        <w:tc>
          <w:tcPr>
            <w:tcW w:w="4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工作站</w:t>
            </w:r>
          </w:p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（服务器）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13</w:t>
            </w:r>
          </w:p>
        </w:tc>
        <w:tc>
          <w:tcPr>
            <w:tcW w:w="4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中央控制软件系统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</w:tr>
    </w:tbl>
    <w:p>
      <w:r>
        <w:fldChar w:fldCharType="end"/>
      </w:r>
    </w:p>
    <w:p>
      <w:pPr>
        <w:widowControl/>
        <w:jc w:val="left"/>
      </w:pPr>
      <w:r>
        <w:br w:type="page"/>
      </w:r>
    </w:p>
    <w:p>
      <w:pPr>
        <w:pStyle w:val="3"/>
      </w:pPr>
      <w:r>
        <w:rPr>
          <w:rFonts w:hint="eastAsia"/>
        </w:rPr>
        <w:t>设备配套耗材试剂情况</w:t>
      </w:r>
    </w:p>
    <w:p>
      <w:pPr>
        <w:jc w:val="both"/>
        <w:rPr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4"/>
          <w:szCs w:val="28"/>
        </w:rPr>
        <w:t>配套耗材或试剂  （开放□   专用□   无☑）</w:t>
      </w:r>
      <w:r>
        <w:rPr>
          <w:rFonts w:hint="eastAsia"/>
          <w:b/>
          <w:bCs/>
          <w:sz w:val="22"/>
          <w:szCs w:val="24"/>
        </w:rPr>
        <w:t xml:space="preserve"> </w:t>
      </w:r>
    </w:p>
    <w:p>
      <w:r>
        <w:rPr>
          <w:rFonts w:hint="eastAsia"/>
        </w:rPr>
        <w:t>配套耗材</w:t>
      </w:r>
      <w:bookmarkStart w:id="1" w:name="_GoBack"/>
      <w:bookmarkEnd w:id="1"/>
    </w:p>
    <w:tbl>
      <w:tblPr>
        <w:tblStyle w:val="9"/>
        <w:tblW w:w="0" w:type="auto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5094"/>
        <w:gridCol w:w="198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60" w:type="dxa"/>
            <w:vAlign w:val="center"/>
          </w:tcPr>
          <w:p>
            <w:r>
              <w:rPr>
                <w:rFonts w:hint="eastAsia"/>
              </w:rPr>
              <w:t>序号</w:t>
            </w:r>
          </w:p>
        </w:tc>
        <w:tc>
          <w:tcPr>
            <w:tcW w:w="5094" w:type="dxa"/>
            <w:vAlign w:val="center"/>
          </w:tcPr>
          <w:p>
            <w:r>
              <w:rPr>
                <w:rFonts w:hint="eastAsia"/>
              </w:rPr>
              <w:t>名称</w:t>
            </w:r>
          </w:p>
        </w:tc>
        <w:tc>
          <w:tcPr>
            <w:tcW w:w="1985" w:type="dxa"/>
            <w:vAlign w:val="center"/>
          </w:tcPr>
          <w:p>
            <w:r>
              <w:rPr>
                <w:rFonts w:hint="eastAsia"/>
              </w:rPr>
              <w:t>单位</w:t>
            </w:r>
          </w:p>
        </w:tc>
        <w:tc>
          <w:tcPr>
            <w:tcW w:w="2126" w:type="dxa"/>
            <w:vAlign w:val="center"/>
          </w:tcPr>
          <w:p>
            <w:r>
              <w:rPr>
                <w:rFonts w:hint="eastAsia"/>
              </w:rPr>
              <w:t>预算单价（元）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86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5094" w:type="dxa"/>
            <w:vAlign w:val="center"/>
          </w:tcPr>
          <w:p>
            <w:r>
              <w:rPr>
                <w:rFonts w:hint="eastAsia"/>
              </w:rPr>
              <w:t>/</w:t>
            </w:r>
          </w:p>
        </w:tc>
        <w:tc>
          <w:tcPr>
            <w:tcW w:w="1985" w:type="dxa"/>
            <w:vAlign w:val="center"/>
          </w:tcPr>
          <w:p>
            <w:r>
              <w:rPr>
                <w:rFonts w:hint="eastAsia"/>
              </w:rPr>
              <w:t>/</w:t>
            </w:r>
          </w:p>
        </w:tc>
        <w:tc>
          <w:tcPr>
            <w:tcW w:w="2126" w:type="dxa"/>
            <w:vAlign w:val="center"/>
          </w:tcPr>
          <w:p>
            <w:r>
              <w:rPr>
                <w:rFonts w:hint="eastAsia"/>
              </w:rPr>
              <w:t>/</w:t>
            </w:r>
          </w:p>
        </w:tc>
      </w:tr>
    </w:tbl>
    <w:p/>
    <w:p>
      <w:r>
        <w:rPr>
          <w:rFonts w:hint="eastAsia"/>
        </w:rPr>
        <w:t xml:space="preserve">配套试剂 </w:t>
      </w:r>
    </w:p>
    <w:tbl>
      <w:tblPr>
        <w:tblStyle w:val="9"/>
        <w:tblW w:w="10065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5107"/>
        <w:gridCol w:w="198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47" w:type="dxa"/>
            <w:vAlign w:val="center"/>
          </w:tcPr>
          <w:p>
            <w:r>
              <w:rPr>
                <w:rFonts w:hint="eastAsia"/>
              </w:rPr>
              <w:t>序号</w:t>
            </w:r>
          </w:p>
        </w:tc>
        <w:tc>
          <w:tcPr>
            <w:tcW w:w="5107" w:type="dxa"/>
            <w:vAlign w:val="center"/>
          </w:tcPr>
          <w:p>
            <w:r>
              <w:rPr>
                <w:rFonts w:hint="eastAsia"/>
              </w:rPr>
              <w:t>名称</w:t>
            </w:r>
          </w:p>
        </w:tc>
        <w:tc>
          <w:tcPr>
            <w:tcW w:w="1985" w:type="dxa"/>
            <w:vAlign w:val="center"/>
          </w:tcPr>
          <w:p>
            <w:r>
              <w:rPr>
                <w:rFonts w:hint="eastAsia"/>
              </w:rPr>
              <w:t>单位</w:t>
            </w:r>
          </w:p>
        </w:tc>
        <w:tc>
          <w:tcPr>
            <w:tcW w:w="2126" w:type="dxa"/>
            <w:vAlign w:val="center"/>
          </w:tcPr>
          <w:p>
            <w:r>
              <w:rPr>
                <w:rFonts w:hint="eastAsia"/>
              </w:rPr>
              <w:t>预算单价（元）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847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5107" w:type="dxa"/>
            <w:vAlign w:val="center"/>
          </w:tcPr>
          <w:p>
            <w:r>
              <w:rPr>
                <w:rFonts w:hint="eastAsia"/>
              </w:rPr>
              <w:t>/</w:t>
            </w:r>
          </w:p>
        </w:tc>
        <w:tc>
          <w:tcPr>
            <w:tcW w:w="1985" w:type="dxa"/>
            <w:vAlign w:val="center"/>
          </w:tcPr>
          <w:p>
            <w:r>
              <w:rPr>
                <w:rFonts w:hint="eastAsia"/>
              </w:rPr>
              <w:t>/</w:t>
            </w:r>
          </w:p>
        </w:tc>
        <w:tc>
          <w:tcPr>
            <w:tcW w:w="2126" w:type="dxa"/>
            <w:vAlign w:val="center"/>
          </w:tcPr>
          <w:p>
            <w:r>
              <w:rPr>
                <w:rFonts w:hint="eastAsia"/>
              </w:rPr>
              <w:t>/</w:t>
            </w:r>
          </w:p>
        </w:tc>
      </w:tr>
    </w:tbl>
    <w:p/>
    <w:sectPr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gxMjk0M2E4NWU2Y2Q5YjM1MmQzNDdjN2FlY2ZjNmIifQ=="/>
  </w:docVars>
  <w:rsids>
    <w:rsidRoot w:val="00180716"/>
    <w:rsid w:val="00031B84"/>
    <w:rsid w:val="0007571F"/>
    <w:rsid w:val="00086401"/>
    <w:rsid w:val="000B3A24"/>
    <w:rsid w:val="000E0A0A"/>
    <w:rsid w:val="00100D1E"/>
    <w:rsid w:val="001107F8"/>
    <w:rsid w:val="0012370B"/>
    <w:rsid w:val="00153A42"/>
    <w:rsid w:val="0015678E"/>
    <w:rsid w:val="00161CC0"/>
    <w:rsid w:val="00180716"/>
    <w:rsid w:val="0018661F"/>
    <w:rsid w:val="001B0A84"/>
    <w:rsid w:val="001D5E72"/>
    <w:rsid w:val="00206936"/>
    <w:rsid w:val="002617DE"/>
    <w:rsid w:val="002738F1"/>
    <w:rsid w:val="002C0BFD"/>
    <w:rsid w:val="002C6C45"/>
    <w:rsid w:val="002D02F7"/>
    <w:rsid w:val="002D59FE"/>
    <w:rsid w:val="003141BC"/>
    <w:rsid w:val="0031707A"/>
    <w:rsid w:val="00333E2E"/>
    <w:rsid w:val="003407BA"/>
    <w:rsid w:val="0036311E"/>
    <w:rsid w:val="003709AB"/>
    <w:rsid w:val="003938A4"/>
    <w:rsid w:val="003B5D40"/>
    <w:rsid w:val="003D4CEF"/>
    <w:rsid w:val="003E15A0"/>
    <w:rsid w:val="00437E27"/>
    <w:rsid w:val="00447FAF"/>
    <w:rsid w:val="004607A8"/>
    <w:rsid w:val="0046248D"/>
    <w:rsid w:val="004777CE"/>
    <w:rsid w:val="00485E99"/>
    <w:rsid w:val="004B2BE5"/>
    <w:rsid w:val="004B4DC1"/>
    <w:rsid w:val="004B79FD"/>
    <w:rsid w:val="004C6FD8"/>
    <w:rsid w:val="004E09F3"/>
    <w:rsid w:val="004E51B4"/>
    <w:rsid w:val="004E6075"/>
    <w:rsid w:val="004F46EC"/>
    <w:rsid w:val="00536070"/>
    <w:rsid w:val="005B4177"/>
    <w:rsid w:val="006161EF"/>
    <w:rsid w:val="00627CBC"/>
    <w:rsid w:val="00667C4B"/>
    <w:rsid w:val="00696C5E"/>
    <w:rsid w:val="006B7040"/>
    <w:rsid w:val="006C1BAB"/>
    <w:rsid w:val="006C428C"/>
    <w:rsid w:val="006F1FD9"/>
    <w:rsid w:val="0071790B"/>
    <w:rsid w:val="00735F7B"/>
    <w:rsid w:val="007610A6"/>
    <w:rsid w:val="00766032"/>
    <w:rsid w:val="00787AF2"/>
    <w:rsid w:val="00787C5D"/>
    <w:rsid w:val="008046EB"/>
    <w:rsid w:val="00812AE4"/>
    <w:rsid w:val="008143CB"/>
    <w:rsid w:val="00890077"/>
    <w:rsid w:val="00893A00"/>
    <w:rsid w:val="00895307"/>
    <w:rsid w:val="008C5084"/>
    <w:rsid w:val="008D4020"/>
    <w:rsid w:val="008F18EF"/>
    <w:rsid w:val="0091437C"/>
    <w:rsid w:val="00917BB5"/>
    <w:rsid w:val="00917CA2"/>
    <w:rsid w:val="0092593E"/>
    <w:rsid w:val="00967D50"/>
    <w:rsid w:val="009731C4"/>
    <w:rsid w:val="00973FA0"/>
    <w:rsid w:val="00980851"/>
    <w:rsid w:val="00982F84"/>
    <w:rsid w:val="009836A4"/>
    <w:rsid w:val="009852C7"/>
    <w:rsid w:val="00992628"/>
    <w:rsid w:val="00A15F96"/>
    <w:rsid w:val="00A53A87"/>
    <w:rsid w:val="00A70CB8"/>
    <w:rsid w:val="00A75EBB"/>
    <w:rsid w:val="00AA10B5"/>
    <w:rsid w:val="00AA2A2D"/>
    <w:rsid w:val="00AB3ABF"/>
    <w:rsid w:val="00AB43D9"/>
    <w:rsid w:val="00AB686E"/>
    <w:rsid w:val="00AF2364"/>
    <w:rsid w:val="00B04F86"/>
    <w:rsid w:val="00B16C5C"/>
    <w:rsid w:val="00B36BC4"/>
    <w:rsid w:val="00B37A82"/>
    <w:rsid w:val="00B50D40"/>
    <w:rsid w:val="00BE44F8"/>
    <w:rsid w:val="00BE5B4B"/>
    <w:rsid w:val="00C046E8"/>
    <w:rsid w:val="00C70023"/>
    <w:rsid w:val="00C70D64"/>
    <w:rsid w:val="00C717A1"/>
    <w:rsid w:val="00C944B3"/>
    <w:rsid w:val="00CA1F88"/>
    <w:rsid w:val="00CC7B1D"/>
    <w:rsid w:val="00D1471E"/>
    <w:rsid w:val="00D14837"/>
    <w:rsid w:val="00D2285F"/>
    <w:rsid w:val="00D5527C"/>
    <w:rsid w:val="00D577BE"/>
    <w:rsid w:val="00D650DC"/>
    <w:rsid w:val="00D736F6"/>
    <w:rsid w:val="00D73D7E"/>
    <w:rsid w:val="00D90205"/>
    <w:rsid w:val="00DA2A6D"/>
    <w:rsid w:val="00DB3248"/>
    <w:rsid w:val="00E100C3"/>
    <w:rsid w:val="00E13D8B"/>
    <w:rsid w:val="00E43D98"/>
    <w:rsid w:val="00E76301"/>
    <w:rsid w:val="00E84839"/>
    <w:rsid w:val="00E87DEE"/>
    <w:rsid w:val="00EA0AF4"/>
    <w:rsid w:val="00EA3933"/>
    <w:rsid w:val="00F128E8"/>
    <w:rsid w:val="00F176BB"/>
    <w:rsid w:val="00F3782E"/>
    <w:rsid w:val="00F40917"/>
    <w:rsid w:val="00F47DA3"/>
    <w:rsid w:val="00F749F5"/>
    <w:rsid w:val="00F84832"/>
    <w:rsid w:val="00FD02B5"/>
    <w:rsid w:val="00FD584F"/>
    <w:rsid w:val="03544D50"/>
    <w:rsid w:val="116575BA"/>
    <w:rsid w:val="1FCA7A68"/>
    <w:rsid w:val="20527BD7"/>
    <w:rsid w:val="282C6E38"/>
    <w:rsid w:val="429D0439"/>
    <w:rsid w:val="49C961E4"/>
    <w:rsid w:val="50DB02CC"/>
    <w:rsid w:val="59E2559D"/>
    <w:rsid w:val="67280133"/>
    <w:rsid w:val="7E22067E"/>
    <w:rsid w:val="7FF3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center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semiHidden/>
    <w:unhideWhenUsed/>
    <w:qFormat/>
    <w:uiPriority w:val="9"/>
    <w:pPr>
      <w:spacing w:beforeAutospacing="1" w:afterAutospacing="1"/>
      <w:jc w:val="left"/>
      <w:outlineLvl w:val="2"/>
    </w:pPr>
    <w:rPr>
      <w:rFonts w:hint="eastAsia" w:ascii="宋体" w:hAnsi="宋体"/>
      <w:b/>
      <w:bCs/>
      <w:kern w:val="0"/>
      <w:sz w:val="27"/>
      <w:szCs w:val="27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15"/>
    <w:unhideWhenUsed/>
    <w:qFormat/>
    <w:uiPriority w:val="99"/>
    <w:pPr>
      <w:jc w:val="left"/>
    </w:pPr>
  </w:style>
  <w:style w:type="paragraph" w:styleId="6">
    <w:name w:val="Balloon Text"/>
    <w:basedOn w:val="1"/>
    <w:link w:val="16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8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</w:pPr>
    <w:rPr>
      <w:kern w:val="0"/>
      <w:sz w:val="18"/>
      <w:szCs w:val="18"/>
    </w:rPr>
  </w:style>
  <w:style w:type="table" w:styleId="10">
    <w:name w:val="Table Grid"/>
    <w:basedOn w:val="9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Hyperlink"/>
    <w:basedOn w:val="11"/>
    <w:semiHidden/>
    <w:unhideWhenUsed/>
    <w:uiPriority w:val="99"/>
    <w:rPr>
      <w:color w:val="0000FF"/>
      <w:u w:val="single"/>
    </w:rPr>
  </w:style>
  <w:style w:type="character" w:styleId="13">
    <w:name w:val="annotation reference"/>
    <w:autoRedefine/>
    <w:unhideWhenUsed/>
    <w:qFormat/>
    <w:uiPriority w:val="99"/>
    <w:rPr>
      <w:sz w:val="21"/>
      <w:szCs w:val="21"/>
    </w:rPr>
  </w:style>
  <w:style w:type="character" w:customStyle="1" w:styleId="14">
    <w:name w:val="标题 1 Char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5">
    <w:name w:val="批注文字 Char"/>
    <w:link w:val="5"/>
    <w:semiHidden/>
    <w:qFormat/>
    <w:uiPriority w:val="99"/>
    <w:rPr>
      <w:kern w:val="2"/>
      <w:sz w:val="21"/>
      <w:szCs w:val="22"/>
    </w:rPr>
  </w:style>
  <w:style w:type="character" w:customStyle="1" w:styleId="16">
    <w:name w:val="批注框文本 Char"/>
    <w:link w:val="6"/>
    <w:semiHidden/>
    <w:qFormat/>
    <w:uiPriority w:val="99"/>
    <w:rPr>
      <w:kern w:val="2"/>
      <w:sz w:val="18"/>
      <w:szCs w:val="18"/>
    </w:rPr>
  </w:style>
  <w:style w:type="character" w:customStyle="1" w:styleId="17">
    <w:name w:val="页脚 Char"/>
    <w:link w:val="7"/>
    <w:qFormat/>
    <w:uiPriority w:val="99"/>
    <w:rPr>
      <w:sz w:val="18"/>
      <w:szCs w:val="18"/>
    </w:rPr>
  </w:style>
  <w:style w:type="character" w:customStyle="1" w:styleId="18">
    <w:name w:val="页眉 Char"/>
    <w:link w:val="8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4</Pages>
  <Words>2335</Words>
  <Characters>2483</Characters>
  <Lines>20</Lines>
  <Paragraphs>5</Paragraphs>
  <TotalTime>23</TotalTime>
  <ScaleCrop>false</ScaleCrop>
  <LinksUpToDate>false</LinksUpToDate>
  <CharactersWithSpaces>2499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2023-11-02T03:07:00Z</dcterms:created>
  <dc:creator>Sky123.Org</dc:creator>
  <cp:lastModifiedBy>WE</cp:lastModifiedBy>
  <cp:lastPrinted>2020-06-15T03:32:00Z</cp:lastPrinted>
  <dcterms:modified xsi:type="dcterms:W3CDTF">2024-07-03T00:38:26Z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76D526CB21234E2F88B7280AC52411EC_13</vt:lpwstr>
  </property>
</Properties>
</file>