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04EF3"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深圳市儿童医院</w:t>
      </w:r>
      <w:r>
        <w:rPr>
          <w:rFonts w:hint="eastAsia" w:ascii="黑体" w:hAnsi="黑体" w:eastAsia="黑体" w:cs="黑体"/>
        </w:rPr>
        <w:t>设备采购需求参数表</w:t>
      </w:r>
    </w:p>
    <w:tbl>
      <w:tblPr>
        <w:tblStyle w:val="10"/>
        <w:tblW w:w="8428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519"/>
        <w:gridCol w:w="6097"/>
      </w:tblGrid>
      <w:tr w14:paraId="4F6D7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2" w:type="dxa"/>
            <w:shd w:val="clear" w:color="auto" w:fill="auto"/>
            <w:vAlign w:val="center"/>
          </w:tcPr>
          <w:p w14:paraId="78E22D14">
            <w:pPr>
              <w:widowControl/>
              <w:spacing w:line="360" w:lineRule="auto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39E3F67F">
            <w:pPr>
              <w:widowControl/>
              <w:spacing w:line="360" w:lineRule="auto"/>
              <w:jc w:val="center"/>
              <w:textAlignment w:val="center"/>
              <w:rPr>
                <w:rFonts w:hint="default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  <w:lang w:val="en-US" w:eastAsia="zh-CN"/>
              </w:rPr>
              <w:t>项目名称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530A26D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招标技术</w:t>
            </w:r>
            <w:r>
              <w:rPr>
                <w:rFonts w:hint="eastAsia" w:ascii="宋体" w:hAnsi="宋体"/>
                <w:b/>
                <w:color w:val="000000"/>
                <w:kern w:val="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要求</w:t>
            </w:r>
          </w:p>
        </w:tc>
      </w:tr>
      <w:tr w14:paraId="511C3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restart"/>
            <w:shd w:val="clear" w:color="auto" w:fill="auto"/>
            <w:vAlign w:val="center"/>
          </w:tcPr>
          <w:p w14:paraId="7B7822B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19" w:type="dxa"/>
            <w:vMerge w:val="restart"/>
            <w:shd w:val="clear" w:color="auto" w:fill="auto"/>
            <w:vAlign w:val="center"/>
          </w:tcPr>
          <w:p w14:paraId="11FD403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Cs w:val="21"/>
              </w:rPr>
              <w:t>水平回转设备（水平仓储）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A130E21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2"/>
                <w:szCs w:val="22"/>
              </w:rPr>
              <w:t>1、</w:t>
            </w:r>
            <w:r>
              <w:rPr>
                <w:rFonts w:hint="default" w:ascii="Times New Roman" w:hAnsi="Times New Roman" w:eastAsia="宋体" w:cs="Times New Roman"/>
                <w:bCs/>
                <w:sz w:val="22"/>
                <w:szCs w:val="22"/>
              </w:rPr>
              <w:t>目的：通过使用以料斗为存储媒介，以“物品到人”为提取模式的动态水平回转系统，完成手术室的无菌物品的智能化存放与提取功能。</w:t>
            </w:r>
          </w:p>
        </w:tc>
      </w:tr>
      <w:tr w14:paraId="37F09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6F1542B9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64A2EF81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365DDC66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2"/>
                <w:szCs w:val="22"/>
              </w:rPr>
              <w:t>2、巷道数量：1条</w:t>
            </w:r>
          </w:p>
        </w:tc>
      </w:tr>
      <w:tr w14:paraId="4CF3A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1B7A021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217642B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54874C95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Cs/>
                <w:sz w:val="22"/>
                <w:szCs w:val="22"/>
                <w:shd w:val="clear" w:color="auto" w:fill="FFFF00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2"/>
                <w:szCs w:val="22"/>
              </w:rPr>
              <w:t>3、</w:t>
            </w:r>
            <w:r>
              <w:rPr>
                <w:rFonts w:hint="default" w:ascii="Times New Roman" w:hAnsi="Times New Roman" w:eastAsia="宋体" w:cs="Times New Roman"/>
                <w:bCs/>
                <w:sz w:val="22"/>
                <w:szCs w:val="22"/>
              </w:rPr>
              <w:t>▲设备外形尺寸：高度≥2100mm；宽度≥1900mm；长度≥6100mm</w:t>
            </w:r>
          </w:p>
        </w:tc>
      </w:tr>
      <w:tr w14:paraId="42822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1EBF785F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1D15D249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7A2CE302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Cs/>
                <w:sz w:val="22"/>
                <w:szCs w:val="22"/>
                <w:shd w:val="clear" w:color="auto" w:fill="FFFF00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2"/>
                <w:szCs w:val="22"/>
              </w:rPr>
              <w:t>4、</w:t>
            </w:r>
            <w:r>
              <w:rPr>
                <w:rFonts w:hint="default" w:ascii="Times New Roman" w:hAnsi="Times New Roman" w:eastAsia="宋体" w:cs="Times New Roman"/>
                <w:bCs/>
                <w:sz w:val="22"/>
                <w:szCs w:val="22"/>
              </w:rPr>
              <w:t>▲料斗净尺寸：高≥1800mm；宽度≥622mm；深度≥610mm；</w:t>
            </w:r>
          </w:p>
        </w:tc>
      </w:tr>
      <w:tr w14:paraId="6E74C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312F218F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07DB1B8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064F923B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2"/>
                <w:szCs w:val="22"/>
              </w:rPr>
              <w:t>5、</w:t>
            </w:r>
            <w:r>
              <w:rPr>
                <w:rFonts w:hint="default" w:ascii="Times New Roman" w:hAnsi="Times New Roman" w:eastAsia="宋体" w:cs="Times New Roman"/>
                <w:bCs/>
                <w:sz w:val="22"/>
                <w:szCs w:val="22"/>
              </w:rPr>
              <w:t>料斗数量：≥15个，最小可调间距不得大于100mm</w:t>
            </w:r>
          </w:p>
        </w:tc>
      </w:tr>
      <w:tr w14:paraId="0EFB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41875DC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2B720D1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6FC50D48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6、单料斗分割层数量：5层或以上</w:t>
            </w:r>
          </w:p>
        </w:tc>
      </w:tr>
      <w:tr w14:paraId="0F3DE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261494BF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36036AE4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1705B247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7、▲单料斗承重：≥100KG</w:t>
            </w:r>
          </w:p>
        </w:tc>
      </w:tr>
      <w:tr w14:paraId="205B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2077CE6C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3B686EF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79E6BE1B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0"/>
                <w:sz w:val="22"/>
                <w:szCs w:val="22"/>
              </w:rPr>
              <w:t>8、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回转速度：≥15米/分</w:t>
            </w:r>
          </w:p>
        </w:tc>
      </w:tr>
      <w:tr w14:paraId="1EF08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2D783F2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55914894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29590EF0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9、▲取料口设置自动安全门，无需人工可自动开启与关闭，并确保安全门长期处于关闭状态，以便保持内部存储环境的清洁。（提供现场实景清晰图片，并在图片中加以标注证明符合参数要求）</w:t>
            </w:r>
          </w:p>
        </w:tc>
      </w:tr>
      <w:tr w14:paraId="6F2B4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10D1062C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6357E15A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5A1078EE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10、▲防夹功能，为避免操作时提取口门自动关闭，导致发生夹人事件，应配备传感器检测是否有人员存在，如果在预设时间内无人员存在则自动关门（提供现场实景清晰图片，并在图片中加以标注证明符合参数要求）</w:t>
            </w:r>
          </w:p>
        </w:tc>
      </w:tr>
      <w:tr w14:paraId="26A79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0A645D7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4DCA06AA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7102ABF9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11、▲配备透明玻璃安全隔断，并装配安全维护门，要求配备一扇单独开启的玻璃门。（提供现场实景清晰图片，并在图片中加以标注证明符合参数要求）</w:t>
            </w:r>
          </w:p>
        </w:tc>
      </w:tr>
      <w:tr w14:paraId="577BB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2E5762BF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4B27DC0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66B3ACBD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12、设备具备优化功能，可根据存储物品的需求变化灵活调整料斗中的分割层，使空间得到充分的利用。</w:t>
            </w:r>
          </w:p>
        </w:tc>
      </w:tr>
      <w:tr w14:paraId="28EE1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1AF51CDB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481E1EF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4F600ED6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13、▲消毒功能：仓储内应部署紫外线消毒灯和控制系统，可通过定时在系统内部通过紫外线消毒，消毒时间可通过后台软件设定（提供现场实景清晰图片，并在图片中加以标注证明符合参数要求）</w:t>
            </w:r>
          </w:p>
        </w:tc>
      </w:tr>
      <w:tr w14:paraId="12C25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6B0618D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0DF4AD7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1571CDA8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14、▲系统软件功能（提供现场实景清晰图片，并在图片中加以标注证明符合参数要求）</w:t>
            </w:r>
          </w:p>
        </w:tc>
      </w:tr>
      <w:tr w14:paraId="4491B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590EFC4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775B520D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165D55EA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  <w:t>14.1、物资配置：将物资数据导入到系统，并绑定物资在设备中所在库位；可对已导入系统的物资数据进行编辑；可更改或增加物资在设备中所在库位；</w:t>
            </w:r>
          </w:p>
        </w:tc>
      </w:tr>
      <w:tr w14:paraId="4881B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51B3B60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4D1EB19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562FB99F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  <w:t>14.2、物资进出库---物资入库：物资放入设备的相关操作；物资出库：物资从设备中取出的相关操作；</w:t>
            </w:r>
          </w:p>
        </w:tc>
      </w:tr>
      <w:tr w14:paraId="0F688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771A953D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52829C0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7D206C2E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  <w:t>14.3、配台功能---下单：根据手术信息，对所需物资进行下单及入库操作；提取：将已下单的物资提取；结算：手术结束后，结算物资消耗，打印物资订单，退还剩余物资；历史手术订单：已结算的手术都归纳为历史手术订单，可将历史手术订单恢复为手术订单，重新下单</w:t>
            </w:r>
          </w:p>
        </w:tc>
      </w:tr>
      <w:tr w14:paraId="20EE9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1B6C086C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6D4633A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773D9100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  <w:t>14.4、效期管理：可查看已过期、1天内过期、3天内过期、7天内过期的物资，可打开物资所在库位将过期物品扫码出库</w:t>
            </w:r>
          </w:p>
        </w:tc>
      </w:tr>
      <w:tr w14:paraId="6C50E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718EB94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60F173EF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5965E881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  <w:t>14.5、库存预警：当物资库存数量小于等于物资设定的预警值就会在预警列表中显示。可打开物资所在库位进行物资入库</w:t>
            </w:r>
          </w:p>
        </w:tc>
      </w:tr>
      <w:tr w14:paraId="26E94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396B078D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3B3E16C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2A766849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  <w:t>14.6、盘库：打开库位清点物资数量，确保物资实际数量与系统显示数量一致</w:t>
            </w:r>
          </w:p>
        </w:tc>
      </w:tr>
      <w:tr w14:paraId="3456C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08A879EB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4CC44782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27F0FD2F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  <w:t>14.7操作日志：显示用户在系统中的操作明细</w:t>
            </w:r>
          </w:p>
        </w:tc>
      </w:tr>
      <w:tr w14:paraId="76806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340B1C7B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56B6E415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6A964A09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shd w:val="clear" w:color="auto" w:fill="FFFFFF"/>
              </w:rPr>
              <w:t>14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.8、系统接口---用户接口：与HIS或者医院同意用户平台系统对接，同步医务操作用户信息；物资接口：与HIS、HRP系统对接，同步物资目录价格结算信息；手术接口：与手麻系统对接，同步手术排期等信息</w:t>
            </w:r>
          </w:p>
        </w:tc>
      </w:tr>
      <w:tr w14:paraId="536AE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23574EE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190D47E2">
            <w:pPr>
              <w:spacing w:line="360" w:lineRule="auto"/>
              <w:jc w:val="left"/>
              <w:rPr>
                <w:b/>
                <w:bCs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51C52D46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▲15、配备AGV小车（智能化物流机器人系统，该物流系统投入使用后，能解决手术室内大批量手术物资的运输任务。）</w:t>
            </w:r>
          </w:p>
        </w:tc>
      </w:tr>
      <w:tr w14:paraId="11487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3B0AD37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64943A7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1C7D70C6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15.1、AGV机器人设备尺寸：长度≤800mm、宽度≤600mm。</w:t>
            </w:r>
          </w:p>
        </w:tc>
      </w:tr>
      <w:tr w14:paraId="62BDB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53B07387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52243F7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58BFFEBD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15.2、AGV机器人净重≤150kg。</w:t>
            </w:r>
          </w:p>
        </w:tc>
      </w:tr>
      <w:tr w14:paraId="56946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39FB628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0DC8C54B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019AE369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15.3、▲AGV机器人最大载重量：≥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00kg。</w:t>
            </w:r>
          </w:p>
        </w:tc>
      </w:tr>
      <w:tr w14:paraId="4F220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5BF953CD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396AD7A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4411CA98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15.4、▲AGV载重类型：顶升分体模式或一体模式，顶升模式升降高度≥50mm （提供现场实景清晰图片，并在图片中加以标注证明符合参数要求）</w:t>
            </w:r>
          </w:p>
        </w:tc>
      </w:tr>
      <w:tr w14:paraId="04705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1BE6D0FF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1C6B0D1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15DF63EF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15.5、运行速度:AGV机器人最大运行速度可达2m/s；可根据院方要求设定速度、警告区域和安全区域。</w:t>
            </w:r>
          </w:p>
        </w:tc>
      </w:tr>
      <w:tr w14:paraId="3A8C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768581E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0BC13ED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31363CF6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15.6、AGV机器人爬坡能力≥7°；</w:t>
            </w:r>
          </w:p>
        </w:tc>
      </w:tr>
      <w:tr w14:paraId="2B8E1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2690EBF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71E922E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19DD9241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15.7、AGV机器人越障能力，可跨越过≥0~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1.5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cm的障碍物、≥0~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1.5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 xml:space="preserve">cm的缝隙； </w:t>
            </w:r>
          </w:p>
        </w:tc>
      </w:tr>
      <w:tr w14:paraId="71809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2CAFF74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187B167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7B4ED705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15.8、AGV智能机器人可以实现原地360度自行旋转。</w:t>
            </w:r>
          </w:p>
        </w:tc>
      </w:tr>
      <w:tr w14:paraId="20846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1F9B3073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56F54A6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16B56C52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15.9、AGV智能机器人具备急停按钮，提高紧急情况下的安全性。</w:t>
            </w:r>
          </w:p>
        </w:tc>
      </w:tr>
      <w:tr w14:paraId="138D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62370D74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24D83CFC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454D9F67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15.10、充满电时间≤2小时，可设置最低工作电量充电、闲时充电等。单次充电续航时间：≥8小时</w:t>
            </w:r>
          </w:p>
        </w:tc>
      </w:tr>
      <w:tr w14:paraId="7D7BB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3EA6BC6B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5A67CFFB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69EE2432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15.11、传感装置：AGV机器人定位导航传感器≥3种传感器融合定位，包括激光雷达、深度视觉相机、防撞感应器等。（提供现场实景清晰图片，并在图片中加以标注证明符合参数要求）</w:t>
            </w:r>
          </w:p>
        </w:tc>
      </w:tr>
      <w:tr w14:paraId="1A5CD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690BC5B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025EAC5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058E5B8C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15.12、激光雷达数量≥2个，360°全方位覆盖。（提供现场实景清晰图片，并在图片中加以标注证明符合参数要求。）</w:t>
            </w:r>
          </w:p>
        </w:tc>
      </w:tr>
      <w:tr w14:paraId="12AA5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2CBD42F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39DA2B30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119AA59D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22"/>
                <w:szCs w:val="22"/>
              </w:rPr>
              <w:t>15.13、深度视觉相机数量≥2个，可根据需要实时调取视觉画面。（提供现场实景清晰图片，并在图片中加以标注证明符合参数要求。）</w:t>
            </w:r>
          </w:p>
        </w:tc>
      </w:tr>
      <w:tr w14:paraId="4E7CA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784EE5CA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3B608BCA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14:paraId="6C902612">
            <w:pPr>
              <w:widowControl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2"/>
                <w:szCs w:val="22"/>
              </w:rPr>
              <w:t>15.14、定位精度：AGV机器人定位精度≤20mm</w:t>
            </w:r>
          </w:p>
        </w:tc>
      </w:tr>
      <w:tr w14:paraId="5EFE6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12" w:type="dxa"/>
            <w:vMerge w:val="continue"/>
            <w:shd w:val="clear" w:color="auto" w:fill="auto"/>
            <w:vAlign w:val="center"/>
          </w:tcPr>
          <w:p w14:paraId="6F968D94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519" w:type="dxa"/>
            <w:vMerge w:val="continue"/>
            <w:shd w:val="clear" w:color="auto" w:fill="auto"/>
            <w:vAlign w:val="center"/>
          </w:tcPr>
          <w:p w14:paraId="1970DB55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097" w:type="dxa"/>
            <w:shd w:val="clear" w:color="auto" w:fill="auto"/>
          </w:tcPr>
          <w:p w14:paraId="10948E21">
            <w:pPr>
              <w:spacing w:line="360" w:lineRule="auto"/>
              <w:rPr>
                <w:rFonts w:ascii="宋体" w:hAnsi="宋体"/>
                <w:b/>
                <w:color w:val="3F3F3F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Cs w:val="21"/>
              </w:rPr>
              <w:t>★</w:t>
            </w:r>
            <w:r>
              <w:rPr>
                <w:rFonts w:hint="eastAsia" w:ascii="宋体" w:hAnsi="宋体"/>
                <w:b/>
                <w:color w:val="3F3F3F"/>
                <w:kern w:val="0"/>
                <w:szCs w:val="21"/>
              </w:rPr>
              <w:t>配置清单</w:t>
            </w:r>
          </w:p>
          <w:tbl>
            <w:tblPr>
              <w:tblStyle w:val="10"/>
              <w:tblpPr w:leftFromText="180" w:rightFromText="180" w:vertAnchor="text" w:horzAnchor="page" w:tblpXSpec="center" w:tblpY="14"/>
              <w:tblOverlap w:val="never"/>
              <w:tblW w:w="4999" w:type="pct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69"/>
              <w:gridCol w:w="3563"/>
              <w:gridCol w:w="769"/>
              <w:gridCol w:w="769"/>
            </w:tblGrid>
            <w:tr w14:paraId="68F3BF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7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1B9CC77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序号</w:t>
                  </w:r>
                </w:p>
              </w:tc>
              <w:tc>
                <w:tcPr>
                  <w:tcW w:w="3034" w:type="pct"/>
                  <w:vAlign w:val="center"/>
                </w:tcPr>
                <w:p w14:paraId="434601B4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货物名称</w:t>
                  </w:r>
                </w:p>
              </w:tc>
              <w:tc>
                <w:tcPr>
                  <w:tcW w:w="655" w:type="pct"/>
                  <w:vAlign w:val="center"/>
                </w:tcPr>
                <w:p w14:paraId="5365E5B3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数量</w:t>
                  </w:r>
                </w:p>
              </w:tc>
              <w:tc>
                <w:tcPr>
                  <w:tcW w:w="655" w:type="pct"/>
                  <w:vAlign w:val="center"/>
                </w:tcPr>
                <w:p w14:paraId="741A71CD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单位</w:t>
                  </w:r>
                </w:p>
              </w:tc>
            </w:tr>
            <w:tr w14:paraId="7A44FEF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06B2AA9A">
                  <w:pPr>
                    <w:spacing w:line="360" w:lineRule="auto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</w:p>
              </w:tc>
              <w:tc>
                <w:tcPr>
                  <w:tcW w:w="3034" w:type="pct"/>
                  <w:vAlign w:val="center"/>
                </w:tcPr>
                <w:p w14:paraId="6553BD13">
                  <w:pPr>
                    <w:spacing w:line="360" w:lineRule="auto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</w:rPr>
                    <w:t>水平回转仓储设备</w:t>
                  </w:r>
                </w:p>
              </w:tc>
              <w:tc>
                <w:tcPr>
                  <w:tcW w:w="655" w:type="pct"/>
                  <w:vAlign w:val="center"/>
                </w:tcPr>
                <w:p w14:paraId="1BC679F2">
                  <w:pPr>
                    <w:spacing w:line="360" w:lineRule="auto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</w:p>
              </w:tc>
              <w:tc>
                <w:tcPr>
                  <w:tcW w:w="655" w:type="pct"/>
                  <w:vAlign w:val="center"/>
                </w:tcPr>
                <w:p w14:paraId="63415C44">
                  <w:pPr>
                    <w:spacing w:line="360" w:lineRule="auto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</w:rPr>
                    <w:t>台</w:t>
                  </w:r>
                </w:p>
              </w:tc>
            </w:tr>
            <w:tr w14:paraId="766C06C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1B6B2094">
                  <w:pPr>
                    <w:spacing w:line="360" w:lineRule="auto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2</w:t>
                  </w:r>
                </w:p>
              </w:tc>
              <w:tc>
                <w:tcPr>
                  <w:tcW w:w="3034" w:type="pct"/>
                  <w:vAlign w:val="center"/>
                </w:tcPr>
                <w:p w14:paraId="334D4FEC">
                  <w:pPr>
                    <w:spacing w:line="360" w:lineRule="auto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</w:rPr>
                    <w:t>数据库及应用操作系统服务器</w:t>
                  </w:r>
                </w:p>
              </w:tc>
              <w:tc>
                <w:tcPr>
                  <w:tcW w:w="655" w:type="pct"/>
                  <w:vAlign w:val="center"/>
                </w:tcPr>
                <w:p w14:paraId="041C51F4">
                  <w:pPr>
                    <w:spacing w:line="360" w:lineRule="auto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  <w:szCs w:val="21"/>
                    </w:rPr>
                    <w:t>1</w:t>
                  </w:r>
                </w:p>
              </w:tc>
              <w:tc>
                <w:tcPr>
                  <w:tcW w:w="655" w:type="pct"/>
                  <w:vAlign w:val="center"/>
                </w:tcPr>
                <w:p w14:paraId="051BC5A3">
                  <w:pPr>
                    <w:spacing w:line="360" w:lineRule="auto"/>
                    <w:jc w:val="center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hint="eastAsia" w:ascii="宋体" w:hAnsi="宋体"/>
                      <w:color w:val="000000"/>
                      <w:szCs w:val="21"/>
                    </w:rPr>
                    <w:t>台</w:t>
                  </w:r>
                </w:p>
              </w:tc>
            </w:tr>
            <w:tr w14:paraId="763DFDD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3C9C4AE2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3034" w:type="pct"/>
                  <w:vAlign w:val="center"/>
                </w:tcPr>
                <w:p w14:paraId="2079958E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一体化操作电脑</w:t>
                  </w:r>
                </w:p>
              </w:tc>
              <w:tc>
                <w:tcPr>
                  <w:tcW w:w="655" w:type="pct"/>
                  <w:vAlign w:val="center"/>
                </w:tcPr>
                <w:p w14:paraId="2DBC0F19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655" w:type="pct"/>
                  <w:vAlign w:val="center"/>
                </w:tcPr>
                <w:p w14:paraId="18B3CF92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台</w:t>
                  </w:r>
                </w:p>
              </w:tc>
            </w:tr>
            <w:tr w14:paraId="1D232A4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3C49007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3034" w:type="pct"/>
                  <w:vAlign w:val="center"/>
                </w:tcPr>
                <w:p w14:paraId="3A380D7D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系统定制软件</w:t>
                  </w:r>
                </w:p>
              </w:tc>
              <w:tc>
                <w:tcPr>
                  <w:tcW w:w="655" w:type="pct"/>
                  <w:vAlign w:val="center"/>
                </w:tcPr>
                <w:p w14:paraId="12DB964D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655" w:type="pct"/>
                  <w:vAlign w:val="center"/>
                </w:tcPr>
                <w:p w14:paraId="63B58FB6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套</w:t>
                  </w:r>
                </w:p>
              </w:tc>
            </w:tr>
            <w:tr w14:paraId="6D9C82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6752637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3034" w:type="pct"/>
                  <w:vAlign w:val="center"/>
                </w:tcPr>
                <w:p w14:paraId="1971655B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RFID识别模块</w:t>
                  </w:r>
                </w:p>
              </w:tc>
              <w:tc>
                <w:tcPr>
                  <w:tcW w:w="655" w:type="pct"/>
                  <w:vAlign w:val="center"/>
                </w:tcPr>
                <w:p w14:paraId="2F4AFF2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655" w:type="pct"/>
                  <w:vAlign w:val="center"/>
                </w:tcPr>
                <w:p w14:paraId="0EAE9D46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套</w:t>
                  </w:r>
                </w:p>
              </w:tc>
            </w:tr>
            <w:tr w14:paraId="766C942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3BA036DE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3034" w:type="pct"/>
                  <w:vAlign w:val="center"/>
                </w:tcPr>
                <w:p w14:paraId="659CD990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设备外玻璃隔断</w:t>
                  </w:r>
                </w:p>
              </w:tc>
              <w:tc>
                <w:tcPr>
                  <w:tcW w:w="655" w:type="pct"/>
                  <w:vAlign w:val="center"/>
                </w:tcPr>
                <w:p w14:paraId="1BC75C37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655" w:type="pct"/>
                  <w:vAlign w:val="center"/>
                </w:tcPr>
                <w:p w14:paraId="50A9324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套</w:t>
                  </w:r>
                </w:p>
              </w:tc>
            </w:tr>
            <w:tr w14:paraId="000C0D7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0F2ACE4C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3034" w:type="pct"/>
                  <w:vAlign w:val="center"/>
                </w:tcPr>
                <w:p w14:paraId="7AD3FB6B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高密无线扫码枪</w:t>
                  </w:r>
                </w:p>
              </w:tc>
              <w:tc>
                <w:tcPr>
                  <w:tcW w:w="655" w:type="pct"/>
                  <w:vAlign w:val="center"/>
                </w:tcPr>
                <w:p w14:paraId="53E2449E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655" w:type="pct"/>
                  <w:vAlign w:val="center"/>
                </w:tcPr>
                <w:p w14:paraId="27B86CF0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把</w:t>
                  </w:r>
                </w:p>
              </w:tc>
            </w:tr>
            <w:tr w14:paraId="4BEB210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078F44D5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3034" w:type="pct"/>
                  <w:vAlign w:val="center"/>
                </w:tcPr>
                <w:p w14:paraId="319D418B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热敏票据打印机</w:t>
                  </w:r>
                </w:p>
              </w:tc>
              <w:tc>
                <w:tcPr>
                  <w:tcW w:w="655" w:type="pct"/>
                  <w:vAlign w:val="center"/>
                </w:tcPr>
                <w:p w14:paraId="4010D7A6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655" w:type="pct"/>
                  <w:vAlign w:val="center"/>
                </w:tcPr>
                <w:p w14:paraId="4A5220C2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台</w:t>
                  </w:r>
                </w:p>
              </w:tc>
            </w:tr>
            <w:tr w14:paraId="75A21BD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269108BC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3034" w:type="pct"/>
                  <w:vAlign w:val="center"/>
                </w:tcPr>
                <w:p w14:paraId="1C9A08EA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配套料盒</w:t>
                  </w:r>
                </w:p>
              </w:tc>
              <w:tc>
                <w:tcPr>
                  <w:tcW w:w="655" w:type="pct"/>
                  <w:vAlign w:val="center"/>
                </w:tcPr>
                <w:p w14:paraId="1EC8CCEA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160</w:t>
                  </w:r>
                </w:p>
              </w:tc>
              <w:tc>
                <w:tcPr>
                  <w:tcW w:w="655" w:type="pct"/>
                  <w:vAlign w:val="center"/>
                </w:tcPr>
                <w:p w14:paraId="1FB41B44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个</w:t>
                  </w:r>
                </w:p>
              </w:tc>
            </w:tr>
            <w:tr w14:paraId="47A89CD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4" w:hRule="atLeast"/>
                <w:jc w:val="center"/>
              </w:trPr>
              <w:tc>
                <w:tcPr>
                  <w:tcW w:w="655" w:type="pct"/>
                  <w:vAlign w:val="center"/>
                </w:tcPr>
                <w:p w14:paraId="7A097EEC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3034" w:type="pct"/>
                  <w:vAlign w:val="center"/>
                </w:tcPr>
                <w:p w14:paraId="3F8FC87B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AGV小车</w:t>
                  </w:r>
                </w:p>
              </w:tc>
              <w:tc>
                <w:tcPr>
                  <w:tcW w:w="655" w:type="pct"/>
                  <w:vAlign w:val="center"/>
                </w:tcPr>
                <w:p w14:paraId="23AD216E">
                  <w:pPr>
                    <w:spacing w:line="360" w:lineRule="auto"/>
                    <w:jc w:val="center"/>
                    <w:rPr>
                      <w:rFonts w:hint="eastAsia" w:ascii="宋体" w:hAnsi="宋体" w:eastAsia="宋体"/>
                      <w:szCs w:val="21"/>
                      <w:lang w:eastAsia="zh-CN"/>
                    </w:rPr>
                  </w:pPr>
                  <w:r>
                    <w:rPr>
                      <w:rFonts w:hint="eastAsia" w:ascii="宋体" w:hAnsi="宋体"/>
                      <w:color w:val="FF0000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655" w:type="pct"/>
                  <w:vAlign w:val="center"/>
                </w:tcPr>
                <w:p w14:paraId="4325F62C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台</w:t>
                  </w:r>
                </w:p>
              </w:tc>
            </w:tr>
          </w:tbl>
          <w:p w14:paraId="27B03B62">
            <w:pPr>
              <w:widowControl/>
              <w:spacing w:line="360" w:lineRule="auto"/>
              <w:textAlignment w:val="top"/>
              <w:rPr>
                <w:rFonts w:ascii="宋体" w:hAnsi="宋体"/>
                <w:szCs w:val="21"/>
                <w:shd w:val="clear" w:color="auto" w:fill="FFFFFF"/>
              </w:rPr>
            </w:pPr>
          </w:p>
        </w:tc>
      </w:tr>
    </w:tbl>
    <w:p w14:paraId="60D0412E"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 w14:paraId="4431F922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  <w:bookmarkStart w:id="0" w:name="_GoBack"/>
      <w:bookmarkEnd w:id="0"/>
    </w:p>
    <w:p w14:paraId="51DE07F9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10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 w14:paraId="392F9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 w14:paraId="44D8F3BF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 w14:paraId="5B20942E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67BAC5DA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64A016CC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预算单价（元）</w:t>
            </w:r>
          </w:p>
        </w:tc>
      </w:tr>
      <w:tr w14:paraId="6B06A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 w14:paraId="7778CFE7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 w14:paraId="34D22F2F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579368B1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3EA2D0F8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 w14:paraId="6527DCF0">
      <w:pPr>
        <w:jc w:val="left"/>
        <w:rPr>
          <w:rFonts w:ascii="Times New Roman" w:hAnsi="Times New Roman"/>
          <w:szCs w:val="21"/>
        </w:rPr>
      </w:pPr>
    </w:p>
    <w:p w14:paraId="03C4AC37"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10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 w14:paraId="5B96A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 w14:paraId="10D42A74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 w14:paraId="57BA1B0F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 w14:paraId="29A203BD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 w14:paraId="5F9F7A9A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预算单价（元）</w:t>
            </w:r>
          </w:p>
        </w:tc>
      </w:tr>
      <w:tr w14:paraId="54E00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 w14:paraId="2FF2995F"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 w14:paraId="364954FE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 w14:paraId="09908A1E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 w14:paraId="4B113137"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 w14:paraId="31DC15B1"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2B103"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16BD40BC"/>
    <w:rsid w:val="20527BD7"/>
    <w:rsid w:val="443B1535"/>
    <w:rsid w:val="444413DC"/>
    <w:rsid w:val="4912023B"/>
    <w:rsid w:val="56335182"/>
    <w:rsid w:val="62F26C16"/>
    <w:rsid w:val="79C1125A"/>
    <w:rsid w:val="7F930B2D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unhideWhenUsed/>
    <w:qFormat/>
    <w:uiPriority w:val="99"/>
    <w:pPr>
      <w:jc w:val="left"/>
    </w:pPr>
  </w:style>
  <w:style w:type="paragraph" w:styleId="5">
    <w:name w:val="Body Text"/>
    <w:basedOn w:val="1"/>
    <w:next w:val="6"/>
    <w:qFormat/>
    <w:uiPriority w:val="0"/>
    <w:pPr>
      <w:spacing w:line="360" w:lineRule="auto"/>
    </w:pPr>
    <w:rPr>
      <w:b/>
      <w:bCs/>
      <w:sz w:val="24"/>
    </w:rPr>
  </w:style>
  <w:style w:type="paragraph" w:styleId="6">
    <w:name w:val="Body Text 2"/>
    <w:basedOn w:val="1"/>
    <w:autoRedefine/>
    <w:qFormat/>
    <w:uiPriority w:val="0"/>
    <w:pPr>
      <w:spacing w:line="360" w:lineRule="auto"/>
    </w:pPr>
    <w:rPr>
      <w:sz w:val="24"/>
    </w:rPr>
  </w:style>
  <w:style w:type="paragraph" w:styleId="7">
    <w:name w:val="Balloon Text"/>
    <w:basedOn w:val="1"/>
    <w:link w:val="16"/>
    <w:autoRedefine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11">
    <w:name w:val="Table Grid"/>
    <w:basedOn w:val="10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5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6">
    <w:name w:val="批注框文本 字符"/>
    <w:link w:val="7"/>
    <w:semiHidden/>
    <w:qFormat/>
    <w:uiPriority w:val="99"/>
    <w:rPr>
      <w:kern w:val="2"/>
      <w:sz w:val="18"/>
      <w:szCs w:val="18"/>
    </w:rPr>
  </w:style>
  <w:style w:type="character" w:customStyle="1" w:styleId="17">
    <w:name w:val="页脚 字符"/>
    <w:link w:val="8"/>
    <w:autoRedefine/>
    <w:qFormat/>
    <w:uiPriority w:val="99"/>
    <w:rPr>
      <w:sz w:val="18"/>
      <w:szCs w:val="18"/>
    </w:rPr>
  </w:style>
  <w:style w:type="character" w:customStyle="1" w:styleId="18">
    <w:name w:val="页眉 字符"/>
    <w:link w:val="9"/>
    <w:autoRedefine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1814</Words>
  <Characters>2043</Characters>
  <Lines>10</Lines>
  <Paragraphs>2</Paragraphs>
  <TotalTime>3</TotalTime>
  <ScaleCrop>false</ScaleCrop>
  <LinksUpToDate>false</LinksUpToDate>
  <CharactersWithSpaces>2056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2024-07-22T08:19:25Z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1265A971F0084BE5839A2514D4DF4BD3</vt:lpwstr>
  </property>
</Properties>
</file>