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82F5">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63D0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07A77D6E">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0F79AF9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3992CED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2C39B4E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4C390CA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56D7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66F42CE1">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74AC60BF">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6A7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D2765A">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B7A758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61FFFC7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7E84E7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35EF35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5D00702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2BB1510">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7086D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557B44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63FBD5C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0B4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0836CD7D">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F5B7546">
            <w:pPr>
              <w:spacing w:line="300" w:lineRule="exact"/>
              <w:jc w:val="center"/>
              <w:rPr>
                <w:rFonts w:ascii="宋体" w:hAnsi="宋体" w:eastAsia="等线"/>
                <w:szCs w:val="21"/>
              </w:rPr>
            </w:pPr>
            <w:r>
              <w:rPr>
                <w:rFonts w:hint="eastAsia" w:ascii="宋体" w:hAnsi="宋体" w:eastAsia="等线"/>
                <w:szCs w:val="21"/>
              </w:rPr>
              <w:t>产品对比</w:t>
            </w:r>
          </w:p>
          <w:p w14:paraId="263E9076">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6D6B2438">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4B1BEE9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1F5ADC6">
            <w:pPr>
              <w:spacing w:line="300" w:lineRule="exact"/>
              <w:rPr>
                <w:rFonts w:ascii="宋体" w:hAnsi="宋体" w:eastAsia="等线"/>
                <w:szCs w:val="21"/>
              </w:rPr>
            </w:pPr>
            <w:r>
              <w:rPr>
                <w:rFonts w:ascii="等线" w:hAnsi="等线" w:eastAsia="等线"/>
                <w:szCs w:val="21"/>
              </w:rPr>
              <w:t>A、好  ；得20分；</w:t>
            </w:r>
          </w:p>
          <w:p w14:paraId="3EE231E2">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6EF12AD0">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1977399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5BB519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425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B95B93E">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ECA9683">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0831F50">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1BB5D45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0D52A30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13C09BD">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02F2D2C">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3F917339">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5488DC0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7BCF915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69E3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5E110D06">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02B4D6C8">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198F5692">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2DEC5B22">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3FC263CF">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72744553">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7A116775">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0179CAA3">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468A2DA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0D9E2DC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3D4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03ACC62D">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34D6928A">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95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0111F3F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0A60B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65025138">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54C29024">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21FABDE6">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7D16026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669F882">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7E2397F0">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51C17322">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B62609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354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06BCB2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370173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361B685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16AE2D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13628F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1F15FA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93C116A">
            <w:pPr>
              <w:spacing w:line="300" w:lineRule="exact"/>
              <w:jc w:val="left"/>
              <w:rPr>
                <w:rFonts w:ascii="宋体" w:hAnsi="宋体" w:eastAsia="等线"/>
                <w:szCs w:val="21"/>
              </w:rPr>
            </w:pPr>
            <w:r>
              <w:rPr>
                <w:rFonts w:ascii="宋体" w:hAnsi="宋体" w:eastAsia="等线"/>
                <w:szCs w:val="21"/>
              </w:rPr>
              <w:t xml:space="preserve">C、服务一般或一项承诺：2分； </w:t>
            </w:r>
          </w:p>
          <w:p w14:paraId="0CAA241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63E7B805">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229C80E6">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7435A8A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32F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16F5DEB">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EA653BB">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179D5EEB">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09536B6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28B97557">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F6E3270">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7CCE40A">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1B85D35D">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043D0733">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BB83A0E">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53008AB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283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36DFEBC">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BE01BA7">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F7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BF43C1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FC1ED21">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9FF460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4DD65A0D">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6C1E7BF2">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1C18D6C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18A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3B11C599">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51C20DD2">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69CD75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4E86620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249EFAC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71987858">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3B702E0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00B3E48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563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77DE62D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80DBB2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5EC7667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41A9371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1D7B8C65">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420F470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4E7AEE1F">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5DAC17ED">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14A517F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F99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0BB011F">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DC773FE">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3C87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DDA56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C78932D">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947163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08D392A9">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5BA391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25DDAA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70D8F23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12B94162">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0C86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62D7A41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378A1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BA27BC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340C887C">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695C5CE7">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654C9A81">
      <w:pPr>
        <w:widowControl/>
        <w:spacing w:before="100" w:beforeAutospacing="1" w:after="100" w:afterAutospacing="1"/>
        <w:jc w:val="both"/>
        <w:rPr>
          <w:rFonts w:hint="eastAsia" w:ascii="宋体" w:hAnsi="宋体"/>
          <w:b/>
          <w:bCs/>
          <w:sz w:val="28"/>
        </w:rPr>
      </w:pPr>
    </w:p>
    <w:p w14:paraId="439DE99D">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816"/>
        <w:gridCol w:w="1540"/>
        <w:gridCol w:w="1550"/>
        <w:gridCol w:w="3140"/>
      </w:tblGrid>
      <w:tr w14:paraId="3AA1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16" w:type="pct"/>
            <w:vAlign w:val="center"/>
          </w:tcPr>
          <w:p w14:paraId="7234FC9A">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1057" w:type="pct"/>
            <w:vAlign w:val="center"/>
          </w:tcPr>
          <w:p w14:paraId="32E804F3">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896" w:type="pct"/>
            <w:vAlign w:val="center"/>
          </w:tcPr>
          <w:p w14:paraId="1280EAAA">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902" w:type="pct"/>
            <w:vAlign w:val="center"/>
          </w:tcPr>
          <w:p w14:paraId="7D4659E4">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827" w:type="pct"/>
            <w:vAlign w:val="center"/>
          </w:tcPr>
          <w:p w14:paraId="4AAD381C">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r>
      <w:tr w14:paraId="2884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16" w:type="pct"/>
            <w:vAlign w:val="center"/>
          </w:tcPr>
          <w:p w14:paraId="2F200896">
            <w:pPr>
              <w:widowControl/>
              <w:adjustRightInd w:val="0"/>
              <w:snapToGrid w:val="0"/>
              <w:spacing w:before="100" w:beforeAutospacing="1" w:after="100" w:afterAutospacing="1"/>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057" w:type="pct"/>
            <w:vAlign w:val="center"/>
          </w:tcPr>
          <w:p w14:paraId="4382B642">
            <w:pPr>
              <w:rPr>
                <w:rFonts w:hint="default" w:eastAsia="宋体"/>
                <w:lang w:val="en-US" w:eastAsia="zh-CN"/>
              </w:rPr>
            </w:pPr>
            <w:bookmarkStart w:id="0" w:name="OLE_LINK1"/>
            <w:r>
              <w:rPr>
                <w:rFonts w:hint="eastAsia"/>
                <w:lang w:val="en-US" w:eastAsia="zh-CN"/>
              </w:rPr>
              <w:t>防压疮海绵床垫</w:t>
            </w:r>
            <w:bookmarkEnd w:id="0"/>
          </w:p>
        </w:tc>
        <w:tc>
          <w:tcPr>
            <w:tcW w:w="896" w:type="pct"/>
            <w:vAlign w:val="center"/>
          </w:tcPr>
          <w:p w14:paraId="646D3F4D">
            <w:pPr>
              <w:widowControl/>
              <w:adjustRightInd w:val="0"/>
              <w:snapToGrid w:val="0"/>
              <w:spacing w:before="100" w:beforeAutospacing="1" w:after="100" w:afterAutospacing="1"/>
              <w:jc w:val="center"/>
              <w:rPr>
                <w:rFonts w:hint="eastAsia" w:ascii="宋体" w:hAnsi="宋体" w:cs="宋体"/>
                <w:kern w:val="0"/>
                <w:szCs w:val="21"/>
                <w:lang w:val="en-US" w:eastAsia="zh-CN"/>
              </w:rPr>
            </w:pPr>
            <w:r>
              <w:rPr>
                <w:rFonts w:hint="eastAsia" w:ascii="宋体" w:hAnsi="宋体" w:cs="宋体"/>
                <w:kern w:val="0"/>
                <w:szCs w:val="21"/>
                <w:lang w:val="en-US" w:eastAsia="zh-CN"/>
              </w:rPr>
              <w:t>120S*170/086</w:t>
            </w:r>
          </w:p>
          <w:p w14:paraId="2E79C47B">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(120kg承重 长170cm 宽86cm)</w:t>
            </w:r>
          </w:p>
        </w:tc>
        <w:tc>
          <w:tcPr>
            <w:tcW w:w="902" w:type="pct"/>
            <w:vAlign w:val="center"/>
          </w:tcPr>
          <w:p w14:paraId="428FF280">
            <w:pPr>
              <w:widowControl/>
              <w:adjustRightInd w:val="0"/>
              <w:snapToGrid w:val="0"/>
              <w:spacing w:before="100" w:beforeAutospacing="1" w:after="100" w:afterAutospacing="1"/>
              <w:jc w:val="center"/>
              <w:rPr>
                <w:rFonts w:hint="default"/>
                <w:lang w:val="en-US" w:eastAsia="zh-CN"/>
              </w:rPr>
            </w:pPr>
            <w:r>
              <w:rPr>
                <w:rFonts w:hint="eastAsia"/>
                <w:lang w:val="en-US" w:eastAsia="zh-CN"/>
              </w:rPr>
              <w:t>记忆</w:t>
            </w:r>
            <w:r>
              <w:rPr>
                <w:rFonts w:hint="eastAsia" w:ascii="宋体" w:hAnsi="宋体" w:cs="宋体"/>
                <w:kern w:val="0"/>
                <w:szCs w:val="21"/>
                <w:lang w:val="en-US" w:eastAsia="zh-CN"/>
              </w:rPr>
              <w:t>海绵</w:t>
            </w:r>
          </w:p>
        </w:tc>
        <w:tc>
          <w:tcPr>
            <w:tcW w:w="1827" w:type="pct"/>
            <w:vAlign w:val="center"/>
          </w:tcPr>
          <w:p w14:paraId="617D14AF">
            <w:pPr>
              <w:rPr>
                <w:rFonts w:hint="eastAsia"/>
              </w:rPr>
            </w:pPr>
            <w:r>
              <w:rPr>
                <w:rFonts w:hint="eastAsia"/>
                <w:lang w:val="en-US" w:eastAsia="zh-CN"/>
              </w:rPr>
              <w:t>1.</w:t>
            </w:r>
            <w:r>
              <w:rPr>
                <w:rFonts w:hint="eastAsia"/>
              </w:rPr>
              <w:t>采用减压设计，提供最大的接触面及支撑力，有效预防褥疮。</w:t>
            </w:r>
          </w:p>
          <w:p w14:paraId="5D3A01F9">
            <w:pPr>
              <w:rPr>
                <w:rFonts w:hint="eastAsia"/>
              </w:rPr>
            </w:pPr>
            <w:r>
              <w:rPr>
                <w:rFonts w:hint="eastAsia"/>
              </w:rPr>
              <w:t>2.床垫高度≥15cm。</w:t>
            </w:r>
          </w:p>
          <w:p w14:paraId="3885DD0E">
            <w:pPr>
              <w:rPr>
                <w:rFonts w:hint="eastAsia"/>
              </w:rPr>
            </w:pPr>
            <w:r>
              <w:rPr>
                <w:rFonts w:hint="eastAsia"/>
              </w:rPr>
              <w:t>3.床垫宽度≤90cm,适合所有医用病床。</w:t>
            </w:r>
          </w:p>
          <w:p w14:paraId="12741A64">
            <w:pPr>
              <w:rPr>
                <w:rFonts w:hint="eastAsia"/>
              </w:rPr>
            </w:pPr>
            <w:r>
              <w:rPr>
                <w:rFonts w:hint="eastAsia"/>
              </w:rPr>
              <w:t>4.</w:t>
            </w:r>
            <w:bookmarkStart w:id="1" w:name="OLE_LINK2"/>
            <w:r>
              <w:rPr>
                <w:rFonts w:hint="eastAsia"/>
              </w:rPr>
              <w:t>海绵有横向切割的气流通道，确保气流循环，减少产热和潮湿。</w:t>
            </w:r>
          </w:p>
          <w:bookmarkEnd w:id="1"/>
          <w:p w14:paraId="122E711C">
            <w:pPr>
              <w:rPr>
                <w:rFonts w:hint="eastAsia"/>
              </w:rPr>
            </w:pPr>
            <w:r>
              <w:rPr>
                <w:rFonts w:hint="eastAsia"/>
              </w:rPr>
              <w:t>5.床垫分为三个不同的解剖区域，具有不同的压力分布，最大程度减轻压力。</w:t>
            </w:r>
          </w:p>
          <w:p w14:paraId="70358205">
            <w:pPr>
              <w:rPr>
                <w:rFonts w:hint="eastAsia"/>
              </w:rPr>
            </w:pPr>
            <w:r>
              <w:rPr>
                <w:rFonts w:hint="eastAsia"/>
              </w:rPr>
              <w:t>6. X-线兼容，可用于C臂机，方便转运。</w:t>
            </w:r>
          </w:p>
          <w:p w14:paraId="1DDFE550">
            <w:pPr>
              <w:rPr>
                <w:rFonts w:hint="eastAsia"/>
              </w:rPr>
            </w:pPr>
            <w:r>
              <w:rPr>
                <w:rFonts w:hint="eastAsia"/>
              </w:rPr>
              <w:t>7.适用于CPR。</w:t>
            </w:r>
          </w:p>
          <w:p w14:paraId="516FF0FD">
            <w:pPr>
              <w:rPr>
                <w:rFonts w:hint="eastAsia"/>
              </w:rPr>
            </w:pPr>
            <w:r>
              <w:rPr>
                <w:rFonts w:hint="eastAsia"/>
              </w:rPr>
              <w:t>8.产品的护罩要求为防水材质，但可透过蒸汽，病人更舒适。</w:t>
            </w:r>
          </w:p>
          <w:p w14:paraId="24D52A22">
            <w:pPr>
              <w:rPr>
                <w:rFonts w:hint="eastAsia"/>
              </w:rPr>
            </w:pPr>
            <w:r>
              <w:rPr>
                <w:rFonts w:hint="eastAsia"/>
              </w:rPr>
              <w:t>9.床罩具有抗菌抑菌功能。</w:t>
            </w:r>
          </w:p>
          <w:p w14:paraId="024668CA">
            <w:pPr>
              <w:rPr>
                <w:rFonts w:hint="eastAsia"/>
              </w:rPr>
            </w:pPr>
            <w:r>
              <w:rPr>
                <w:rFonts w:hint="eastAsia"/>
              </w:rPr>
              <w:t>10.床垫置换具有压力再分配功能，其含有一个可逆的四向旋转装置、高弹性聚氨酯芯，具备双向拉伸的透气防水罩。</w:t>
            </w:r>
          </w:p>
          <w:p w14:paraId="199BCF5D">
            <w:pPr>
              <w:rPr>
                <w:rFonts w:hint="eastAsia"/>
              </w:rPr>
            </w:pPr>
            <w:r>
              <w:rPr>
                <w:rFonts w:hint="eastAsia"/>
              </w:rPr>
              <w:t>11. 隐藏式拉链设计，简洁美观。</w:t>
            </w:r>
          </w:p>
          <w:p w14:paraId="374908A9">
            <w:r>
              <w:rPr>
                <w:rFonts w:hint="eastAsia"/>
              </w:rPr>
              <w:t>12. 床垫承重≥120KG。</w:t>
            </w:r>
          </w:p>
          <w:p w14:paraId="7BD88BFD">
            <w:pPr>
              <w:rPr>
                <w:rFonts w:hint="eastAsia"/>
              </w:rPr>
            </w:pPr>
          </w:p>
        </w:tc>
      </w:tr>
    </w:tbl>
    <w:p w14:paraId="7C4E05D5">
      <w:pPr>
        <w:widowControl/>
        <w:spacing w:before="100" w:beforeAutospacing="1" w:after="100" w:afterAutospacing="1"/>
        <w:jc w:val="left"/>
        <w:rPr>
          <w:rFonts w:hint="eastAsia" w:cs="宋体" w:asciiTheme="minorEastAsia" w:hAnsiTheme="minorEastAsia" w:eastAsiaTheme="minorEastAsia"/>
          <w:b/>
          <w:kern w:val="0"/>
          <w:sz w:val="24"/>
        </w:rPr>
      </w:pPr>
    </w:p>
    <w:p w14:paraId="53004DE5">
      <w:pPr>
        <w:widowControl/>
        <w:spacing w:before="100" w:beforeAutospacing="1" w:after="100" w:afterAutospacing="1"/>
        <w:jc w:val="left"/>
        <w:rPr>
          <w:rFonts w:hint="eastAsia" w:cs="宋体" w:asciiTheme="minorEastAsia" w:hAnsiTheme="minorEastAsia" w:eastAsiaTheme="minorEastAsia"/>
          <w:b/>
          <w:kern w:val="0"/>
          <w:sz w:val="24"/>
          <w:lang w:eastAsia="zh-CN"/>
        </w:rPr>
      </w:pPr>
    </w:p>
    <w:p w14:paraId="3B96FF26">
      <w:pPr>
        <w:spacing w:line="540" w:lineRule="exact"/>
        <w:rPr>
          <w:rFonts w:ascii="宋体" w:hAnsi="宋体"/>
          <w:bCs/>
          <w:sz w:val="24"/>
        </w:rPr>
      </w:pPr>
    </w:p>
    <w:p w14:paraId="2DA5ED1D">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41E68327">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279EDB0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7AA4179"/>
    <w:rsid w:val="18A17A93"/>
    <w:rsid w:val="1A2C7DEE"/>
    <w:rsid w:val="1A7FF1B7"/>
    <w:rsid w:val="247D0FF1"/>
    <w:rsid w:val="26435EC5"/>
    <w:rsid w:val="269C2E17"/>
    <w:rsid w:val="26EE059E"/>
    <w:rsid w:val="280D1415"/>
    <w:rsid w:val="288B5A00"/>
    <w:rsid w:val="2FFA7287"/>
    <w:rsid w:val="31EC06B1"/>
    <w:rsid w:val="327F0311"/>
    <w:rsid w:val="47164442"/>
    <w:rsid w:val="48AE321A"/>
    <w:rsid w:val="48F8086D"/>
    <w:rsid w:val="540C73F1"/>
    <w:rsid w:val="54D57D13"/>
    <w:rsid w:val="57371DC1"/>
    <w:rsid w:val="5A761F7B"/>
    <w:rsid w:val="5FF2755C"/>
    <w:rsid w:val="60B540C1"/>
    <w:rsid w:val="67CF76EF"/>
    <w:rsid w:val="690507DD"/>
    <w:rsid w:val="6E742BBC"/>
    <w:rsid w:val="704B11CB"/>
    <w:rsid w:val="799D7E4B"/>
    <w:rsid w:val="7FCE5C27"/>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2286</Words>
  <Characters>2400</Characters>
  <Lines>21</Lines>
  <Paragraphs>6</Paragraphs>
  <TotalTime>112</TotalTime>
  <ScaleCrop>false</ScaleCrop>
  <LinksUpToDate>false</LinksUpToDate>
  <CharactersWithSpaces>3066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2024-07-29T02:32:52Z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197FD1F01406494FB6758D96CEA8CCE4_13</vt:lpwstr>
  </property>
</Properties>
</file>