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AB07F27">
      <w:pPr>
        <w:pStyle w:val="2"/>
        <w:bidi w:val="0"/>
        <w:jc w:val="center"/>
        <w:rPr>
          <w:rFonts w:hint="eastAsia" w:ascii="黑体" w:hAnsi="黑体" w:eastAsia="黑体" w:cs="黑体"/>
        </w:rPr>
      </w:pPr>
      <w:r>
        <w:rPr>
          <w:rFonts w:hint="eastAsia" w:ascii="黑体" w:hAnsi="黑体" w:eastAsia="黑体" w:cs="黑体"/>
        </w:rPr>
        <w:t>深圳市儿童医院设备采购需求参数表</w:t>
      </w:r>
    </w:p>
    <w:tbl>
      <w:tblPr>
        <w:tblStyle w:val="9"/>
        <w:tblW w:w="0" w:type="auto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5"/>
        <w:gridCol w:w="1243"/>
        <w:gridCol w:w="7616"/>
      </w:tblGrid>
      <w:tr w14:paraId="2FE34D1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10914A74">
            <w:pPr>
              <w:widowControl/>
              <w:jc w:val="center"/>
              <w:rPr>
                <w:rFonts w:hint="default" w:ascii="Times New Roman" w:hAnsi="Times New Roman" w:eastAsia="宋体" w:cs="Times New Roman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1243" w:type="dxa"/>
            <w:tcBorders>
              <w:top w:val="single" w:color="3F3F3F" w:sz="4" w:space="0"/>
              <w:left w:val="single" w:color="auto" w:sz="4" w:space="0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 w14:paraId="3E1BB414">
            <w:pPr>
              <w:widowControl/>
              <w:jc w:val="center"/>
              <w:rPr>
                <w:rFonts w:hint="default" w:ascii="Times New Roman" w:hAnsi="Times New Roman" w:eastAsia="宋体" w:cs="Times New Roman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项目名称</w:t>
            </w:r>
          </w:p>
        </w:tc>
        <w:tc>
          <w:tcPr>
            <w:tcW w:w="7616" w:type="dxa"/>
            <w:tcBorders>
              <w:top w:val="single" w:color="3F3F3F" w:sz="4" w:space="0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 w14:paraId="6A451E0B">
            <w:pPr>
              <w:widowControl/>
              <w:jc w:val="center"/>
              <w:rPr>
                <w:rFonts w:hint="default" w:ascii="Times New Roman" w:hAnsi="Times New Roman" w:eastAsia="宋体" w:cs="Times New Roman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招标事项及要求</w:t>
            </w:r>
          </w:p>
        </w:tc>
      </w:tr>
      <w:tr w14:paraId="620B244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9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 w14:paraId="410870E5">
            <w:pPr>
              <w:widowControl/>
              <w:jc w:val="center"/>
              <w:rPr>
                <w:rFonts w:hint="default" w:ascii="Times New Roman" w:hAnsi="Times New Roman" w:eastAsia="宋体" w:cs="Times New Roman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243" w:type="dxa"/>
            <w:vMerge w:val="restart"/>
            <w:tcBorders>
              <w:top w:val="single" w:color="3F3F3F" w:sz="4" w:space="0"/>
              <w:left w:val="single" w:color="3F3F3F" w:sz="4" w:space="0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 w14:paraId="0EC1FE6A">
            <w:pPr>
              <w:widowControl/>
              <w:jc w:val="center"/>
              <w:rPr>
                <w:rFonts w:hint="default" w:ascii="Times New Roman" w:hAnsi="Times New Roman" w:eastAsia="宋体" w:cs="Times New Roman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color w:val="000000" w:themeColor="text1"/>
                <w:kern w:val="0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麻醉/脑电意识深度监测系统</w:t>
            </w:r>
          </w:p>
        </w:tc>
        <w:tc>
          <w:tcPr>
            <w:tcW w:w="7616" w:type="dxa"/>
            <w:tcBorders>
              <w:top w:val="single" w:color="3F3F3F" w:sz="4" w:space="0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 w14:paraId="1CB816DC">
            <w:pPr>
              <w:widowControl/>
              <w:jc w:val="both"/>
              <w:rPr>
                <w:rFonts w:hint="eastAsia" w:ascii="宋体" w:hAnsi="宋体" w:eastAsia="宋体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pacing w:val="1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▲</w:t>
            </w:r>
            <w:r>
              <w:rPr>
                <w:rFonts w:hint="eastAsia" w:ascii="宋体" w:hAnsi="宋体" w:cs="宋体"/>
                <w:color w:val="000000" w:themeColor="text1"/>
                <w:spacing w:val="10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1.</w:t>
            </w:r>
            <w:r>
              <w:rPr>
                <w:rFonts w:hint="eastAsia" w:ascii="宋体" w:hAnsi="宋体" w:eastAsia="宋体" w:cs="宋体"/>
                <w:color w:val="000000" w:themeColor="text1"/>
                <w:spacing w:val="1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术中镇静/意识指数（IoC1）、镇痛/疼痛指数（IoC2）等脑电双频谱监测。</w:t>
            </w:r>
          </w:p>
        </w:tc>
      </w:tr>
      <w:tr w14:paraId="52A3584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95" w:type="dxa"/>
            <w:vMerge w:val="continue"/>
            <w:tcBorders>
              <w:left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 w14:paraId="4918CDD8">
            <w:pPr>
              <w:widowControl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43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 w14:paraId="3CE4CD50"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16" w:type="dxa"/>
            <w:tcBorders>
              <w:top w:val="single" w:color="3F3F3F" w:sz="4" w:space="0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 w14:paraId="3686AA17">
            <w:pPr>
              <w:widowControl/>
              <w:jc w:val="both"/>
              <w:rPr>
                <w:rFonts w:hint="eastAsia" w:ascii="宋体" w:hAnsi="宋体" w:eastAsia="宋体" w:cs="宋体"/>
                <w:color w:val="000000" w:themeColor="text1"/>
                <w:spacing w:val="10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pacing w:val="10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2.</w:t>
            </w:r>
            <w:r>
              <w:rPr>
                <w:rFonts w:hint="eastAsia" w:ascii="宋体" w:hAnsi="宋体" w:eastAsia="宋体" w:cs="宋体"/>
                <w:color w:val="000000" w:themeColor="text1"/>
                <w:spacing w:val="1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麻醉深度监护仪整机为一体机，10.1寸全视角液</w:t>
            </w:r>
            <w:r>
              <w:rPr>
                <w:rFonts w:hint="eastAsia" w:ascii="宋体" w:hAnsi="宋体" w:eastAsia="宋体" w:cs="宋体"/>
                <w:color w:val="000000" w:themeColor="text1"/>
                <w:spacing w:val="9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晶显示屏，自带电容触摸屏，轻巧易携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color w:val="000000" w:themeColor="text1"/>
                <w:spacing w:val="9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带</w:t>
            </w:r>
          </w:p>
        </w:tc>
      </w:tr>
      <w:tr w14:paraId="26115B4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95" w:type="dxa"/>
            <w:vMerge w:val="continue"/>
            <w:tcBorders>
              <w:left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 w14:paraId="01FEAF73">
            <w:pPr>
              <w:widowControl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43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 w14:paraId="7506635B"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16" w:type="dxa"/>
            <w:tcBorders>
              <w:top w:val="single" w:color="3F3F3F" w:sz="4" w:space="0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 w14:paraId="70C74ECB">
            <w:pPr>
              <w:widowControl/>
              <w:jc w:val="both"/>
              <w:rPr>
                <w:rFonts w:hint="eastAsia" w:ascii="宋体" w:hAnsi="宋体" w:eastAsia="宋体" w:cs="宋体"/>
                <w:color w:val="000000" w:themeColor="text1"/>
                <w:spacing w:val="10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pacing w:val="10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</w:t>
            </w:r>
            <w:r>
              <w:rPr>
                <w:rFonts w:hint="eastAsia" w:ascii="宋体" w:hAnsi="宋体" w:eastAsia="宋体" w:cs="宋体"/>
                <w:color w:val="000000" w:themeColor="text1"/>
                <w:spacing w:val="10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.标准配置：脑电意识指数IOC</w:t>
            </w:r>
            <w:r>
              <w:rPr>
                <w:rFonts w:hint="eastAsia" w:ascii="宋体" w:hAnsi="宋体" w:cs="宋体"/>
                <w:color w:val="000000" w:themeColor="text1"/>
                <w:spacing w:val="10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:（IOC1,IOC2）</w:t>
            </w:r>
            <w:r>
              <w:rPr>
                <w:rFonts w:hint="eastAsia" w:ascii="宋体" w:hAnsi="宋体" w:eastAsia="宋体" w:cs="宋体"/>
                <w:color w:val="000000" w:themeColor="text1"/>
                <w:spacing w:val="10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、面部肌电指数（EMG）、 爆发抑制比（BS）</w:t>
            </w:r>
          </w:p>
        </w:tc>
      </w:tr>
      <w:tr w14:paraId="4846E80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95" w:type="dxa"/>
            <w:vMerge w:val="continue"/>
            <w:tcBorders>
              <w:left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 w14:paraId="06EBBA88">
            <w:pPr>
              <w:widowControl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43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 w14:paraId="41FD3AC6"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16" w:type="dxa"/>
            <w:tcBorders>
              <w:top w:val="single" w:color="3F3F3F" w:sz="4" w:space="0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 w14:paraId="67CF3EAB">
            <w:pPr>
              <w:widowControl/>
              <w:jc w:val="both"/>
              <w:rPr>
                <w:rFonts w:hint="eastAsia" w:ascii="宋体" w:hAnsi="宋体" w:eastAsia="宋体" w:cs="宋体"/>
                <w:color w:val="000000" w:themeColor="text1"/>
                <w:spacing w:val="10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pacing w:val="10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</w:t>
            </w:r>
            <w:r>
              <w:rPr>
                <w:rFonts w:hint="eastAsia" w:ascii="宋体" w:hAnsi="宋体" w:eastAsia="宋体" w:cs="宋体"/>
                <w:color w:val="000000" w:themeColor="text1"/>
                <w:spacing w:val="10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.1脑电意识指数：范围0-</w:t>
            </w:r>
            <w:r>
              <w:rPr>
                <w:rFonts w:hint="eastAsia" w:ascii="宋体" w:hAnsi="宋体" w:cs="宋体"/>
                <w:color w:val="000000" w:themeColor="text1"/>
                <w:spacing w:val="10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99</w:t>
            </w:r>
            <w:r>
              <w:rPr>
                <w:rFonts w:hint="eastAsia" w:ascii="宋体" w:hAnsi="宋体" w:eastAsia="宋体" w:cs="宋体"/>
                <w:color w:val="000000" w:themeColor="text1"/>
                <w:spacing w:val="10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，实时监测患者的麻醉深度</w:t>
            </w:r>
          </w:p>
        </w:tc>
      </w:tr>
      <w:tr w14:paraId="7BCEFDE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95" w:type="dxa"/>
            <w:vMerge w:val="continue"/>
            <w:tcBorders>
              <w:top w:val="nil"/>
              <w:left w:val="single" w:color="auto" w:sz="4" w:space="0"/>
              <w:bottom w:val="single" w:color="3F3F3F" w:sz="4" w:space="0"/>
              <w:right w:val="single" w:color="3F3F3F" w:sz="4" w:space="0"/>
            </w:tcBorders>
            <w:vAlign w:val="center"/>
          </w:tcPr>
          <w:p w14:paraId="5139C111">
            <w:pPr>
              <w:widowControl/>
              <w:jc w:val="left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43" w:type="dxa"/>
            <w:vMerge w:val="continue"/>
            <w:tcBorders>
              <w:top w:val="single" w:color="3F3F3F" w:sz="4" w:space="0"/>
              <w:left w:val="single" w:color="3F3F3F" w:sz="4" w:space="0"/>
              <w:bottom w:val="single" w:color="3F3F3F" w:sz="4" w:space="0"/>
              <w:right w:val="single" w:color="3F3F3F" w:sz="4" w:space="0"/>
            </w:tcBorders>
            <w:vAlign w:val="center"/>
          </w:tcPr>
          <w:p w14:paraId="0C6EB28E">
            <w:pPr>
              <w:widowControl/>
              <w:jc w:val="left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16" w:type="dxa"/>
            <w:tcBorders>
              <w:top w:val="single" w:color="3F3F3F" w:sz="4" w:space="0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 w14:paraId="3F900088">
            <w:pPr>
              <w:widowControl/>
              <w:spacing w:line="240" w:lineRule="auto"/>
              <w:jc w:val="both"/>
              <w:rPr>
                <w:rFonts w:hint="eastAsia" w:ascii="宋体" w:hAnsi="宋体" w:eastAsia="宋体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.2面部肌电指数：能实时监测范围在0-47HZ肌电强度，范围0 -100，提供肌电活动和干扰的参考依据</w:t>
            </w:r>
          </w:p>
        </w:tc>
      </w:tr>
      <w:tr w14:paraId="419BD86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95" w:type="dxa"/>
            <w:vMerge w:val="continue"/>
            <w:tcBorders>
              <w:top w:val="nil"/>
              <w:left w:val="single" w:color="auto" w:sz="4" w:space="0"/>
              <w:bottom w:val="single" w:color="3F3F3F" w:sz="4" w:space="0"/>
              <w:right w:val="single" w:color="3F3F3F" w:sz="4" w:space="0"/>
            </w:tcBorders>
            <w:vAlign w:val="center"/>
          </w:tcPr>
          <w:p w14:paraId="0DA5F9B5">
            <w:pPr>
              <w:widowControl/>
              <w:jc w:val="left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43" w:type="dxa"/>
            <w:vMerge w:val="continue"/>
            <w:tcBorders>
              <w:top w:val="single" w:color="3F3F3F" w:sz="4" w:space="0"/>
              <w:left w:val="single" w:color="3F3F3F" w:sz="4" w:space="0"/>
              <w:bottom w:val="single" w:color="3F3F3F" w:sz="4" w:space="0"/>
              <w:right w:val="single" w:color="3F3F3F" w:sz="4" w:space="0"/>
            </w:tcBorders>
            <w:vAlign w:val="center"/>
          </w:tcPr>
          <w:p w14:paraId="3ABC5E39">
            <w:pPr>
              <w:widowControl/>
              <w:jc w:val="left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16" w:type="dxa"/>
            <w:tcBorders>
              <w:top w:val="single" w:color="3F3F3F" w:sz="4" w:space="0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 w14:paraId="6B737571">
            <w:pPr>
              <w:widowControl/>
              <w:spacing w:line="240" w:lineRule="auto"/>
              <w:jc w:val="both"/>
              <w:rPr>
                <w:rFonts w:hint="eastAsia" w:ascii="宋体" w:hAnsi="宋体" w:eastAsia="宋体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.3爆发性抑制比（BS）：范围0-100%，实时监测记录，为过深麻醉和镇静提供定量参考数据，保证麻醉安全</w:t>
            </w:r>
          </w:p>
        </w:tc>
      </w:tr>
      <w:tr w14:paraId="5A7B6CF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95" w:type="dxa"/>
            <w:vMerge w:val="continue"/>
            <w:tcBorders>
              <w:top w:val="nil"/>
              <w:left w:val="single" w:color="auto" w:sz="4" w:space="0"/>
              <w:bottom w:val="single" w:color="3F3F3F" w:sz="4" w:space="0"/>
              <w:right w:val="single" w:color="3F3F3F" w:sz="4" w:space="0"/>
            </w:tcBorders>
            <w:vAlign w:val="center"/>
          </w:tcPr>
          <w:p w14:paraId="2FAEF117">
            <w:pPr>
              <w:widowControl/>
              <w:jc w:val="left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43" w:type="dxa"/>
            <w:vMerge w:val="continue"/>
            <w:tcBorders>
              <w:top w:val="single" w:color="3F3F3F" w:sz="4" w:space="0"/>
              <w:left w:val="single" w:color="3F3F3F" w:sz="4" w:space="0"/>
              <w:bottom w:val="single" w:color="3F3F3F" w:sz="4" w:space="0"/>
              <w:right w:val="single" w:color="3F3F3F" w:sz="4" w:space="0"/>
            </w:tcBorders>
            <w:vAlign w:val="center"/>
          </w:tcPr>
          <w:p w14:paraId="001945EF">
            <w:pPr>
              <w:widowControl/>
              <w:jc w:val="left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16" w:type="dxa"/>
            <w:tcBorders>
              <w:top w:val="single" w:color="3F3F3F" w:sz="4" w:space="0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 w14:paraId="0B707ED4">
            <w:pPr>
              <w:widowControl/>
              <w:spacing w:line="240" w:lineRule="auto"/>
              <w:jc w:val="both"/>
              <w:rPr>
                <w:rFonts w:hint="eastAsia" w:ascii="宋体" w:hAnsi="宋体" w:eastAsia="宋体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.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信号质量指数（SQI）：范围0~100，能实时监测记录信号质量</w:t>
            </w:r>
          </w:p>
        </w:tc>
      </w:tr>
      <w:tr w14:paraId="509FE63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95" w:type="dxa"/>
            <w:vMerge w:val="continue"/>
            <w:tcBorders>
              <w:top w:val="nil"/>
              <w:left w:val="single" w:color="auto" w:sz="4" w:space="0"/>
              <w:bottom w:val="single" w:color="3F3F3F" w:sz="4" w:space="0"/>
              <w:right w:val="single" w:color="3F3F3F" w:sz="4" w:space="0"/>
            </w:tcBorders>
            <w:vAlign w:val="center"/>
          </w:tcPr>
          <w:p w14:paraId="552FC633">
            <w:pPr>
              <w:widowControl/>
              <w:jc w:val="left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43" w:type="dxa"/>
            <w:vMerge w:val="continue"/>
            <w:tcBorders>
              <w:top w:val="single" w:color="3F3F3F" w:sz="4" w:space="0"/>
              <w:left w:val="single" w:color="3F3F3F" w:sz="4" w:space="0"/>
              <w:bottom w:val="single" w:color="3F3F3F" w:sz="4" w:space="0"/>
              <w:right w:val="single" w:color="3F3F3F" w:sz="4" w:space="0"/>
            </w:tcBorders>
            <w:vAlign w:val="center"/>
          </w:tcPr>
          <w:p w14:paraId="2E1E619A">
            <w:pPr>
              <w:widowControl/>
              <w:jc w:val="left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16" w:type="dxa"/>
            <w:tcBorders>
              <w:top w:val="single" w:color="3F3F3F" w:sz="4" w:space="0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 w14:paraId="52161614">
            <w:pPr>
              <w:widowControl/>
              <w:spacing w:line="240" w:lineRule="auto"/>
              <w:jc w:val="both"/>
              <w:rPr>
                <w:rFonts w:hint="eastAsia" w:ascii="宋体" w:hAnsi="宋体" w:eastAsia="宋体" w:cs="宋体"/>
                <w:color w:val="000000" w:themeColor="text1"/>
                <w:kern w:val="0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.趋势图：能实时观察麻醉深度参数的变化趋势，显示整个麻醉过程中患者各脑电监测参数的动态变化，刷新时间：≤1秒</w:t>
            </w:r>
          </w:p>
        </w:tc>
      </w:tr>
      <w:tr w14:paraId="07931B3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95" w:type="dxa"/>
            <w:vMerge w:val="continue"/>
            <w:tcBorders>
              <w:top w:val="nil"/>
              <w:left w:val="single" w:color="auto" w:sz="4" w:space="0"/>
              <w:bottom w:val="single" w:color="3F3F3F" w:sz="4" w:space="0"/>
              <w:right w:val="single" w:color="3F3F3F" w:sz="4" w:space="0"/>
            </w:tcBorders>
            <w:vAlign w:val="center"/>
          </w:tcPr>
          <w:p w14:paraId="40CA856E">
            <w:pPr>
              <w:widowControl/>
              <w:jc w:val="left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43" w:type="dxa"/>
            <w:vMerge w:val="continue"/>
            <w:tcBorders>
              <w:top w:val="single" w:color="3F3F3F" w:sz="4" w:space="0"/>
              <w:left w:val="single" w:color="3F3F3F" w:sz="4" w:space="0"/>
              <w:bottom w:val="single" w:color="3F3F3F" w:sz="4" w:space="0"/>
              <w:right w:val="single" w:color="3F3F3F" w:sz="4" w:space="0"/>
            </w:tcBorders>
            <w:vAlign w:val="center"/>
          </w:tcPr>
          <w:p w14:paraId="6A2E3BB1">
            <w:pPr>
              <w:widowControl/>
              <w:jc w:val="left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16" w:type="dxa"/>
            <w:tcBorders>
              <w:top w:val="single" w:color="3F3F3F" w:sz="4" w:space="0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 w14:paraId="3511A883">
            <w:pPr>
              <w:widowControl/>
              <w:spacing w:line="240" w:lineRule="auto"/>
              <w:jc w:val="both"/>
              <w:rPr>
                <w:rFonts w:hint="default" w:ascii="宋体" w:hAnsi="宋体" w:eastAsia="宋体" w:cs="宋体"/>
                <w:color w:val="000000" w:themeColor="text1"/>
                <w:kern w:val="0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2"/>
                <w:szCs w:val="22"/>
                <w:highlight w:val="none"/>
                <w14:textFill>
                  <w14:solidFill>
                    <w14:schemeClr w14:val="tx1"/>
                  </w14:solidFill>
                </w14:textFill>
              </w:rPr>
              <w:t>▲</w:t>
            </w:r>
            <w:r>
              <w:rPr>
                <w:rFonts w:hint="eastAsia" w:ascii="宋体" w:hAnsi="宋体" w:cs="宋体"/>
                <w:b w:val="0"/>
                <w:bCs w:val="0"/>
                <w:color w:val="000000" w:themeColor="text1"/>
                <w:kern w:val="0"/>
                <w:sz w:val="22"/>
                <w:szCs w:val="22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6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.适用于成人及儿童（可量化，适应年龄范围越大越好）</w:t>
            </w:r>
          </w:p>
        </w:tc>
      </w:tr>
      <w:tr w14:paraId="2E13AFD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95" w:type="dxa"/>
            <w:vMerge w:val="continue"/>
            <w:tcBorders>
              <w:top w:val="nil"/>
              <w:left w:val="single" w:color="auto" w:sz="4" w:space="0"/>
              <w:bottom w:val="single" w:color="3F3F3F" w:sz="4" w:space="0"/>
              <w:right w:val="single" w:color="3F3F3F" w:sz="4" w:space="0"/>
            </w:tcBorders>
            <w:vAlign w:val="center"/>
          </w:tcPr>
          <w:p w14:paraId="2DFE8816">
            <w:pPr>
              <w:widowControl/>
              <w:jc w:val="left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43" w:type="dxa"/>
            <w:vMerge w:val="continue"/>
            <w:tcBorders>
              <w:top w:val="single" w:color="3F3F3F" w:sz="4" w:space="0"/>
              <w:left w:val="single" w:color="3F3F3F" w:sz="4" w:space="0"/>
              <w:bottom w:val="single" w:color="3F3F3F" w:sz="4" w:space="0"/>
              <w:right w:val="single" w:color="3F3F3F" w:sz="4" w:space="0"/>
            </w:tcBorders>
            <w:vAlign w:val="center"/>
          </w:tcPr>
          <w:p w14:paraId="4E34A456">
            <w:pPr>
              <w:widowControl/>
              <w:jc w:val="left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16" w:type="dxa"/>
            <w:tcBorders>
              <w:top w:val="single" w:color="3F3F3F" w:sz="4" w:space="0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 w14:paraId="10108942">
            <w:pPr>
              <w:widowControl/>
              <w:spacing w:line="240" w:lineRule="auto"/>
              <w:jc w:val="both"/>
              <w:rPr>
                <w:rFonts w:hint="eastAsia" w:ascii="宋体" w:hAnsi="宋体" w:eastAsia="宋体" w:cs="宋体"/>
                <w:color w:val="000000" w:themeColor="text1"/>
                <w:kern w:val="0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7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.屏幕高清图像输出功能：USB线口将生成的麻醉深度图像数据拷贝到电脑</w:t>
            </w:r>
          </w:p>
        </w:tc>
      </w:tr>
      <w:tr w14:paraId="2DD3F3F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95" w:type="dxa"/>
            <w:vMerge w:val="continue"/>
            <w:tcBorders>
              <w:top w:val="nil"/>
              <w:left w:val="single" w:color="auto" w:sz="4" w:space="0"/>
              <w:bottom w:val="single" w:color="3F3F3F" w:sz="4" w:space="0"/>
              <w:right w:val="single" w:color="3F3F3F" w:sz="4" w:space="0"/>
            </w:tcBorders>
            <w:vAlign w:val="center"/>
          </w:tcPr>
          <w:p w14:paraId="789BAA1E">
            <w:pPr>
              <w:widowControl/>
              <w:jc w:val="left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43" w:type="dxa"/>
            <w:vMerge w:val="continue"/>
            <w:tcBorders>
              <w:top w:val="single" w:color="3F3F3F" w:sz="4" w:space="0"/>
              <w:left w:val="single" w:color="3F3F3F" w:sz="4" w:space="0"/>
              <w:bottom w:val="single" w:color="3F3F3F" w:sz="4" w:space="0"/>
              <w:right w:val="single" w:color="3F3F3F" w:sz="4" w:space="0"/>
            </w:tcBorders>
            <w:vAlign w:val="center"/>
          </w:tcPr>
          <w:p w14:paraId="7D6D7ADA">
            <w:pPr>
              <w:widowControl/>
              <w:jc w:val="left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16" w:type="dxa"/>
            <w:tcBorders>
              <w:top w:val="single" w:color="3F3F3F" w:sz="4" w:space="0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 w14:paraId="25612911">
            <w:pPr>
              <w:widowControl/>
              <w:spacing w:line="240" w:lineRule="auto"/>
              <w:jc w:val="both"/>
              <w:rPr>
                <w:rFonts w:hint="eastAsia" w:ascii="宋体" w:hAnsi="宋体" w:eastAsia="宋体" w:cs="宋体"/>
                <w:color w:val="000000" w:themeColor="text1"/>
                <w:kern w:val="0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8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.六种时间等级回看功能：×1、×2、×4、×8、×16、全部</w:t>
            </w:r>
          </w:p>
        </w:tc>
      </w:tr>
      <w:tr w14:paraId="2BDD56D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95" w:type="dxa"/>
            <w:vMerge w:val="continue"/>
            <w:tcBorders>
              <w:top w:val="nil"/>
              <w:left w:val="single" w:color="auto" w:sz="4" w:space="0"/>
              <w:bottom w:val="single" w:color="3F3F3F" w:sz="4" w:space="0"/>
              <w:right w:val="single" w:color="3F3F3F" w:sz="4" w:space="0"/>
            </w:tcBorders>
            <w:vAlign w:val="center"/>
          </w:tcPr>
          <w:p w14:paraId="6BAAFAB9">
            <w:pPr>
              <w:widowControl/>
              <w:jc w:val="left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43" w:type="dxa"/>
            <w:vMerge w:val="continue"/>
            <w:tcBorders>
              <w:top w:val="single" w:color="3F3F3F" w:sz="4" w:space="0"/>
              <w:left w:val="single" w:color="3F3F3F" w:sz="4" w:space="0"/>
              <w:bottom w:val="single" w:color="3F3F3F" w:sz="4" w:space="0"/>
              <w:right w:val="single" w:color="3F3F3F" w:sz="4" w:space="0"/>
            </w:tcBorders>
            <w:vAlign w:val="center"/>
          </w:tcPr>
          <w:p w14:paraId="3508EE2C">
            <w:pPr>
              <w:widowControl/>
              <w:jc w:val="left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16" w:type="dxa"/>
            <w:tcBorders>
              <w:top w:val="single" w:color="3F3F3F" w:sz="4" w:space="0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 w14:paraId="281EC0F2">
            <w:pPr>
              <w:widowControl/>
              <w:spacing w:line="240" w:lineRule="auto"/>
              <w:jc w:val="both"/>
              <w:rPr>
                <w:rFonts w:hint="eastAsia" w:ascii="宋体" w:hAnsi="宋体" w:eastAsia="宋体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2"/>
                <w:szCs w:val="22"/>
                <w:highlight w:val="none"/>
                <w14:textFill>
                  <w14:solidFill>
                    <w14:schemeClr w14:val="tx1"/>
                  </w14:solidFill>
                </w14:textFill>
              </w:rPr>
              <w:t>▲</w:t>
            </w:r>
            <w:r>
              <w:rPr>
                <w:rFonts w:hint="eastAsia" w:ascii="宋体" w:hAnsi="宋体" w:cs="宋体"/>
                <w:b w:val="0"/>
                <w:bCs w:val="0"/>
                <w:color w:val="000000" w:themeColor="text1"/>
                <w:kern w:val="0"/>
                <w:sz w:val="22"/>
                <w:szCs w:val="22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9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.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软件升级功能：升级后可查看脑电波的EEG、α波、β波、θ波、δ波的5种的脑电生理波形及其带宽。</w:t>
            </w:r>
          </w:p>
        </w:tc>
      </w:tr>
      <w:tr w14:paraId="6B833D2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95" w:type="dxa"/>
            <w:vMerge w:val="continue"/>
            <w:tcBorders>
              <w:top w:val="nil"/>
              <w:left w:val="single" w:color="auto" w:sz="4" w:space="0"/>
              <w:bottom w:val="single" w:color="3F3F3F" w:sz="4" w:space="0"/>
              <w:right w:val="single" w:color="3F3F3F" w:sz="4" w:space="0"/>
            </w:tcBorders>
            <w:vAlign w:val="center"/>
          </w:tcPr>
          <w:p w14:paraId="49EA9710">
            <w:pPr>
              <w:widowControl/>
              <w:jc w:val="left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43" w:type="dxa"/>
            <w:vMerge w:val="continue"/>
            <w:tcBorders>
              <w:top w:val="single" w:color="3F3F3F" w:sz="4" w:space="0"/>
              <w:left w:val="single" w:color="3F3F3F" w:sz="4" w:space="0"/>
              <w:bottom w:val="single" w:color="3F3F3F" w:sz="4" w:space="0"/>
              <w:right w:val="single" w:color="3F3F3F" w:sz="4" w:space="0"/>
            </w:tcBorders>
            <w:vAlign w:val="center"/>
          </w:tcPr>
          <w:p w14:paraId="473DF588">
            <w:pPr>
              <w:widowControl/>
              <w:jc w:val="left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16" w:type="dxa"/>
            <w:tcBorders>
              <w:top w:val="single" w:color="3F3F3F" w:sz="4" w:space="0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 w14:paraId="0DABC6ED">
            <w:pPr>
              <w:widowControl/>
              <w:spacing w:line="240" w:lineRule="auto"/>
              <w:jc w:val="both"/>
              <w:rPr>
                <w:rFonts w:hint="eastAsia" w:ascii="宋体" w:hAnsi="宋体" w:eastAsia="宋体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.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趋势回看功能：可在波形区查看从有数据开始整个时间段的参数记录趋势</w:t>
            </w:r>
          </w:p>
        </w:tc>
      </w:tr>
      <w:tr w14:paraId="7AA134C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95" w:type="dxa"/>
            <w:vMerge w:val="continue"/>
            <w:tcBorders>
              <w:top w:val="nil"/>
              <w:left w:val="single" w:color="auto" w:sz="4" w:space="0"/>
              <w:bottom w:val="single" w:color="3F3F3F" w:sz="4" w:space="0"/>
              <w:right w:val="single" w:color="3F3F3F" w:sz="4" w:space="0"/>
            </w:tcBorders>
            <w:vAlign w:val="center"/>
          </w:tcPr>
          <w:p w14:paraId="4A1DC340">
            <w:pPr>
              <w:widowControl/>
              <w:jc w:val="left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43" w:type="dxa"/>
            <w:vMerge w:val="continue"/>
            <w:tcBorders>
              <w:top w:val="single" w:color="3F3F3F" w:sz="4" w:space="0"/>
              <w:left w:val="single" w:color="3F3F3F" w:sz="4" w:space="0"/>
              <w:bottom w:val="single" w:color="3F3F3F" w:sz="4" w:space="0"/>
              <w:right w:val="single" w:color="3F3F3F" w:sz="4" w:space="0"/>
            </w:tcBorders>
            <w:vAlign w:val="center"/>
          </w:tcPr>
          <w:p w14:paraId="0BC69715">
            <w:pPr>
              <w:widowControl/>
              <w:jc w:val="left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16" w:type="dxa"/>
            <w:tcBorders>
              <w:top w:val="single" w:color="3F3F3F" w:sz="4" w:space="0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 w14:paraId="60E6AAE8">
            <w:pPr>
              <w:widowControl/>
              <w:spacing w:line="240" w:lineRule="auto"/>
              <w:jc w:val="both"/>
              <w:rPr>
                <w:rFonts w:hint="eastAsia" w:ascii="宋体" w:hAnsi="宋体" w:eastAsia="宋体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.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具有参数趋势导出功能：具有USB数据输出功能，将生成U盘里的连续麻醉深度参数数据拷贝到电脑；最小单位：秒</w:t>
            </w:r>
          </w:p>
        </w:tc>
      </w:tr>
      <w:tr w14:paraId="6351D51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95" w:type="dxa"/>
            <w:vMerge w:val="continue"/>
            <w:tcBorders>
              <w:top w:val="nil"/>
              <w:left w:val="single" w:color="auto" w:sz="4" w:space="0"/>
              <w:bottom w:val="single" w:color="3F3F3F" w:sz="4" w:space="0"/>
              <w:right w:val="single" w:color="3F3F3F" w:sz="4" w:space="0"/>
            </w:tcBorders>
            <w:vAlign w:val="center"/>
          </w:tcPr>
          <w:p w14:paraId="5BF207BA">
            <w:pPr>
              <w:widowControl/>
              <w:jc w:val="left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43" w:type="dxa"/>
            <w:vMerge w:val="continue"/>
            <w:tcBorders>
              <w:top w:val="single" w:color="3F3F3F" w:sz="4" w:space="0"/>
              <w:left w:val="single" w:color="3F3F3F" w:sz="4" w:space="0"/>
              <w:bottom w:val="single" w:color="3F3F3F" w:sz="4" w:space="0"/>
              <w:right w:val="single" w:color="3F3F3F" w:sz="4" w:space="0"/>
            </w:tcBorders>
            <w:vAlign w:val="center"/>
          </w:tcPr>
          <w:p w14:paraId="02AA609C">
            <w:pPr>
              <w:widowControl/>
              <w:jc w:val="left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16" w:type="dxa"/>
            <w:tcBorders>
              <w:top w:val="single" w:color="3F3F3F" w:sz="4" w:space="0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 w14:paraId="3BE641F9">
            <w:pPr>
              <w:widowControl/>
              <w:spacing w:line="240" w:lineRule="auto"/>
              <w:jc w:val="both"/>
              <w:rPr>
                <w:rFonts w:hint="eastAsia" w:ascii="宋体" w:hAnsi="宋体" w:eastAsia="宋体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.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内置电池：工作时间≥6小时</w:t>
            </w:r>
          </w:p>
        </w:tc>
      </w:tr>
      <w:tr w14:paraId="0D40604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95" w:type="dxa"/>
            <w:vMerge w:val="continue"/>
            <w:tcBorders>
              <w:top w:val="nil"/>
              <w:left w:val="single" w:color="auto" w:sz="4" w:space="0"/>
              <w:bottom w:val="single" w:color="3F3F3F" w:sz="4" w:space="0"/>
              <w:right w:val="single" w:color="3F3F3F" w:sz="4" w:space="0"/>
            </w:tcBorders>
            <w:vAlign w:val="center"/>
          </w:tcPr>
          <w:p w14:paraId="40F32157">
            <w:pPr>
              <w:widowControl/>
              <w:jc w:val="left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43" w:type="dxa"/>
            <w:vMerge w:val="continue"/>
            <w:tcBorders>
              <w:top w:val="single" w:color="3F3F3F" w:sz="4" w:space="0"/>
              <w:left w:val="single" w:color="3F3F3F" w:sz="4" w:space="0"/>
              <w:bottom w:val="single" w:color="3F3F3F" w:sz="4" w:space="0"/>
              <w:right w:val="single" w:color="3F3F3F" w:sz="4" w:space="0"/>
            </w:tcBorders>
            <w:vAlign w:val="center"/>
          </w:tcPr>
          <w:p w14:paraId="3C67834D">
            <w:pPr>
              <w:widowControl/>
              <w:jc w:val="left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16" w:type="dxa"/>
            <w:tcBorders>
              <w:top w:val="single" w:color="3F3F3F" w:sz="4" w:space="0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 w14:paraId="7E8BD5A3">
            <w:pPr>
              <w:widowControl/>
              <w:spacing w:line="240" w:lineRule="auto"/>
              <w:jc w:val="both"/>
              <w:rPr>
                <w:rFonts w:hint="eastAsia" w:ascii="宋体" w:hAnsi="宋体" w:eastAsia="宋体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2"/>
                <w:szCs w:val="22"/>
                <w:highlight w:val="none"/>
                <w14:textFill>
                  <w14:solidFill>
                    <w14:schemeClr w14:val="tx1"/>
                  </w14:solidFill>
                </w14:textFill>
              </w:rPr>
              <w:t>▲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.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报警功能：具有文字报警、灯光报警和声音报警三种报警方式。声光报警上下限和报警时间用户可调。</w:t>
            </w:r>
          </w:p>
        </w:tc>
      </w:tr>
      <w:tr w14:paraId="52EB6D0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95" w:type="dxa"/>
            <w:vMerge w:val="continue"/>
            <w:tcBorders>
              <w:top w:val="nil"/>
              <w:left w:val="single" w:color="auto" w:sz="4" w:space="0"/>
              <w:bottom w:val="single" w:color="3F3F3F" w:sz="4" w:space="0"/>
              <w:right w:val="single" w:color="3F3F3F" w:sz="4" w:space="0"/>
            </w:tcBorders>
            <w:vAlign w:val="center"/>
          </w:tcPr>
          <w:p w14:paraId="29767741">
            <w:pPr>
              <w:widowControl/>
              <w:jc w:val="left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43" w:type="dxa"/>
            <w:vMerge w:val="continue"/>
            <w:tcBorders>
              <w:top w:val="single" w:color="3F3F3F" w:sz="4" w:space="0"/>
              <w:left w:val="single" w:color="3F3F3F" w:sz="4" w:space="0"/>
              <w:bottom w:val="single" w:color="3F3F3F" w:sz="4" w:space="0"/>
              <w:right w:val="single" w:color="3F3F3F" w:sz="4" w:space="0"/>
            </w:tcBorders>
            <w:vAlign w:val="center"/>
          </w:tcPr>
          <w:p w14:paraId="46FA6CBB">
            <w:pPr>
              <w:widowControl/>
              <w:jc w:val="left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16" w:type="dxa"/>
            <w:tcBorders>
              <w:top w:val="single" w:color="3F3F3F" w:sz="4" w:space="0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 w14:paraId="49C23C59">
            <w:pPr>
              <w:widowControl/>
              <w:jc w:val="both"/>
              <w:rPr>
                <w:rFonts w:hint="eastAsia" w:ascii="宋体" w:hAnsi="宋体" w:eastAsia="宋体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.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系统自检功能：每15分钟自检一次，每次都会自动更新检测阻抗数值。</w:t>
            </w:r>
          </w:p>
        </w:tc>
      </w:tr>
      <w:tr w14:paraId="2D8D263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95" w:type="dxa"/>
            <w:vMerge w:val="continue"/>
            <w:tcBorders>
              <w:top w:val="nil"/>
              <w:left w:val="single" w:color="auto" w:sz="4" w:space="0"/>
              <w:bottom w:val="single" w:color="3F3F3F" w:sz="4" w:space="0"/>
              <w:right w:val="single" w:color="3F3F3F" w:sz="4" w:space="0"/>
            </w:tcBorders>
            <w:vAlign w:val="center"/>
          </w:tcPr>
          <w:p w14:paraId="4F329C90">
            <w:pPr>
              <w:widowControl/>
              <w:jc w:val="left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2AC5FA0C">
            <w:pPr>
              <w:widowControl/>
              <w:jc w:val="left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43" w:type="dxa"/>
            <w:vMerge w:val="continue"/>
            <w:tcBorders>
              <w:top w:val="single" w:color="3F3F3F" w:sz="4" w:space="0"/>
              <w:left w:val="single" w:color="3F3F3F" w:sz="4" w:space="0"/>
              <w:bottom w:val="single" w:color="3F3F3F" w:sz="4" w:space="0"/>
              <w:right w:val="single" w:color="3F3F3F" w:sz="4" w:space="0"/>
            </w:tcBorders>
            <w:vAlign w:val="center"/>
          </w:tcPr>
          <w:p w14:paraId="114FCEF6">
            <w:pPr>
              <w:widowControl/>
              <w:jc w:val="left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16" w:type="dxa"/>
            <w:tcBorders>
              <w:top w:val="single" w:color="3F3F3F" w:sz="4" w:space="0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 w14:paraId="42736CD4">
            <w:pPr>
              <w:widowControl/>
              <w:jc w:val="both"/>
              <w:rPr>
                <w:rFonts w:hint="eastAsia" w:ascii="宋体" w:hAnsi="宋体" w:eastAsia="宋体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.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抗干扰能力：仪器具有抗电刀能力。可在有干扰环境下工作。</w:t>
            </w:r>
          </w:p>
        </w:tc>
      </w:tr>
      <w:tr w14:paraId="3B570DE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95" w:type="dxa"/>
            <w:vMerge w:val="continue"/>
            <w:tcBorders>
              <w:top w:val="nil"/>
              <w:left w:val="single" w:color="auto" w:sz="4" w:space="0"/>
              <w:bottom w:val="single" w:color="3F3F3F" w:sz="4" w:space="0"/>
              <w:right w:val="single" w:color="3F3F3F" w:sz="4" w:space="0"/>
            </w:tcBorders>
            <w:vAlign w:val="center"/>
          </w:tcPr>
          <w:p w14:paraId="47C9BDA3">
            <w:pPr>
              <w:widowControl/>
              <w:jc w:val="left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43" w:type="dxa"/>
            <w:vMerge w:val="continue"/>
            <w:tcBorders>
              <w:top w:val="single" w:color="3F3F3F" w:sz="4" w:space="0"/>
              <w:left w:val="single" w:color="3F3F3F" w:sz="4" w:space="0"/>
              <w:bottom w:val="single" w:color="3F3F3F" w:sz="4" w:space="0"/>
              <w:right w:val="single" w:color="3F3F3F" w:sz="4" w:space="0"/>
            </w:tcBorders>
            <w:vAlign w:val="center"/>
          </w:tcPr>
          <w:p w14:paraId="41B37E63">
            <w:pPr>
              <w:widowControl/>
              <w:jc w:val="left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16" w:type="dxa"/>
            <w:tcBorders>
              <w:top w:val="single" w:color="3F3F3F" w:sz="4" w:space="0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 w14:paraId="1DFD301E">
            <w:pPr>
              <w:widowControl/>
              <w:jc w:val="both"/>
              <w:rPr>
                <w:rFonts w:hint="eastAsia" w:ascii="宋体" w:hAnsi="宋体" w:eastAsia="宋体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6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.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专用耗材：麻醉深度生物信号采集是普通脑电电极片或者脑电传感器</w:t>
            </w:r>
          </w:p>
        </w:tc>
      </w:tr>
      <w:tr w14:paraId="305D045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95" w:type="dxa"/>
            <w:vMerge w:val="continue"/>
            <w:tcBorders>
              <w:top w:val="nil"/>
              <w:left w:val="single" w:color="auto" w:sz="4" w:space="0"/>
              <w:bottom w:val="single" w:color="3F3F3F" w:sz="4" w:space="0"/>
              <w:right w:val="single" w:color="3F3F3F" w:sz="4" w:space="0"/>
            </w:tcBorders>
            <w:vAlign w:val="center"/>
          </w:tcPr>
          <w:p w14:paraId="43DD609B">
            <w:pPr>
              <w:widowControl/>
              <w:jc w:val="left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047CCD61">
            <w:pPr>
              <w:widowControl/>
              <w:jc w:val="left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43" w:type="dxa"/>
            <w:vMerge w:val="continue"/>
            <w:tcBorders>
              <w:top w:val="single" w:color="3F3F3F" w:sz="4" w:space="0"/>
              <w:left w:val="single" w:color="3F3F3F" w:sz="4" w:space="0"/>
              <w:bottom w:val="single" w:color="3F3F3F" w:sz="4" w:space="0"/>
              <w:right w:val="single" w:color="3F3F3F" w:sz="4" w:space="0"/>
            </w:tcBorders>
            <w:vAlign w:val="center"/>
          </w:tcPr>
          <w:p w14:paraId="23ED0F5E">
            <w:pPr>
              <w:widowControl/>
              <w:jc w:val="left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16" w:type="dxa"/>
            <w:tcBorders>
              <w:top w:val="single" w:color="3F3F3F" w:sz="4" w:space="0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 w14:paraId="3BE18E70">
            <w:pPr>
              <w:widowControl/>
              <w:jc w:val="both"/>
              <w:rPr>
                <w:rFonts w:hint="eastAsia" w:ascii="宋体" w:hAnsi="宋体" w:eastAsia="宋体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7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.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共模抑制比(CMR)： ＞100dB</w:t>
            </w:r>
          </w:p>
        </w:tc>
      </w:tr>
      <w:tr w14:paraId="76EF801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95" w:type="dxa"/>
            <w:vMerge w:val="continue"/>
            <w:tcBorders>
              <w:top w:val="nil"/>
              <w:left w:val="single" w:color="auto" w:sz="4" w:space="0"/>
              <w:bottom w:val="single" w:color="3F3F3F" w:sz="4" w:space="0"/>
              <w:right w:val="single" w:color="3F3F3F" w:sz="4" w:space="0"/>
            </w:tcBorders>
            <w:vAlign w:val="center"/>
          </w:tcPr>
          <w:p w14:paraId="7723BB3A">
            <w:pPr>
              <w:widowControl/>
              <w:jc w:val="left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43" w:type="dxa"/>
            <w:vMerge w:val="continue"/>
            <w:tcBorders>
              <w:top w:val="single" w:color="3F3F3F" w:sz="4" w:space="0"/>
              <w:left w:val="single" w:color="3F3F3F" w:sz="4" w:space="0"/>
              <w:bottom w:val="single" w:color="3F3F3F" w:sz="4" w:space="0"/>
              <w:right w:val="single" w:color="3F3F3F" w:sz="4" w:space="0"/>
            </w:tcBorders>
            <w:vAlign w:val="center"/>
          </w:tcPr>
          <w:p w14:paraId="58DF1330">
            <w:pPr>
              <w:widowControl/>
              <w:jc w:val="left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16" w:type="dxa"/>
            <w:tcBorders>
              <w:top w:val="single" w:color="3F3F3F" w:sz="4" w:space="0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 w14:paraId="3934D5F1">
            <w:pPr>
              <w:widowControl/>
              <w:jc w:val="both"/>
              <w:rPr>
                <w:rFonts w:hint="eastAsia" w:ascii="宋体" w:hAnsi="宋体" w:eastAsia="宋体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8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.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输入功率：≤ 57VA</w:t>
            </w:r>
          </w:p>
        </w:tc>
      </w:tr>
      <w:tr w14:paraId="39B9C49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9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3F3F3F" w:sz="4" w:space="0"/>
            </w:tcBorders>
            <w:vAlign w:val="center"/>
          </w:tcPr>
          <w:p w14:paraId="796E0714">
            <w:pPr>
              <w:widowControl/>
              <w:jc w:val="left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43" w:type="dxa"/>
            <w:vMerge w:val="continue"/>
            <w:tcBorders>
              <w:top w:val="single" w:color="3F3F3F" w:sz="4" w:space="0"/>
              <w:left w:val="single" w:color="3F3F3F" w:sz="4" w:space="0"/>
              <w:bottom w:val="single" w:color="auto" w:sz="4" w:space="0"/>
              <w:right w:val="single" w:color="3F3F3F" w:sz="4" w:space="0"/>
            </w:tcBorders>
            <w:vAlign w:val="center"/>
          </w:tcPr>
          <w:p w14:paraId="44E53B59">
            <w:pPr>
              <w:widowControl/>
              <w:jc w:val="left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16" w:type="dxa"/>
            <w:tcBorders>
              <w:top w:val="single" w:color="3F3F3F" w:sz="4" w:space="0"/>
              <w:left w:val="nil"/>
              <w:bottom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 w14:paraId="0FBF3081">
            <w:pPr>
              <w:widowControl/>
              <w:jc w:val="both"/>
              <w:rPr>
                <w:rFonts w:hint="eastAsia" w:ascii="宋体" w:hAnsi="宋体" w:eastAsia="宋体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9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.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输入噪声：≤30 µV</w:t>
            </w:r>
          </w:p>
        </w:tc>
      </w:tr>
      <w:tr w14:paraId="195580E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9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3F3F3F" w:sz="4" w:space="0"/>
            </w:tcBorders>
            <w:vAlign w:val="center"/>
          </w:tcPr>
          <w:p w14:paraId="49207986">
            <w:pPr>
              <w:widowControl/>
              <w:jc w:val="left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43" w:type="dxa"/>
            <w:vMerge w:val="continue"/>
            <w:tcBorders>
              <w:top w:val="single" w:color="auto" w:sz="4" w:space="0"/>
              <w:left w:val="single" w:color="3F3F3F" w:sz="4" w:space="0"/>
              <w:bottom w:val="single" w:color="auto" w:sz="4" w:space="0"/>
              <w:right w:val="single" w:color="3F3F3F" w:sz="4" w:space="0"/>
            </w:tcBorders>
            <w:vAlign w:val="center"/>
          </w:tcPr>
          <w:p w14:paraId="3119D8D4">
            <w:pPr>
              <w:widowControl/>
              <w:jc w:val="left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1C3C5F61">
            <w:pPr>
              <w:widowControl/>
              <w:jc w:val="both"/>
              <w:rPr>
                <w:rFonts w:hint="eastAsia" w:ascii="宋体" w:hAnsi="宋体" w:eastAsia="宋体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.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安全分类：内部供电/Ⅲ类．BF型</w:t>
            </w:r>
          </w:p>
        </w:tc>
      </w:tr>
      <w:tr w14:paraId="56DF65E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9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3F3F3F" w:sz="4" w:space="0"/>
              <w:right w:val="single" w:color="3F3F3F" w:sz="4" w:space="0"/>
            </w:tcBorders>
            <w:vAlign w:val="center"/>
          </w:tcPr>
          <w:p w14:paraId="5ABADDAF">
            <w:pPr>
              <w:widowControl/>
              <w:jc w:val="left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43" w:type="dxa"/>
            <w:vMerge w:val="continue"/>
            <w:tcBorders>
              <w:top w:val="single" w:color="auto" w:sz="4" w:space="0"/>
              <w:left w:val="single" w:color="3F3F3F" w:sz="4" w:space="0"/>
              <w:bottom w:val="single" w:color="3F3F3F" w:sz="4" w:space="0"/>
              <w:right w:val="single" w:color="3F3F3F" w:sz="4" w:space="0"/>
            </w:tcBorders>
            <w:vAlign w:val="center"/>
          </w:tcPr>
          <w:p w14:paraId="2D16D112">
            <w:pPr>
              <w:widowControl/>
              <w:jc w:val="left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16" w:type="dxa"/>
            <w:tcBorders>
              <w:top w:val="single" w:color="auto" w:sz="4" w:space="0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 w14:paraId="3E6F6647">
            <w:pPr>
              <w:widowControl/>
              <w:jc w:val="both"/>
              <w:rPr>
                <w:rFonts w:hint="eastAsia" w:ascii="宋体" w:hAnsi="宋体" w:eastAsia="宋体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.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伪差排除方式: 自动，用户可禁止。</w:t>
            </w:r>
          </w:p>
        </w:tc>
      </w:tr>
      <w:tr w14:paraId="73A396E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95" w:type="dxa"/>
            <w:vMerge w:val="continue"/>
            <w:tcBorders>
              <w:top w:val="nil"/>
              <w:left w:val="single" w:color="auto" w:sz="4" w:space="0"/>
              <w:bottom w:val="single" w:color="3F3F3F" w:sz="4" w:space="0"/>
              <w:right w:val="single" w:color="3F3F3F" w:sz="4" w:space="0"/>
            </w:tcBorders>
            <w:vAlign w:val="center"/>
          </w:tcPr>
          <w:p w14:paraId="590ED6BB">
            <w:pPr>
              <w:widowControl/>
              <w:jc w:val="left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43" w:type="dxa"/>
            <w:vMerge w:val="continue"/>
            <w:tcBorders>
              <w:top w:val="single" w:color="3F3F3F" w:sz="4" w:space="0"/>
              <w:left w:val="single" w:color="3F3F3F" w:sz="4" w:space="0"/>
              <w:bottom w:val="single" w:color="3F3F3F" w:sz="4" w:space="0"/>
              <w:right w:val="single" w:color="3F3F3F" w:sz="4" w:space="0"/>
            </w:tcBorders>
            <w:vAlign w:val="center"/>
          </w:tcPr>
          <w:p w14:paraId="1F4069BB">
            <w:pPr>
              <w:widowControl/>
              <w:jc w:val="left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16" w:type="dxa"/>
            <w:tcBorders>
              <w:top w:val="single" w:color="3F3F3F" w:sz="4" w:space="0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 w14:paraId="4CF833E2">
            <w:pPr>
              <w:widowControl/>
              <w:jc w:val="both"/>
              <w:rPr>
                <w:rFonts w:hint="eastAsia" w:ascii="宋体" w:hAnsi="宋体" w:eastAsia="宋体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.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具有病例演示功能。</w:t>
            </w:r>
          </w:p>
        </w:tc>
      </w:tr>
      <w:tr w14:paraId="640C217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95" w:type="dxa"/>
            <w:vMerge w:val="continue"/>
            <w:tcBorders>
              <w:top w:val="nil"/>
              <w:left w:val="single" w:color="auto" w:sz="4" w:space="0"/>
              <w:bottom w:val="single" w:color="3F3F3F" w:sz="4" w:space="0"/>
              <w:right w:val="single" w:color="3F3F3F" w:sz="4" w:space="0"/>
            </w:tcBorders>
            <w:vAlign w:val="center"/>
          </w:tcPr>
          <w:p w14:paraId="7E1F29DF">
            <w:pPr>
              <w:widowControl/>
              <w:jc w:val="left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43" w:type="dxa"/>
            <w:vMerge w:val="continue"/>
            <w:tcBorders>
              <w:top w:val="single" w:color="3F3F3F" w:sz="4" w:space="0"/>
              <w:left w:val="single" w:color="3F3F3F" w:sz="4" w:space="0"/>
              <w:bottom w:val="single" w:color="3F3F3F" w:sz="4" w:space="0"/>
              <w:right w:val="single" w:color="3F3F3F" w:sz="4" w:space="0"/>
            </w:tcBorders>
            <w:vAlign w:val="center"/>
          </w:tcPr>
          <w:p w14:paraId="009A2007">
            <w:pPr>
              <w:widowControl/>
              <w:jc w:val="left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16" w:type="dxa"/>
            <w:tcBorders>
              <w:top w:val="single" w:color="3F3F3F" w:sz="4" w:space="0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 w14:paraId="39BE971E">
            <w:pPr>
              <w:widowControl/>
              <w:jc w:val="both"/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.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独特支架设计，可根据医生的意愿，摆放位置可选：1、台式，可以放在桌子上观察；2、当桌子没有地方时，可悬挂在输液架上；3、拿在手中进行操作，触摸屏简化了传统操作</w:t>
            </w:r>
          </w:p>
        </w:tc>
      </w:tr>
      <w:tr w14:paraId="78F0CBB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95" w:type="dxa"/>
            <w:vMerge w:val="continue"/>
            <w:tcBorders>
              <w:top w:val="nil"/>
              <w:left w:val="single" w:color="auto" w:sz="4" w:space="0"/>
              <w:bottom w:val="single" w:color="3F3F3F" w:sz="4" w:space="0"/>
              <w:right w:val="single" w:color="3F3F3F" w:sz="4" w:space="0"/>
            </w:tcBorders>
            <w:vAlign w:val="center"/>
          </w:tcPr>
          <w:p w14:paraId="10D26705">
            <w:pPr>
              <w:widowControl/>
              <w:jc w:val="left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43" w:type="dxa"/>
            <w:vMerge w:val="continue"/>
            <w:tcBorders>
              <w:top w:val="single" w:color="3F3F3F" w:sz="4" w:space="0"/>
              <w:left w:val="single" w:color="3F3F3F" w:sz="4" w:space="0"/>
              <w:bottom w:val="single" w:color="3F3F3F" w:sz="4" w:space="0"/>
              <w:right w:val="single" w:color="3F3F3F" w:sz="4" w:space="0"/>
            </w:tcBorders>
            <w:vAlign w:val="center"/>
          </w:tcPr>
          <w:p w14:paraId="2C620A9F">
            <w:pPr>
              <w:widowControl/>
              <w:jc w:val="left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16" w:type="dxa"/>
            <w:tcBorders>
              <w:top w:val="single" w:color="3F3F3F" w:sz="4" w:space="0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 w14:paraId="68928221">
            <w:pPr>
              <w:widowControl/>
              <w:jc w:val="both"/>
              <w:rPr>
                <w:rFonts w:hint="eastAsia" w:ascii="宋体" w:hAnsi="宋体" w:eastAsia="宋体" w:cs="宋体"/>
                <w:color w:val="000000" w:themeColor="text1"/>
                <w:kern w:val="0"/>
                <w:sz w:val="22"/>
                <w:szCs w:val="22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2"/>
                <w:szCs w:val="22"/>
                <w:highlight w:val="none"/>
                <w14:textFill>
                  <w14:solidFill>
                    <w14:schemeClr w14:val="tx1"/>
                  </w14:solidFill>
                </w14:textFill>
              </w:rPr>
              <w:t>▲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.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国家三类医疗设备注册证，具有一定的智能提示功能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2"/>
                <w:szCs w:val="22"/>
                <w:lang w:eastAsia="zh-CN"/>
                <w14:textFill>
                  <w14:solidFill>
                    <w14:schemeClr w14:val="tx1"/>
                  </w14:solidFill>
                </w14:textFill>
              </w:rPr>
              <w:t>，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可实现以太网联网功能及蓝牙传输数据功能。</w:t>
            </w:r>
          </w:p>
        </w:tc>
      </w:tr>
    </w:tbl>
    <w:p w14:paraId="215F9DC0">
      <w:pPr>
        <w:pStyle w:val="3"/>
        <w:bidi w:val="0"/>
        <w:jc w:val="center"/>
      </w:pPr>
      <w:r>
        <w:rPr>
          <w:rFonts w:hint="eastAsia"/>
        </w:rPr>
        <w:t>设备配套耗材试剂情况</w:t>
      </w:r>
    </w:p>
    <w:p w14:paraId="0A8E2B3D">
      <w:pPr>
        <w:jc w:val="left"/>
        <w:rPr>
          <w:rFonts w:ascii="宋体" w:hAnsi="宋体" w:cs="宋体"/>
          <w:b/>
          <w:bCs/>
          <w:kern w:val="0"/>
          <w:sz w:val="24"/>
          <w:szCs w:val="24"/>
        </w:rPr>
      </w:pPr>
      <w:r>
        <w:rPr>
          <w:rFonts w:hint="eastAsia" w:ascii="宋体" w:hAnsi="宋体" w:cs="宋体"/>
          <w:b/>
          <w:bCs/>
          <w:kern w:val="0"/>
          <w:sz w:val="28"/>
          <w:szCs w:val="28"/>
        </w:rPr>
        <w:t>配套耗材或试剂  （</w:t>
      </w:r>
      <w:r>
        <w:rPr>
          <w:rFonts w:hint="eastAsia" w:ascii="宋体" w:hAnsi="宋体" w:cs="宋体"/>
          <w:b/>
          <w:bCs/>
          <w:color w:val="FF0000"/>
          <w:kern w:val="0"/>
          <w:sz w:val="28"/>
          <w:szCs w:val="28"/>
        </w:rPr>
        <w:t>开放</w:t>
      </w:r>
      <w:r>
        <w:rPr>
          <w:rFonts w:hint="eastAsia" w:ascii="宋体" w:hAnsi="宋体" w:cs="宋体"/>
          <w:b/>
          <w:bCs/>
          <w:color w:val="FF0000"/>
          <w:kern w:val="0"/>
          <w:sz w:val="28"/>
          <w:szCs w:val="28"/>
          <w:lang w:eastAsia="zh-CN"/>
        </w:rPr>
        <w:t>☑</w:t>
      </w:r>
      <w:r>
        <w:rPr>
          <w:rFonts w:hint="eastAsia" w:ascii="宋体" w:hAnsi="宋体" w:cs="宋体"/>
          <w:b/>
          <w:bCs/>
          <w:color w:val="FF0000"/>
          <w:kern w:val="0"/>
          <w:sz w:val="28"/>
          <w:szCs w:val="28"/>
        </w:rPr>
        <w:t xml:space="preserve"> </w:t>
      </w:r>
      <w:r>
        <w:rPr>
          <w:rFonts w:ascii="宋体" w:hAnsi="宋体" w:cs="宋体"/>
          <w:b/>
          <w:bCs/>
          <w:color w:val="FF0000"/>
          <w:kern w:val="0"/>
          <w:sz w:val="28"/>
          <w:szCs w:val="28"/>
        </w:rPr>
        <w:t xml:space="preserve">  </w:t>
      </w:r>
      <w:r>
        <w:rPr>
          <w:rFonts w:hint="eastAsia" w:ascii="宋体" w:hAnsi="宋体" w:cs="宋体"/>
          <w:b/>
          <w:bCs/>
          <w:color w:val="FF0000"/>
          <w:kern w:val="0"/>
          <w:sz w:val="28"/>
          <w:szCs w:val="28"/>
        </w:rPr>
        <w:t xml:space="preserve">专用□ </w:t>
      </w:r>
      <w:r>
        <w:rPr>
          <w:rFonts w:ascii="宋体" w:hAnsi="宋体" w:cs="宋体"/>
          <w:b/>
          <w:bCs/>
          <w:color w:val="FF0000"/>
          <w:kern w:val="0"/>
          <w:sz w:val="28"/>
          <w:szCs w:val="28"/>
        </w:rPr>
        <w:t xml:space="preserve"> </w:t>
      </w:r>
      <w:r>
        <w:rPr>
          <w:rFonts w:hint="eastAsia" w:ascii="宋体" w:hAnsi="宋体" w:cs="宋体"/>
          <w:b/>
          <w:bCs/>
          <w:color w:val="FF0000"/>
          <w:kern w:val="0"/>
          <w:sz w:val="28"/>
          <w:szCs w:val="28"/>
        </w:rPr>
        <w:t xml:space="preserve"> 无</w:t>
      </w:r>
      <w:r>
        <w:rPr>
          <w:rFonts w:hint="eastAsia" w:ascii="宋体" w:hAnsi="宋体" w:cs="宋体"/>
          <w:b/>
          <w:bCs/>
          <w:color w:val="FF0000"/>
          <w:kern w:val="0"/>
          <w:sz w:val="28"/>
          <w:szCs w:val="28"/>
          <w:lang w:eastAsia="zh-CN"/>
        </w:rPr>
        <w:t>□</w:t>
      </w:r>
      <w:r>
        <w:rPr>
          <w:rFonts w:hint="eastAsia" w:ascii="宋体" w:hAnsi="宋体" w:cs="宋体"/>
          <w:b/>
          <w:bCs/>
          <w:kern w:val="0"/>
          <w:sz w:val="28"/>
          <w:szCs w:val="28"/>
        </w:rPr>
        <w:t xml:space="preserve">） </w:t>
      </w:r>
    </w:p>
    <w:p w14:paraId="6927B96C">
      <w:pPr>
        <w:jc w:val="left"/>
        <w:rPr>
          <w:rFonts w:ascii="宋体" w:hAnsi="宋体" w:cs="宋体"/>
          <w:b/>
          <w:bCs/>
          <w:kern w:val="0"/>
          <w:sz w:val="24"/>
          <w:szCs w:val="24"/>
        </w:rPr>
      </w:pPr>
      <w:r>
        <w:rPr>
          <w:rFonts w:hint="eastAsia" w:ascii="宋体" w:hAnsi="宋体" w:cs="宋体"/>
          <w:b/>
          <w:bCs/>
          <w:kern w:val="0"/>
          <w:sz w:val="24"/>
          <w:szCs w:val="24"/>
        </w:rPr>
        <w:t>配套耗材</w:t>
      </w:r>
    </w:p>
    <w:tbl>
      <w:tblPr>
        <w:tblStyle w:val="9"/>
        <w:tblW w:w="0" w:type="auto"/>
        <w:tblInd w:w="-17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0"/>
        <w:gridCol w:w="5094"/>
        <w:gridCol w:w="1985"/>
        <w:gridCol w:w="2126"/>
      </w:tblGrid>
      <w:tr w14:paraId="673683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860" w:type="dxa"/>
            <w:vAlign w:val="center"/>
          </w:tcPr>
          <w:p w14:paraId="67925305">
            <w:pPr>
              <w:jc w:val="center"/>
              <w:rPr>
                <w:rFonts w:ascii="仿宋_GB2312" w:hAnsi="Times New Roman" w:eastAsia="仿宋_GB2312"/>
                <w:b/>
                <w:sz w:val="24"/>
                <w:szCs w:val="21"/>
              </w:rPr>
            </w:pPr>
            <w:r>
              <w:rPr>
                <w:rFonts w:hint="eastAsia" w:ascii="仿宋_GB2312" w:hAnsi="Times New Roman" w:eastAsia="仿宋_GB2312"/>
                <w:b/>
                <w:sz w:val="24"/>
                <w:szCs w:val="21"/>
              </w:rPr>
              <w:t>序号</w:t>
            </w:r>
          </w:p>
        </w:tc>
        <w:tc>
          <w:tcPr>
            <w:tcW w:w="5094" w:type="dxa"/>
            <w:vAlign w:val="center"/>
          </w:tcPr>
          <w:p w14:paraId="2734FBFD">
            <w:pPr>
              <w:jc w:val="center"/>
              <w:rPr>
                <w:rFonts w:ascii="仿宋_GB2312" w:hAnsi="Times New Roman" w:eastAsia="仿宋_GB2312"/>
                <w:b/>
                <w:sz w:val="24"/>
                <w:szCs w:val="21"/>
              </w:rPr>
            </w:pPr>
            <w:r>
              <w:rPr>
                <w:rFonts w:hint="eastAsia" w:ascii="仿宋_GB2312" w:hAnsi="Times New Roman" w:eastAsia="仿宋_GB2312"/>
                <w:b/>
                <w:sz w:val="24"/>
                <w:szCs w:val="21"/>
              </w:rPr>
              <w:t>名称</w:t>
            </w:r>
          </w:p>
        </w:tc>
        <w:tc>
          <w:tcPr>
            <w:tcW w:w="1985" w:type="dxa"/>
            <w:vAlign w:val="center"/>
          </w:tcPr>
          <w:p w14:paraId="2A29F1B8">
            <w:pPr>
              <w:jc w:val="center"/>
              <w:rPr>
                <w:rFonts w:ascii="仿宋_GB2312" w:hAnsi="Times New Roman" w:eastAsia="仿宋_GB2312"/>
                <w:b/>
                <w:sz w:val="24"/>
                <w:szCs w:val="21"/>
              </w:rPr>
            </w:pPr>
            <w:r>
              <w:rPr>
                <w:rFonts w:hint="eastAsia" w:ascii="仿宋_GB2312" w:hAnsi="Times New Roman" w:eastAsia="仿宋_GB2312"/>
                <w:b/>
                <w:sz w:val="24"/>
                <w:szCs w:val="21"/>
              </w:rPr>
              <w:t>单位</w:t>
            </w:r>
          </w:p>
        </w:tc>
        <w:tc>
          <w:tcPr>
            <w:tcW w:w="2126" w:type="dxa"/>
            <w:vAlign w:val="center"/>
          </w:tcPr>
          <w:p w14:paraId="6228E498">
            <w:pPr>
              <w:jc w:val="center"/>
              <w:rPr>
                <w:rFonts w:ascii="仿宋_GB2312" w:hAnsi="Times New Roman" w:eastAsia="仿宋_GB2312"/>
                <w:b/>
                <w:sz w:val="24"/>
                <w:szCs w:val="21"/>
              </w:rPr>
            </w:pPr>
            <w:r>
              <w:rPr>
                <w:rFonts w:hint="eastAsia" w:ascii="仿宋_GB2312" w:hAnsi="Times New Roman" w:eastAsia="仿宋_GB2312"/>
                <w:b/>
                <w:sz w:val="24"/>
                <w:szCs w:val="21"/>
              </w:rPr>
              <w:t>预算单价（元）</w:t>
            </w:r>
          </w:p>
        </w:tc>
      </w:tr>
      <w:tr w14:paraId="36C100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</w:trPr>
        <w:tc>
          <w:tcPr>
            <w:tcW w:w="860" w:type="dxa"/>
            <w:vAlign w:val="center"/>
          </w:tcPr>
          <w:p w14:paraId="43C5489C">
            <w:pPr>
              <w:jc w:val="center"/>
              <w:rPr>
                <w:rFonts w:ascii="仿宋_GB2312" w:hAnsi="Times New Roman" w:eastAsia="仿宋_GB2312"/>
                <w:b/>
                <w:sz w:val="28"/>
                <w:szCs w:val="21"/>
              </w:rPr>
            </w:pPr>
            <w:r>
              <w:rPr>
                <w:rFonts w:hint="eastAsia" w:ascii="仿宋_GB2312" w:hAnsi="Times New Roman" w:eastAsia="仿宋_GB2312"/>
                <w:b/>
                <w:sz w:val="28"/>
                <w:szCs w:val="21"/>
              </w:rPr>
              <w:t>1</w:t>
            </w:r>
          </w:p>
        </w:tc>
        <w:tc>
          <w:tcPr>
            <w:tcW w:w="5094" w:type="dxa"/>
            <w:vAlign w:val="center"/>
          </w:tcPr>
          <w:p w14:paraId="39928D7E">
            <w:pPr>
              <w:jc w:val="center"/>
              <w:rPr>
                <w:rFonts w:hint="default" w:ascii="仿宋_GB2312" w:hAnsi="Times New Roman" w:eastAsia="仿宋_GB2312"/>
                <w:b/>
                <w:sz w:val="28"/>
                <w:szCs w:val="21"/>
                <w:lang w:val="en-US" w:eastAsia="zh-CN"/>
              </w:rPr>
            </w:pPr>
            <w:r>
              <w:rPr>
                <w:rFonts w:hint="eastAsia" w:ascii="仿宋_GB2312" w:hAnsi="Times New Roman" w:eastAsia="仿宋_GB2312"/>
                <w:b/>
                <w:sz w:val="28"/>
                <w:szCs w:val="21"/>
                <w:lang w:val="en-US" w:eastAsia="zh-CN"/>
              </w:rPr>
              <w:t>一次性电极片</w:t>
            </w:r>
          </w:p>
        </w:tc>
        <w:tc>
          <w:tcPr>
            <w:tcW w:w="1985" w:type="dxa"/>
            <w:vAlign w:val="center"/>
          </w:tcPr>
          <w:p w14:paraId="1AD40C2F">
            <w:pPr>
              <w:jc w:val="center"/>
              <w:rPr>
                <w:rFonts w:hint="eastAsia" w:ascii="仿宋_GB2312" w:hAnsi="Times New Roman" w:eastAsia="仿宋_GB2312"/>
                <w:b/>
                <w:sz w:val="28"/>
                <w:szCs w:val="21"/>
                <w:lang w:val="en-US" w:eastAsia="zh-CN"/>
              </w:rPr>
            </w:pPr>
            <w:r>
              <w:rPr>
                <w:rFonts w:hint="eastAsia" w:ascii="仿宋_GB2312" w:hAnsi="Times New Roman" w:eastAsia="仿宋_GB2312"/>
                <w:b/>
                <w:sz w:val="28"/>
                <w:szCs w:val="21"/>
                <w:lang w:val="en-US" w:eastAsia="zh-CN"/>
              </w:rPr>
              <w:t>片</w:t>
            </w:r>
          </w:p>
        </w:tc>
        <w:tc>
          <w:tcPr>
            <w:tcW w:w="2126" w:type="dxa"/>
            <w:vAlign w:val="center"/>
          </w:tcPr>
          <w:p w14:paraId="571786BA">
            <w:pPr>
              <w:jc w:val="center"/>
              <w:rPr>
                <w:rFonts w:hint="default" w:ascii="仿宋_GB2312" w:hAnsi="Times New Roman" w:eastAsia="仿宋_GB2312"/>
                <w:b/>
                <w:sz w:val="28"/>
                <w:szCs w:val="21"/>
                <w:lang w:val="en-US" w:eastAsia="zh-CN"/>
              </w:rPr>
            </w:pPr>
            <w:r>
              <w:rPr>
                <w:rFonts w:hint="eastAsia" w:ascii="仿宋_GB2312" w:hAnsi="Times New Roman" w:eastAsia="仿宋_GB2312"/>
                <w:b/>
                <w:sz w:val="28"/>
                <w:szCs w:val="21"/>
                <w:lang w:val="en-US" w:eastAsia="zh-CN"/>
              </w:rPr>
              <w:t>3</w:t>
            </w:r>
          </w:p>
        </w:tc>
      </w:tr>
    </w:tbl>
    <w:p w14:paraId="60B9CCBE">
      <w:pPr>
        <w:jc w:val="left"/>
        <w:rPr>
          <w:rFonts w:ascii="Times New Roman" w:hAnsi="Times New Roman"/>
          <w:szCs w:val="21"/>
        </w:rPr>
      </w:pPr>
    </w:p>
    <w:p w14:paraId="556ED469">
      <w:pPr>
        <w:jc w:val="left"/>
        <w:rPr>
          <w:rFonts w:ascii="宋体" w:hAnsi="宋体" w:cs="宋体"/>
          <w:b/>
          <w:bCs/>
          <w:kern w:val="0"/>
          <w:sz w:val="24"/>
          <w:szCs w:val="24"/>
        </w:rPr>
      </w:pPr>
      <w:r>
        <w:rPr>
          <w:rFonts w:hint="eastAsia" w:ascii="宋体" w:hAnsi="宋体" w:cs="宋体"/>
          <w:b/>
          <w:bCs/>
          <w:kern w:val="0"/>
          <w:sz w:val="24"/>
          <w:szCs w:val="24"/>
        </w:rPr>
        <w:t xml:space="preserve">配套试剂 </w:t>
      </w:r>
    </w:p>
    <w:tbl>
      <w:tblPr>
        <w:tblStyle w:val="9"/>
        <w:tblW w:w="10065" w:type="dxa"/>
        <w:tblInd w:w="-17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7"/>
        <w:gridCol w:w="5107"/>
        <w:gridCol w:w="1985"/>
        <w:gridCol w:w="2126"/>
      </w:tblGrid>
      <w:tr w14:paraId="7E3E3B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</w:trPr>
        <w:tc>
          <w:tcPr>
            <w:tcW w:w="847" w:type="dxa"/>
            <w:vAlign w:val="center"/>
          </w:tcPr>
          <w:p w14:paraId="6919260C">
            <w:pPr>
              <w:jc w:val="center"/>
              <w:rPr>
                <w:rFonts w:ascii="仿宋_GB2312" w:hAnsi="Times New Roman" w:eastAsia="仿宋_GB2312"/>
                <w:b/>
                <w:sz w:val="24"/>
                <w:szCs w:val="21"/>
              </w:rPr>
            </w:pPr>
            <w:r>
              <w:rPr>
                <w:rFonts w:hint="eastAsia" w:ascii="仿宋_GB2312" w:hAnsi="Times New Roman" w:eastAsia="仿宋_GB2312"/>
                <w:b/>
                <w:sz w:val="24"/>
                <w:szCs w:val="21"/>
              </w:rPr>
              <w:t>序号</w:t>
            </w:r>
          </w:p>
        </w:tc>
        <w:tc>
          <w:tcPr>
            <w:tcW w:w="5107" w:type="dxa"/>
            <w:vAlign w:val="center"/>
          </w:tcPr>
          <w:p w14:paraId="39920589">
            <w:pPr>
              <w:jc w:val="center"/>
              <w:rPr>
                <w:rFonts w:ascii="仿宋_GB2312" w:hAnsi="Times New Roman" w:eastAsia="仿宋_GB2312"/>
                <w:b/>
                <w:sz w:val="24"/>
                <w:szCs w:val="21"/>
              </w:rPr>
            </w:pPr>
            <w:r>
              <w:rPr>
                <w:rFonts w:hint="eastAsia" w:ascii="仿宋_GB2312" w:hAnsi="Times New Roman" w:eastAsia="仿宋_GB2312"/>
                <w:b/>
                <w:sz w:val="24"/>
                <w:szCs w:val="21"/>
              </w:rPr>
              <w:t>名称</w:t>
            </w:r>
          </w:p>
        </w:tc>
        <w:tc>
          <w:tcPr>
            <w:tcW w:w="1985" w:type="dxa"/>
            <w:vAlign w:val="center"/>
          </w:tcPr>
          <w:p w14:paraId="261AAE81">
            <w:pPr>
              <w:jc w:val="center"/>
              <w:rPr>
                <w:rFonts w:ascii="仿宋_GB2312" w:hAnsi="Times New Roman" w:eastAsia="仿宋_GB2312"/>
                <w:b/>
                <w:sz w:val="24"/>
                <w:szCs w:val="21"/>
              </w:rPr>
            </w:pPr>
            <w:r>
              <w:rPr>
                <w:rFonts w:hint="eastAsia" w:ascii="仿宋_GB2312" w:hAnsi="Times New Roman" w:eastAsia="仿宋_GB2312"/>
                <w:b/>
                <w:sz w:val="24"/>
                <w:szCs w:val="21"/>
              </w:rPr>
              <w:t>单位</w:t>
            </w:r>
          </w:p>
        </w:tc>
        <w:tc>
          <w:tcPr>
            <w:tcW w:w="2126" w:type="dxa"/>
            <w:vAlign w:val="center"/>
          </w:tcPr>
          <w:p w14:paraId="2E8BDE0F">
            <w:pPr>
              <w:jc w:val="center"/>
              <w:rPr>
                <w:rFonts w:hint="eastAsia" w:ascii="仿宋_GB2312" w:hAnsi="Times New Roman" w:eastAsia="仿宋_GB2312"/>
                <w:b/>
                <w:sz w:val="24"/>
                <w:szCs w:val="21"/>
                <w:lang w:eastAsia="zh-CN"/>
              </w:rPr>
            </w:pPr>
            <w:r>
              <w:rPr>
                <w:rFonts w:hint="eastAsia" w:ascii="仿宋_GB2312" w:hAnsi="Times New Roman" w:eastAsia="仿宋_GB2312"/>
                <w:b/>
                <w:sz w:val="24"/>
                <w:szCs w:val="21"/>
              </w:rPr>
              <w:t>预算单价</w:t>
            </w:r>
            <w:r>
              <w:rPr>
                <w:rFonts w:hint="eastAsia" w:ascii="仿宋_GB2312" w:hAnsi="Times New Roman" w:eastAsia="仿宋_GB2312"/>
                <w:b/>
                <w:sz w:val="24"/>
                <w:szCs w:val="21"/>
                <w:lang w:eastAsia="zh-CN"/>
              </w:rPr>
              <w:t>（</w:t>
            </w:r>
            <w:r>
              <w:rPr>
                <w:rFonts w:hint="eastAsia" w:ascii="仿宋_GB2312" w:hAnsi="Times New Roman" w:eastAsia="仿宋_GB2312"/>
                <w:b/>
                <w:sz w:val="24"/>
                <w:szCs w:val="21"/>
                <w:lang w:val="en-US" w:eastAsia="zh-CN"/>
              </w:rPr>
              <w:t>元</w:t>
            </w:r>
            <w:r>
              <w:rPr>
                <w:rFonts w:hint="eastAsia" w:ascii="仿宋_GB2312" w:hAnsi="Times New Roman" w:eastAsia="仿宋_GB2312"/>
                <w:b/>
                <w:sz w:val="24"/>
                <w:szCs w:val="21"/>
                <w:lang w:eastAsia="zh-CN"/>
              </w:rPr>
              <w:t>）</w:t>
            </w:r>
          </w:p>
        </w:tc>
      </w:tr>
      <w:tr w14:paraId="76A63C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</w:trPr>
        <w:tc>
          <w:tcPr>
            <w:tcW w:w="847" w:type="dxa"/>
            <w:vAlign w:val="center"/>
          </w:tcPr>
          <w:p w14:paraId="27DCCA49">
            <w:pPr>
              <w:jc w:val="center"/>
              <w:rPr>
                <w:rFonts w:ascii="仿宋_GB2312" w:hAnsi="Times New Roman" w:eastAsia="仿宋_GB2312"/>
                <w:b/>
                <w:sz w:val="28"/>
                <w:szCs w:val="21"/>
              </w:rPr>
            </w:pPr>
            <w:r>
              <w:rPr>
                <w:rFonts w:hint="eastAsia" w:ascii="仿宋_GB2312" w:hAnsi="Times New Roman" w:eastAsia="仿宋_GB2312"/>
                <w:b/>
                <w:sz w:val="28"/>
                <w:szCs w:val="21"/>
              </w:rPr>
              <w:t>1</w:t>
            </w:r>
          </w:p>
        </w:tc>
        <w:tc>
          <w:tcPr>
            <w:tcW w:w="5107" w:type="dxa"/>
            <w:vAlign w:val="center"/>
          </w:tcPr>
          <w:p w14:paraId="74C920CB">
            <w:pPr>
              <w:jc w:val="center"/>
              <w:rPr>
                <w:rFonts w:hint="eastAsia" w:ascii="仿宋_GB2312" w:hAnsi="Times New Roman" w:eastAsia="仿宋_GB2312" w:cs="Times New Roman"/>
                <w:kern w:val="2"/>
                <w:sz w:val="24"/>
                <w:szCs w:val="21"/>
                <w:lang w:val="en-US" w:eastAsia="zh-CN" w:bidi="ar-SA"/>
              </w:rPr>
            </w:pPr>
            <w:r>
              <w:rPr>
                <w:rFonts w:hint="eastAsia" w:ascii="仿宋_GB2312" w:hAnsi="Times New Roman" w:eastAsia="仿宋_GB2312"/>
                <w:sz w:val="24"/>
                <w:szCs w:val="21"/>
                <w:lang w:val="en-US" w:eastAsia="zh-CN"/>
              </w:rPr>
              <w:t>/</w:t>
            </w:r>
          </w:p>
        </w:tc>
        <w:tc>
          <w:tcPr>
            <w:tcW w:w="1985" w:type="dxa"/>
            <w:vAlign w:val="center"/>
          </w:tcPr>
          <w:p w14:paraId="73491316">
            <w:pPr>
              <w:jc w:val="center"/>
              <w:rPr>
                <w:rFonts w:hint="eastAsia" w:ascii="仿宋_GB2312" w:hAnsi="Times New Roman" w:eastAsia="仿宋_GB2312" w:cs="Times New Roman"/>
                <w:kern w:val="2"/>
                <w:sz w:val="24"/>
                <w:szCs w:val="21"/>
                <w:lang w:val="en-US" w:eastAsia="zh-CN" w:bidi="ar-SA"/>
              </w:rPr>
            </w:pPr>
            <w:r>
              <w:rPr>
                <w:rFonts w:hint="eastAsia" w:ascii="仿宋_GB2312" w:hAnsi="Times New Roman" w:eastAsia="仿宋_GB2312"/>
                <w:sz w:val="24"/>
                <w:szCs w:val="21"/>
                <w:lang w:val="en-US" w:eastAsia="zh-CN"/>
              </w:rPr>
              <w:t>/</w:t>
            </w:r>
          </w:p>
        </w:tc>
        <w:tc>
          <w:tcPr>
            <w:tcW w:w="2126" w:type="dxa"/>
            <w:vAlign w:val="center"/>
          </w:tcPr>
          <w:p w14:paraId="0DB530B5">
            <w:pPr>
              <w:jc w:val="center"/>
              <w:rPr>
                <w:rFonts w:hint="eastAsia" w:ascii="仿宋_GB2312" w:hAnsi="Times New Roman" w:eastAsia="仿宋_GB2312" w:cs="Times New Roman"/>
                <w:kern w:val="2"/>
                <w:sz w:val="24"/>
                <w:szCs w:val="21"/>
                <w:lang w:val="en-US" w:eastAsia="zh-CN" w:bidi="ar-SA"/>
              </w:rPr>
            </w:pPr>
            <w:r>
              <w:rPr>
                <w:rFonts w:hint="eastAsia" w:ascii="仿宋_GB2312" w:hAnsi="Times New Roman" w:eastAsia="仿宋_GB2312"/>
                <w:sz w:val="24"/>
                <w:szCs w:val="21"/>
                <w:lang w:val="en-US" w:eastAsia="zh-CN"/>
              </w:rPr>
              <w:t>/</w:t>
            </w:r>
          </w:p>
        </w:tc>
      </w:tr>
    </w:tbl>
    <w:p w14:paraId="71BE807A">
      <w:pPr>
        <w:jc w:val="center"/>
        <w:rPr>
          <w:rFonts w:ascii="微软雅黑" w:hAnsi="微软雅黑" w:eastAsia="微软雅黑" w:cs="宋体"/>
          <w:color w:val="3F3F3F"/>
          <w:kern w:val="0"/>
          <w:szCs w:val="21"/>
        </w:rPr>
      </w:pPr>
    </w:p>
    <w:sectPr>
      <w:footerReference r:id="rId3" w:type="default"/>
      <w:pgSz w:w="11906" w:h="16838"/>
      <w:pgMar w:top="1440" w:right="1080" w:bottom="1440" w:left="108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72D2580">
    <w:pPr>
      <w:pStyle w:val="7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TgxMjk0M2E4NWU2Y2Q5YjM1MmQzNDdjN2FlY2ZjNmIifQ=="/>
  </w:docVars>
  <w:rsids>
    <w:rsidRoot w:val="00180716"/>
    <w:rsid w:val="00031B84"/>
    <w:rsid w:val="0007571F"/>
    <w:rsid w:val="00086401"/>
    <w:rsid w:val="000B3A24"/>
    <w:rsid w:val="000E0A0A"/>
    <w:rsid w:val="00100D1E"/>
    <w:rsid w:val="0012370B"/>
    <w:rsid w:val="00153A42"/>
    <w:rsid w:val="0015678E"/>
    <w:rsid w:val="00180716"/>
    <w:rsid w:val="0018661F"/>
    <w:rsid w:val="001B0A84"/>
    <w:rsid w:val="001D5E72"/>
    <w:rsid w:val="00206936"/>
    <w:rsid w:val="002617DE"/>
    <w:rsid w:val="002738F1"/>
    <w:rsid w:val="002C0BFD"/>
    <w:rsid w:val="002C6C45"/>
    <w:rsid w:val="002D02F7"/>
    <w:rsid w:val="002D59FE"/>
    <w:rsid w:val="003141BC"/>
    <w:rsid w:val="0031707A"/>
    <w:rsid w:val="00333E2E"/>
    <w:rsid w:val="003407BA"/>
    <w:rsid w:val="0036311E"/>
    <w:rsid w:val="003938A4"/>
    <w:rsid w:val="003B5D40"/>
    <w:rsid w:val="003D4CEF"/>
    <w:rsid w:val="003E15A0"/>
    <w:rsid w:val="00437E27"/>
    <w:rsid w:val="00447FAF"/>
    <w:rsid w:val="004607A8"/>
    <w:rsid w:val="0046248D"/>
    <w:rsid w:val="004777CE"/>
    <w:rsid w:val="00485E99"/>
    <w:rsid w:val="004B2BE5"/>
    <w:rsid w:val="004B4DC1"/>
    <w:rsid w:val="004B79FD"/>
    <w:rsid w:val="004C6FD8"/>
    <w:rsid w:val="004E09F3"/>
    <w:rsid w:val="004E51B4"/>
    <w:rsid w:val="004E6075"/>
    <w:rsid w:val="004F46EC"/>
    <w:rsid w:val="00536070"/>
    <w:rsid w:val="005B4177"/>
    <w:rsid w:val="006161EF"/>
    <w:rsid w:val="00627CBC"/>
    <w:rsid w:val="00667C4B"/>
    <w:rsid w:val="00696C5E"/>
    <w:rsid w:val="006B7040"/>
    <w:rsid w:val="006C1BAB"/>
    <w:rsid w:val="006C428C"/>
    <w:rsid w:val="006F1FD9"/>
    <w:rsid w:val="0071790B"/>
    <w:rsid w:val="00735F7B"/>
    <w:rsid w:val="007610A6"/>
    <w:rsid w:val="00766032"/>
    <w:rsid w:val="00787AF2"/>
    <w:rsid w:val="00787C5D"/>
    <w:rsid w:val="008046EB"/>
    <w:rsid w:val="00812AE4"/>
    <w:rsid w:val="008143CB"/>
    <w:rsid w:val="00890077"/>
    <w:rsid w:val="00893A00"/>
    <w:rsid w:val="00895307"/>
    <w:rsid w:val="008C5084"/>
    <w:rsid w:val="008D4020"/>
    <w:rsid w:val="008F18EF"/>
    <w:rsid w:val="0091437C"/>
    <w:rsid w:val="00917BB5"/>
    <w:rsid w:val="00917CA2"/>
    <w:rsid w:val="0092593E"/>
    <w:rsid w:val="00967D50"/>
    <w:rsid w:val="009731C4"/>
    <w:rsid w:val="00973FA0"/>
    <w:rsid w:val="00980851"/>
    <w:rsid w:val="00982F84"/>
    <w:rsid w:val="009836A4"/>
    <w:rsid w:val="009852C7"/>
    <w:rsid w:val="00992628"/>
    <w:rsid w:val="00A15F96"/>
    <w:rsid w:val="00A53A87"/>
    <w:rsid w:val="00A70CB8"/>
    <w:rsid w:val="00A75EBB"/>
    <w:rsid w:val="00AA10B5"/>
    <w:rsid w:val="00AA2A2D"/>
    <w:rsid w:val="00AB3ABF"/>
    <w:rsid w:val="00AB43D9"/>
    <w:rsid w:val="00AB686E"/>
    <w:rsid w:val="00AF2364"/>
    <w:rsid w:val="00B04F86"/>
    <w:rsid w:val="00B16C5C"/>
    <w:rsid w:val="00B36BC4"/>
    <w:rsid w:val="00B37A82"/>
    <w:rsid w:val="00BE5B4B"/>
    <w:rsid w:val="00C046E8"/>
    <w:rsid w:val="00C70023"/>
    <w:rsid w:val="00C70D64"/>
    <w:rsid w:val="00C717A1"/>
    <w:rsid w:val="00CA1F88"/>
    <w:rsid w:val="00D1471E"/>
    <w:rsid w:val="00D14837"/>
    <w:rsid w:val="00D2285F"/>
    <w:rsid w:val="00D5527C"/>
    <w:rsid w:val="00D577BE"/>
    <w:rsid w:val="00D650DC"/>
    <w:rsid w:val="00D736F6"/>
    <w:rsid w:val="00D73D7E"/>
    <w:rsid w:val="00D90205"/>
    <w:rsid w:val="00DA2A6D"/>
    <w:rsid w:val="00DB3248"/>
    <w:rsid w:val="00E100C3"/>
    <w:rsid w:val="00E13D8B"/>
    <w:rsid w:val="00E43D98"/>
    <w:rsid w:val="00E84839"/>
    <w:rsid w:val="00E87DEE"/>
    <w:rsid w:val="00EA0AF4"/>
    <w:rsid w:val="00EA3933"/>
    <w:rsid w:val="00F128E8"/>
    <w:rsid w:val="00F176BB"/>
    <w:rsid w:val="00F3782E"/>
    <w:rsid w:val="00F40917"/>
    <w:rsid w:val="00F47DA3"/>
    <w:rsid w:val="00F749F5"/>
    <w:rsid w:val="00F84832"/>
    <w:rsid w:val="00FD02B5"/>
    <w:rsid w:val="00FD584F"/>
    <w:rsid w:val="015E2EAA"/>
    <w:rsid w:val="03BB2A16"/>
    <w:rsid w:val="07241C47"/>
    <w:rsid w:val="0A484D88"/>
    <w:rsid w:val="0AAC68B2"/>
    <w:rsid w:val="0C4664E8"/>
    <w:rsid w:val="13CE37E2"/>
    <w:rsid w:val="199C6DBE"/>
    <w:rsid w:val="1A1F0E4F"/>
    <w:rsid w:val="1A8156D1"/>
    <w:rsid w:val="20527BD7"/>
    <w:rsid w:val="23BF0FAD"/>
    <w:rsid w:val="277D71B5"/>
    <w:rsid w:val="31E4389D"/>
    <w:rsid w:val="3227669B"/>
    <w:rsid w:val="3C8E3725"/>
    <w:rsid w:val="3D6701A1"/>
    <w:rsid w:val="3E4F646E"/>
    <w:rsid w:val="3F2F4DE1"/>
    <w:rsid w:val="4E951D5F"/>
    <w:rsid w:val="51047479"/>
    <w:rsid w:val="570A3D11"/>
    <w:rsid w:val="62A274F4"/>
    <w:rsid w:val="6FB0601C"/>
    <w:rsid w:val="720E4B94"/>
    <w:rsid w:val="72F45326"/>
    <w:rsid w:val="7A45694D"/>
    <w:rsid w:val="7E941F8F"/>
    <w:rsid w:val="7F9B734D"/>
    <w:rsid w:val="7FF318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3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unhideWhenUsed/>
    <w:qFormat/>
    <w:uiPriority w:val="9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11">
    <w:name w:val="Default Paragraph Font"/>
    <w:autoRedefine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annotation text"/>
    <w:basedOn w:val="1"/>
    <w:link w:val="14"/>
    <w:unhideWhenUsed/>
    <w:qFormat/>
    <w:uiPriority w:val="99"/>
    <w:pPr>
      <w:jc w:val="left"/>
    </w:pPr>
  </w:style>
  <w:style w:type="paragraph" w:styleId="5">
    <w:name w:val="Body Text"/>
    <w:basedOn w:val="1"/>
    <w:semiHidden/>
    <w:qFormat/>
    <w:uiPriority w:val="0"/>
    <w:rPr>
      <w:rFonts w:ascii="宋体" w:hAnsi="宋体" w:eastAsia="宋体" w:cs="宋体"/>
      <w:sz w:val="23"/>
      <w:szCs w:val="23"/>
      <w:lang w:val="en-US" w:eastAsia="en-US" w:bidi="ar-SA"/>
    </w:rPr>
  </w:style>
  <w:style w:type="paragraph" w:styleId="6">
    <w:name w:val="Balloon Text"/>
    <w:basedOn w:val="1"/>
    <w:link w:val="15"/>
    <w:unhideWhenUsed/>
    <w:qFormat/>
    <w:uiPriority w:val="99"/>
    <w:rPr>
      <w:sz w:val="18"/>
      <w:szCs w:val="18"/>
    </w:rPr>
  </w:style>
  <w:style w:type="paragraph" w:styleId="7">
    <w:name w:val="footer"/>
    <w:basedOn w:val="1"/>
    <w:link w:val="16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8">
    <w:name w:val="header"/>
    <w:basedOn w:val="1"/>
    <w:link w:val="1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table" w:styleId="10">
    <w:name w:val="Table Grid"/>
    <w:basedOn w:val="9"/>
    <w:autoRedefine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2">
    <w:name w:val="annotation reference"/>
    <w:autoRedefine/>
    <w:unhideWhenUsed/>
    <w:qFormat/>
    <w:uiPriority w:val="99"/>
    <w:rPr>
      <w:sz w:val="21"/>
      <w:szCs w:val="21"/>
    </w:rPr>
  </w:style>
  <w:style w:type="character" w:customStyle="1" w:styleId="13">
    <w:name w:val="标题 1 字符"/>
    <w:link w:val="2"/>
    <w:qFormat/>
    <w:uiPriority w:val="9"/>
    <w:rPr>
      <w:b/>
      <w:bCs/>
      <w:kern w:val="44"/>
      <w:sz w:val="44"/>
      <w:szCs w:val="44"/>
    </w:rPr>
  </w:style>
  <w:style w:type="character" w:customStyle="1" w:styleId="14">
    <w:name w:val="批注文字 字符"/>
    <w:link w:val="4"/>
    <w:autoRedefine/>
    <w:semiHidden/>
    <w:qFormat/>
    <w:uiPriority w:val="99"/>
    <w:rPr>
      <w:kern w:val="2"/>
      <w:sz w:val="21"/>
      <w:szCs w:val="22"/>
    </w:rPr>
  </w:style>
  <w:style w:type="character" w:customStyle="1" w:styleId="15">
    <w:name w:val="批注框文本 字符"/>
    <w:link w:val="6"/>
    <w:semiHidden/>
    <w:qFormat/>
    <w:uiPriority w:val="99"/>
    <w:rPr>
      <w:kern w:val="2"/>
      <w:sz w:val="18"/>
      <w:szCs w:val="18"/>
    </w:rPr>
  </w:style>
  <w:style w:type="character" w:customStyle="1" w:styleId="16">
    <w:name w:val="页脚 字符"/>
    <w:link w:val="7"/>
    <w:qFormat/>
    <w:uiPriority w:val="99"/>
    <w:rPr>
      <w:sz w:val="18"/>
      <w:szCs w:val="18"/>
    </w:rPr>
  </w:style>
  <w:style w:type="character" w:customStyle="1" w:styleId="17">
    <w:name w:val="页眉 字符"/>
    <w:link w:val="8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Sky123.Org</Company>
  <Pages>2</Pages>
  <Words>979</Words>
  <Characters>1093</Characters>
  <Lines>10</Lines>
  <Paragraphs>2</Paragraphs>
  <TotalTime>0</TotalTime>
  <ScaleCrop>false</ScaleCrop>
  <LinksUpToDate>false</LinksUpToDate>
  <CharactersWithSpaces>1109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2023-11-02T03:07:00Z</dcterms:created>
  <dc:creator>Sky123.Org</dc:creator>
  <cp:lastModifiedBy>WE</cp:lastModifiedBy>
  <cp:lastPrinted>2020-06-15T03:32:00Z</cp:lastPrinted>
  <dcterms:modified xsi:type="dcterms:W3CDTF">2024-07-24T01:10:04Z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E4A4ED43EC5A4AE9B582E87CF5D14090_13</vt:lpwstr>
  </property>
</Properties>
</file>