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56A9A">
      <w:pPr>
        <w:pStyle w:val="2"/>
        <w:bidi w:val="0"/>
        <w:jc w:val="center"/>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深圳市儿童医院设备采购需求参数表</w:t>
      </w:r>
    </w:p>
    <w:tbl>
      <w:tblPr>
        <w:tblStyle w:val="8"/>
        <w:tblW w:w="9654" w:type="dxa"/>
        <w:jc w:val="center"/>
        <w:tblLayout w:type="fixed"/>
        <w:tblCellMar>
          <w:top w:w="0" w:type="dxa"/>
          <w:left w:w="108" w:type="dxa"/>
          <w:bottom w:w="0" w:type="dxa"/>
          <w:right w:w="108" w:type="dxa"/>
        </w:tblCellMar>
      </w:tblPr>
      <w:tblGrid>
        <w:gridCol w:w="660"/>
        <w:gridCol w:w="1288"/>
        <w:gridCol w:w="7706"/>
      </w:tblGrid>
      <w:tr w14:paraId="67D73936">
        <w:tblPrEx>
          <w:tblCellMar>
            <w:top w:w="0" w:type="dxa"/>
            <w:left w:w="108" w:type="dxa"/>
            <w:bottom w:w="0" w:type="dxa"/>
            <w:right w:w="108" w:type="dxa"/>
          </w:tblCellMar>
        </w:tblPrEx>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14:paraId="2A840A13">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序号</w:t>
            </w:r>
          </w:p>
        </w:tc>
        <w:tc>
          <w:tcPr>
            <w:tcW w:w="1288" w:type="dxa"/>
            <w:tcBorders>
              <w:top w:val="single" w:color="3F3F3F" w:sz="4" w:space="0"/>
              <w:left w:val="single" w:color="auto" w:sz="4" w:space="0"/>
              <w:bottom w:val="single" w:color="auto" w:sz="4" w:space="0"/>
              <w:right w:val="single" w:color="3F3F3F" w:sz="4" w:space="0"/>
            </w:tcBorders>
            <w:shd w:val="clear" w:color="000000" w:fill="FFFFFF"/>
            <w:vAlign w:val="center"/>
          </w:tcPr>
          <w:p w14:paraId="7D36287C">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项目名称</w:t>
            </w:r>
          </w:p>
        </w:tc>
        <w:tc>
          <w:tcPr>
            <w:tcW w:w="7706" w:type="dxa"/>
            <w:tcBorders>
              <w:top w:val="single" w:color="3F3F3F" w:sz="4" w:space="0"/>
              <w:left w:val="nil"/>
              <w:bottom w:val="single" w:color="auto" w:sz="4" w:space="0"/>
              <w:right w:val="single" w:color="3F3F3F" w:sz="4" w:space="0"/>
            </w:tcBorders>
            <w:shd w:val="clear" w:color="000000" w:fill="FFFFFF"/>
            <w:vAlign w:val="center"/>
          </w:tcPr>
          <w:p w14:paraId="40A5BBCF">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招标事项及要求</w:t>
            </w:r>
          </w:p>
        </w:tc>
      </w:tr>
      <w:tr w14:paraId="57A8484D">
        <w:tblPrEx>
          <w:tblCellMar>
            <w:top w:w="0" w:type="dxa"/>
            <w:left w:w="108" w:type="dxa"/>
            <w:bottom w:w="0" w:type="dxa"/>
            <w:right w:w="108" w:type="dxa"/>
          </w:tblCellMar>
        </w:tblPrEx>
        <w:trPr>
          <w:trHeight w:val="1977" w:hRule="atLeast"/>
          <w:jc w:val="center"/>
        </w:trPr>
        <w:tc>
          <w:tcPr>
            <w:tcW w:w="660" w:type="dxa"/>
            <w:tcBorders>
              <w:top w:val="single" w:color="auto" w:sz="4" w:space="0"/>
              <w:left w:val="single" w:color="auto" w:sz="4" w:space="0"/>
              <w:bottom w:val="single" w:color="auto" w:sz="4" w:space="0"/>
              <w:right w:val="single" w:color="3F3F3F" w:sz="4" w:space="0"/>
            </w:tcBorders>
            <w:shd w:val="clear" w:color="000000" w:fill="FFFFFF"/>
            <w:vAlign w:val="center"/>
          </w:tcPr>
          <w:p w14:paraId="602FBD73">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1</w:t>
            </w:r>
          </w:p>
          <w:p w14:paraId="49665769">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p>
        </w:tc>
        <w:tc>
          <w:tcPr>
            <w:tcW w:w="1288" w:type="dxa"/>
            <w:tcBorders>
              <w:top w:val="single" w:color="auto" w:sz="4" w:space="0"/>
              <w:left w:val="nil"/>
              <w:bottom w:val="single" w:color="auto" w:sz="4" w:space="0"/>
              <w:right w:val="single" w:color="3F3F3F" w:sz="4" w:space="0"/>
            </w:tcBorders>
            <w:shd w:val="clear" w:color="000000" w:fill="FFFFFF"/>
            <w:vAlign w:val="center"/>
          </w:tcPr>
          <w:p w14:paraId="48CB91B3">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lang w:val="en-US" w:eastAsia="zh-CN"/>
                <w14:textFill>
                  <w14:solidFill>
                    <w14:schemeClr w14:val="tx1"/>
                  </w14:solidFill>
                </w14:textFill>
              </w:rPr>
              <w:t>医</w:t>
            </w:r>
            <w:r>
              <w:rPr>
                <w:rFonts w:hint="default" w:ascii="Times New Roman" w:hAnsi="Times New Roman" w:eastAsia="宋体" w:cs="Times New Roman"/>
                <w:b/>
                <w:bCs/>
                <w:color w:val="000000" w:themeColor="text1"/>
                <w:kern w:val="0"/>
                <w:sz w:val="22"/>
                <w:szCs w:val="22"/>
                <w14:textFill>
                  <w14:solidFill>
                    <w14:schemeClr w14:val="tx1"/>
                  </w14:solidFill>
                </w14:textFill>
              </w:rPr>
              <w:t>用事件相关电位仪</w:t>
            </w:r>
          </w:p>
          <w:p w14:paraId="537FEE42">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p>
        </w:tc>
        <w:tc>
          <w:tcPr>
            <w:tcW w:w="7706" w:type="dxa"/>
            <w:tcBorders>
              <w:top w:val="single" w:color="auto" w:sz="4" w:space="0"/>
              <w:left w:val="nil"/>
              <w:bottom w:val="single" w:color="auto" w:sz="4" w:space="0"/>
              <w:right w:val="single" w:color="auto" w:sz="4" w:space="0"/>
            </w:tcBorders>
            <w:shd w:val="clear" w:color="000000" w:fill="FFFFFF"/>
          </w:tcPr>
          <w:p w14:paraId="742933E2">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一、采集工作站</w:t>
            </w:r>
          </w:p>
          <w:p w14:paraId="2B14D1C6">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 xml:space="preserve">采集工作站（Intel i5 3G CPU、8G内存，256G+1T硬盘，23英寸液晶显示器，Windows 10 64位及以上操作系统） </w:t>
            </w:r>
          </w:p>
          <w:p w14:paraId="6BA2B404">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二、设备主机</w:t>
            </w:r>
            <w:bookmarkStart w:id="0" w:name="_GoBack"/>
            <w:bookmarkEnd w:id="0"/>
          </w:p>
          <w:p w14:paraId="4AA7BDE2">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控制和数据处理中心，含放大器接口*1，网络接口*1，事件按键接口*1</w:t>
            </w:r>
          </w:p>
          <w:p w14:paraId="07710E1A">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三、放大器</w:t>
            </w:r>
          </w:p>
          <w:p w14:paraId="1AB5E624">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3.1通道数：脑电（EEG）输入端≥24个、双极输入端≥8对，参考电极（REF）端口≥2个，接地(GND)端口≥2个【提供产品放大器实物照片证明】</w:t>
            </w:r>
          </w:p>
          <w:p w14:paraId="24595779">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▲3.2放大器具备主动屏蔽电极（SHD）端口，可在电极屏蔽层上产生屏蔽电场，阻隔外界电磁干扰【提供产品放大器实物照片证明】</w:t>
            </w:r>
          </w:p>
          <w:p w14:paraId="5554F3BF">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3.3采样率：所有导联必须同时满足≥2000Hz采样率，提供软件截图证明</w:t>
            </w:r>
          </w:p>
          <w:p w14:paraId="3F45DD1B">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3.4定标电压：标称值为100μVp-p，最大允许误差±4%</w:t>
            </w:r>
          </w:p>
          <w:p w14:paraId="042D111C">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3.5电压测量：最大允许误差±5%</w:t>
            </w:r>
          </w:p>
          <w:p w14:paraId="196F9005">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3.6时间间隔：最大允许误差±5%</w:t>
            </w:r>
          </w:p>
          <w:p w14:paraId="0F8F8783">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3.7时间常数：0.0106s、0.0159s、0.1592s、1.5915s可调，最大允许误差±20%</w:t>
            </w:r>
          </w:p>
          <w:p w14:paraId="332C3C29">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3.8采样精度：0.02μV</w:t>
            </w:r>
          </w:p>
          <w:p w14:paraId="7B4F4DB4">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3.9幅频特性：(1～120)Hz（不包括50Hz），最大允许误差+5%～-30%</w:t>
            </w:r>
          </w:p>
          <w:p w14:paraId="107C3015">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▲3.10噪声电平：≤ 1.0μV（峰峰值），提供检测证明</w:t>
            </w:r>
          </w:p>
          <w:p w14:paraId="2521E50A">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3.11共模抑制比：输入频率10Hz时，各道≥120dB；输入频率60Hz时，各道≥115dB</w:t>
            </w:r>
          </w:p>
          <w:p w14:paraId="5EAD975E">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3.12输入阻抗：对于10Hz正弦波信号，各道≥120MΩ</w:t>
            </w:r>
          </w:p>
          <w:p w14:paraId="1F38D752">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3.13高通滤波：0.01Hz、0.016Hz、0.02Hz、0.031Hz、0.08Hz、0.16Hz、0.27Hz、0.3Hz、0.5Hz、0.53Hz、1Hz、1.6Hz、2Hz、2.5Hz、3Hz、5Hz、5.3Hz、53Hz、159Hz、250Hz可选</w:t>
            </w:r>
          </w:p>
          <w:p w14:paraId="1E8B1955">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3.14低通滤波：截止频率在10Hz、15Hz、20Hz、25Hz、30Hz、35Hz、40Hz、50Hz、60Hz、70Hz、100Hz、120Hz内可调，应符合A0.9Fc≥0.7A10≥A1.1Fc的要求</w:t>
            </w:r>
          </w:p>
          <w:p w14:paraId="1B681B73">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四、数字脑电采集软件</w:t>
            </w:r>
          </w:p>
          <w:p w14:paraId="660555F8">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4.1具有常规脑电/视频脑电/视频脑功能/事件相关电位等多种检测模式，可自由切换</w:t>
            </w:r>
          </w:p>
          <w:p w14:paraId="486AD239">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4.2数据采集、存储与实时显示：软件接收存储原始数据，并可实时显示信号波形；并可对显示参数进行实时调整</w:t>
            </w:r>
          </w:p>
          <w:p w14:paraId="194DF221">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4.3数据回放：可进行数据的离线回放</w:t>
            </w:r>
          </w:p>
          <w:p w14:paraId="513385E6">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4.4 阻抗检测：可进行在线阻抗监测和离线阻抗检测</w:t>
            </w:r>
          </w:p>
          <w:p w14:paraId="36F55E35">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4.5导联及参考自动编辑：自动编辑导联顺序，自动完成双极导联设置</w:t>
            </w:r>
          </w:p>
          <w:p w14:paraId="15E9F8DA">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4.6信号质量监测：从原始信号的频域上多维度分析信号质量，医护人员可以直观的从各导联信号质量的颜色标记了解实时的信号质量情况</w:t>
            </w:r>
          </w:p>
          <w:p w14:paraId="788EA991">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4.7断电数据保护：系统断电重启后，断电前数据不丢失</w:t>
            </w:r>
          </w:p>
          <w:p w14:paraId="156439C5">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4.8视频控制、记录和回放：可对摄像头角度等参数进行调整，进行视频数据的记录和回放；视频数据与脑电数据同步，可进行联动定位</w:t>
            </w:r>
          </w:p>
          <w:p w14:paraId="2858FFF1">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▲4.9 动作识别：可自动识别视频中的运动，以红色阴影进行标注，辅助医生查看</w:t>
            </w:r>
          </w:p>
          <w:p w14:paraId="20563C0D">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4.10趋势图计算与显示：可在采集与回放过程中，同步查看进行振幅整合脑电、频谱、爆发抑制、神经包络、绝对和相对频带功率、频谱熵、α变异等趋势图；并通过趋势图进行时域脑电的定位</w:t>
            </w:r>
          </w:p>
          <w:p w14:paraId="4270EEB6">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4.11电位脑地形图：具有电位地形图的计算与显示功能</w:t>
            </w:r>
          </w:p>
          <w:p w14:paraId="3CC996D1">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4.12功率脑地形图：具有功率地形图的计算与显示功能</w:t>
            </w:r>
          </w:p>
          <w:p w14:paraId="297A4E41">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4.13 HFO高频振荡提示：实时图形化提示高频振荡能量：Ripple（80-250Hz）、Fast Ripple（250-500Hz），提供软件截图证明。</w:t>
            </w:r>
          </w:p>
          <w:p w14:paraId="02955154">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▲4.14事件相关电位检测：软件可进行事件相关电位的刺激设置、实时刺激记录、数据计算和结果显示，可进行P50、N100、MMN、P300、N170、N400-成语、N400-图词等多种范式的检测</w:t>
            </w:r>
          </w:p>
          <w:p w14:paraId="73FF1065">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4.15 ERP成分统计检验（P值），可计算ERP成分置信度，并用颜色背景标记置信区间。</w:t>
            </w:r>
          </w:p>
          <w:p w14:paraId="00690A3B">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4.16刺激记录模块和分析模块集成于一个软件系统，实现同步触发。</w:t>
            </w:r>
          </w:p>
          <w:p w14:paraId="74667DB4">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▲4.17可对视觉、听觉刺激进行自行编辑、编排、预览，可进行反馈按键的设置，以记录反馈信息</w:t>
            </w:r>
          </w:p>
          <w:p w14:paraId="5D5CB9F5">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4.18可在刺激记录的同时，实时进行各信号波形的叠加和同屏显示</w:t>
            </w:r>
          </w:p>
          <w:p w14:paraId="58E70E89">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4.19事件相关电位叠加：可在叠加波形时进行通道剔除、重参考（可选：无、A1A2、全平均）、滤波范围选择、片段（epoch）时长设置、片段（epoch）剔除和恢复（自动和手动）等参数调整</w:t>
            </w:r>
          </w:p>
          <w:p w14:paraId="2DBF8476">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4.20事件相关电位地形图，可显示各个同步信号的脑地形图，并可在片段（epoch）时程内以1毫秒为间隔自由滑动显示分布变化</w:t>
            </w:r>
          </w:p>
          <w:p w14:paraId="52B9ED34">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4.21事件相关电位分布图，可显示全部通道波形图的缩略分布图，便于辅助进行通道定位</w:t>
            </w:r>
          </w:p>
          <w:p w14:paraId="4F695B2F">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4.22可进行包括患者姓名等特殊听觉刺激的录制、处理和刺激编排</w:t>
            </w:r>
          </w:p>
          <w:p w14:paraId="0804023A">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4.23具备患者信息管理系统，中文报告生成系统：具有多种简洁实用的报告模板，可任意编辑相关内容</w:t>
            </w:r>
          </w:p>
          <w:p w14:paraId="7A07947A">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五、高清摄像头</w:t>
            </w:r>
          </w:p>
          <w:p w14:paraId="2DACE254">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5.1支持超低照度，0.05Lux @ (F2.0,AGC ON) (彩色),0.005Lux @ (F2.0,AGC ON) 0 Lux with IR (黑白);支持4倍光学变倍，16倍数字变倍;</w:t>
            </w:r>
          </w:p>
          <w:p w14:paraId="3161733C">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5.2水平350°可控制摄像机调节各种常用参数</w:t>
            </w:r>
          </w:p>
          <w:p w14:paraId="7EED303D">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六、闪光刺激器</w:t>
            </w:r>
          </w:p>
          <w:p w14:paraId="7157B2B0">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val="0"/>
                <w:bCs w:val="0"/>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6.1采用高亮度、低功耗LED光源，以提供更长的使用寿命</w:t>
            </w:r>
          </w:p>
          <w:p w14:paraId="45D134DE">
            <w:pPr>
              <w:keepNext w:val="0"/>
              <w:keepLines w:val="0"/>
              <w:pageBreakBefore w:val="0"/>
              <w:widowControl/>
              <w:kinsoku/>
              <w:wordWrap/>
              <w:overflowPunct/>
              <w:topLinePunct w:val="0"/>
              <w:autoSpaceDE/>
              <w:autoSpaceDN/>
              <w:bidi w:val="0"/>
              <w:adjustRightInd/>
              <w:snapToGrid/>
              <w:spacing w:line="288" w:lineRule="auto"/>
              <w:jc w:val="left"/>
              <w:textAlignment w:val="auto"/>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color w:val="000000" w:themeColor="text1"/>
                <w:kern w:val="0"/>
                <w:sz w:val="22"/>
                <w:szCs w:val="22"/>
                <w14:textFill>
                  <w14:solidFill>
                    <w14:schemeClr w14:val="tx1"/>
                  </w14:solidFill>
                </w14:textFill>
              </w:rPr>
              <w:t>6.2采用圆形灯头设计，符合欧洲、中国指南推荐：圆形闪光灯可对整个视网膜产生更均匀的刺激 【提供刺激器灯头实物照片佐证】</w:t>
            </w:r>
          </w:p>
        </w:tc>
      </w:tr>
    </w:tbl>
    <w:p w14:paraId="2130C648">
      <w:pPr>
        <w:spacing w:line="360" w:lineRule="exact"/>
        <w:jc w:val="left"/>
        <w:rPr>
          <w:rFonts w:hint="default" w:ascii="Times New Roman" w:hAnsi="Times New Roman" w:eastAsia="宋体" w:cs="Times New Roman"/>
          <w:color w:val="3F3F3F"/>
          <w:kern w:val="0"/>
          <w:sz w:val="22"/>
          <w:szCs w:val="22"/>
        </w:rPr>
      </w:pPr>
    </w:p>
    <w:p w14:paraId="3D9B3AD0">
      <w:pPr>
        <w:pStyle w:val="3"/>
        <w:bidi w:val="0"/>
        <w:jc w:val="center"/>
      </w:pPr>
      <w:r>
        <w:rPr>
          <w:rFonts w:hint="eastAsia"/>
        </w:rPr>
        <w:t>设备配套耗材试剂情况</w:t>
      </w:r>
    </w:p>
    <w:p w14:paraId="36C7CED1">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14:paraId="41F6DBE1">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4780"/>
        <w:gridCol w:w="1985"/>
        <w:gridCol w:w="2126"/>
      </w:tblGrid>
      <w:tr w14:paraId="17536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1" w:type="dxa"/>
            <w:vAlign w:val="center"/>
          </w:tcPr>
          <w:p w14:paraId="109DE0BA">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4780" w:type="dxa"/>
            <w:vAlign w:val="center"/>
          </w:tcPr>
          <w:p w14:paraId="4EE656E0">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14:paraId="06F1DB61">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126" w:type="dxa"/>
            <w:vAlign w:val="center"/>
          </w:tcPr>
          <w:p w14:paraId="1728715A">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预算单价（元）</w:t>
            </w:r>
          </w:p>
        </w:tc>
      </w:tr>
      <w:tr w14:paraId="3D26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1" w:type="dxa"/>
            <w:vAlign w:val="center"/>
          </w:tcPr>
          <w:p w14:paraId="76967A11">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w:t>
            </w:r>
          </w:p>
        </w:tc>
        <w:tc>
          <w:tcPr>
            <w:tcW w:w="4780" w:type="dxa"/>
            <w:vAlign w:val="center"/>
          </w:tcPr>
          <w:p w14:paraId="7D032F6E">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导电膏</w:t>
            </w:r>
          </w:p>
        </w:tc>
        <w:tc>
          <w:tcPr>
            <w:tcW w:w="1985" w:type="dxa"/>
            <w:vAlign w:val="center"/>
          </w:tcPr>
          <w:p w14:paraId="466F6E86">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瓶</w:t>
            </w:r>
          </w:p>
        </w:tc>
        <w:tc>
          <w:tcPr>
            <w:tcW w:w="2126" w:type="dxa"/>
            <w:vAlign w:val="center"/>
          </w:tcPr>
          <w:p w14:paraId="6456334B">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360</w:t>
            </w:r>
          </w:p>
        </w:tc>
      </w:tr>
      <w:tr w14:paraId="2CC9D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1" w:type="dxa"/>
            <w:vAlign w:val="center"/>
          </w:tcPr>
          <w:p w14:paraId="6DAF6B5E">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2</w:t>
            </w:r>
          </w:p>
        </w:tc>
        <w:tc>
          <w:tcPr>
            <w:tcW w:w="4780" w:type="dxa"/>
            <w:vAlign w:val="center"/>
          </w:tcPr>
          <w:p w14:paraId="4EE2C4DC">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磨砂膏</w:t>
            </w:r>
          </w:p>
        </w:tc>
        <w:tc>
          <w:tcPr>
            <w:tcW w:w="1985" w:type="dxa"/>
            <w:vAlign w:val="center"/>
          </w:tcPr>
          <w:p w14:paraId="117F21FD">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瓶</w:t>
            </w:r>
          </w:p>
        </w:tc>
        <w:tc>
          <w:tcPr>
            <w:tcW w:w="2126" w:type="dxa"/>
            <w:vAlign w:val="center"/>
          </w:tcPr>
          <w:p w14:paraId="68DCB150">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360</w:t>
            </w:r>
          </w:p>
        </w:tc>
      </w:tr>
      <w:tr w14:paraId="7C637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1" w:type="dxa"/>
            <w:vAlign w:val="center"/>
          </w:tcPr>
          <w:p w14:paraId="660A0941">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3</w:t>
            </w:r>
          </w:p>
        </w:tc>
        <w:tc>
          <w:tcPr>
            <w:tcW w:w="4780" w:type="dxa"/>
            <w:vAlign w:val="center"/>
          </w:tcPr>
          <w:p w14:paraId="09BE4F38">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盘装电极线</w:t>
            </w:r>
          </w:p>
        </w:tc>
        <w:tc>
          <w:tcPr>
            <w:tcW w:w="1985" w:type="dxa"/>
            <w:vAlign w:val="center"/>
          </w:tcPr>
          <w:p w14:paraId="6214DBAE">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12根/包</w:t>
            </w:r>
          </w:p>
        </w:tc>
        <w:tc>
          <w:tcPr>
            <w:tcW w:w="2126" w:type="dxa"/>
            <w:vAlign w:val="center"/>
          </w:tcPr>
          <w:p w14:paraId="4CA0203A">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1800</w:t>
            </w:r>
          </w:p>
        </w:tc>
      </w:tr>
    </w:tbl>
    <w:p w14:paraId="451B6934">
      <w:pPr>
        <w:jc w:val="left"/>
        <w:rPr>
          <w:rFonts w:ascii="Times New Roman" w:hAnsi="Times New Roman"/>
          <w:szCs w:val="21"/>
        </w:rPr>
      </w:pPr>
    </w:p>
    <w:p w14:paraId="2BD1197F">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9762"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4780"/>
        <w:gridCol w:w="1985"/>
        <w:gridCol w:w="2126"/>
      </w:tblGrid>
      <w:tr w14:paraId="1BC07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1" w:type="dxa"/>
            <w:vAlign w:val="center"/>
          </w:tcPr>
          <w:p w14:paraId="63986D15">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4780" w:type="dxa"/>
            <w:vAlign w:val="center"/>
          </w:tcPr>
          <w:p w14:paraId="1F027381">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14:paraId="0EEBA9CF">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126" w:type="dxa"/>
            <w:vAlign w:val="center"/>
          </w:tcPr>
          <w:p w14:paraId="580B8523">
            <w:pPr>
              <w:jc w:val="center"/>
              <w:rPr>
                <w:rFonts w:hint="eastAsia" w:ascii="Times New Roman" w:hAnsi="Times New Roman" w:eastAsia="宋体" w:cs="Times New Roman"/>
                <w:b/>
                <w:sz w:val="22"/>
                <w:szCs w:val="22"/>
                <w:lang w:eastAsia="zh-CN"/>
              </w:rPr>
            </w:pPr>
            <w:r>
              <w:rPr>
                <w:rFonts w:hint="default" w:ascii="Times New Roman" w:hAnsi="Times New Roman" w:eastAsia="宋体" w:cs="Times New Roman"/>
                <w:b/>
                <w:sz w:val="22"/>
                <w:szCs w:val="22"/>
              </w:rPr>
              <w:t>预算单价</w:t>
            </w:r>
            <w:r>
              <w:rPr>
                <w:rFonts w:hint="eastAsia" w:ascii="Times New Roman" w:hAnsi="Times New Roman" w:cs="Times New Roman"/>
                <w:b/>
                <w:sz w:val="22"/>
                <w:szCs w:val="22"/>
                <w:lang w:eastAsia="zh-CN"/>
              </w:rPr>
              <w:t>（</w:t>
            </w:r>
            <w:r>
              <w:rPr>
                <w:rFonts w:hint="eastAsia" w:ascii="Times New Roman" w:hAnsi="Times New Roman" w:cs="Times New Roman"/>
                <w:b/>
                <w:sz w:val="22"/>
                <w:szCs w:val="22"/>
                <w:lang w:val="en-US" w:eastAsia="zh-CN"/>
              </w:rPr>
              <w:t>元</w:t>
            </w:r>
            <w:r>
              <w:rPr>
                <w:rFonts w:hint="eastAsia" w:ascii="Times New Roman" w:hAnsi="Times New Roman" w:cs="Times New Roman"/>
                <w:b/>
                <w:sz w:val="22"/>
                <w:szCs w:val="22"/>
                <w:lang w:eastAsia="zh-CN"/>
              </w:rPr>
              <w:t>）</w:t>
            </w:r>
          </w:p>
        </w:tc>
      </w:tr>
      <w:tr w14:paraId="6A585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1" w:type="dxa"/>
            <w:vAlign w:val="center"/>
          </w:tcPr>
          <w:p w14:paraId="6E955B94">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w:t>
            </w:r>
          </w:p>
        </w:tc>
        <w:tc>
          <w:tcPr>
            <w:tcW w:w="4780" w:type="dxa"/>
            <w:vAlign w:val="center"/>
          </w:tcPr>
          <w:p w14:paraId="3FCDCE24">
            <w:pPr>
              <w:jc w:val="center"/>
              <w:rPr>
                <w:rFonts w:hint="eastAsia" w:ascii="Times New Roman" w:hAnsi="Times New Roman" w:eastAsia="宋体" w:cs="Times New Roman"/>
                <w:sz w:val="22"/>
                <w:szCs w:val="22"/>
                <w:lang w:val="en-US" w:eastAsia="zh-CN"/>
              </w:rPr>
            </w:pPr>
            <w:r>
              <w:rPr>
                <w:rFonts w:hint="eastAsia" w:ascii="Times New Roman" w:hAnsi="Times New Roman" w:cs="Times New Roman"/>
                <w:sz w:val="22"/>
                <w:szCs w:val="22"/>
                <w:lang w:val="en-US" w:eastAsia="zh-CN"/>
              </w:rPr>
              <w:t>/</w:t>
            </w:r>
          </w:p>
        </w:tc>
        <w:tc>
          <w:tcPr>
            <w:tcW w:w="1985" w:type="dxa"/>
            <w:vAlign w:val="center"/>
          </w:tcPr>
          <w:p w14:paraId="2AC52494">
            <w:pPr>
              <w:jc w:val="center"/>
              <w:rPr>
                <w:rFonts w:hint="eastAsia" w:ascii="Times New Roman" w:hAnsi="Times New Roman" w:eastAsia="宋体" w:cs="Times New Roman"/>
                <w:sz w:val="22"/>
                <w:szCs w:val="22"/>
                <w:lang w:val="en-US" w:eastAsia="zh-CN"/>
              </w:rPr>
            </w:pPr>
            <w:r>
              <w:rPr>
                <w:rFonts w:hint="eastAsia" w:ascii="Times New Roman" w:hAnsi="Times New Roman" w:cs="Times New Roman"/>
                <w:sz w:val="22"/>
                <w:szCs w:val="22"/>
                <w:lang w:val="en-US" w:eastAsia="zh-CN"/>
              </w:rPr>
              <w:t>/</w:t>
            </w:r>
          </w:p>
        </w:tc>
        <w:tc>
          <w:tcPr>
            <w:tcW w:w="2126" w:type="dxa"/>
            <w:vAlign w:val="center"/>
          </w:tcPr>
          <w:p w14:paraId="46B084FC">
            <w:pPr>
              <w:jc w:val="center"/>
              <w:rPr>
                <w:rFonts w:hint="eastAsia" w:ascii="Times New Roman" w:hAnsi="Times New Roman" w:eastAsia="宋体" w:cs="Times New Roman"/>
                <w:sz w:val="22"/>
                <w:szCs w:val="22"/>
                <w:lang w:val="en-US" w:eastAsia="zh-CN"/>
              </w:rPr>
            </w:pPr>
            <w:r>
              <w:rPr>
                <w:rFonts w:hint="eastAsia" w:ascii="Times New Roman" w:hAnsi="Times New Roman" w:cs="Times New Roman"/>
                <w:sz w:val="22"/>
                <w:szCs w:val="22"/>
                <w:lang w:val="en-US" w:eastAsia="zh-CN"/>
              </w:rPr>
              <w:t>/</w:t>
            </w:r>
          </w:p>
        </w:tc>
      </w:tr>
    </w:tbl>
    <w:p w14:paraId="276A0F91">
      <w:pPr>
        <w:jc w:val="cente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8D8E9">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5C2A16"/>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9B0649"/>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57B4A"/>
    <w:rsid w:val="00F749F5"/>
    <w:rsid w:val="00F84832"/>
    <w:rsid w:val="00FD02B5"/>
    <w:rsid w:val="00FD584F"/>
    <w:rsid w:val="07F97D7D"/>
    <w:rsid w:val="08F53397"/>
    <w:rsid w:val="1D82649A"/>
    <w:rsid w:val="1F28401D"/>
    <w:rsid w:val="20527BD7"/>
    <w:rsid w:val="252A0FAD"/>
    <w:rsid w:val="31EE3393"/>
    <w:rsid w:val="35615966"/>
    <w:rsid w:val="363677AD"/>
    <w:rsid w:val="47155ADB"/>
    <w:rsid w:val="575332F6"/>
    <w:rsid w:val="64786CE0"/>
    <w:rsid w:val="651D10B4"/>
    <w:rsid w:val="71DC6A1B"/>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3"/>
    <w:autoRedefine/>
    <w:unhideWhenUsed/>
    <w:qFormat/>
    <w:uiPriority w:val="99"/>
    <w:pPr>
      <w:jc w:val="left"/>
    </w:pPr>
  </w:style>
  <w:style w:type="paragraph" w:styleId="5">
    <w:name w:val="Balloon Text"/>
    <w:basedOn w:val="1"/>
    <w:link w:val="14"/>
    <w:autoRedefine/>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kern w:val="0"/>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qFormat/>
    <w:uiPriority w:val="99"/>
    <w:rPr>
      <w:sz w:val="21"/>
      <w:szCs w:val="21"/>
    </w:rPr>
  </w:style>
  <w:style w:type="character" w:customStyle="1" w:styleId="12">
    <w:name w:val="标题 1 字符"/>
    <w:link w:val="2"/>
    <w:autoRedefine/>
    <w:qFormat/>
    <w:uiPriority w:val="9"/>
    <w:rPr>
      <w:b/>
      <w:bCs/>
      <w:kern w:val="44"/>
      <w:sz w:val="44"/>
      <w:szCs w:val="44"/>
    </w:rPr>
  </w:style>
  <w:style w:type="character" w:customStyle="1" w:styleId="13">
    <w:name w:val="批注文字 字符"/>
    <w:link w:val="4"/>
    <w:autoRedefine/>
    <w:semiHidden/>
    <w:qFormat/>
    <w:uiPriority w:val="99"/>
    <w:rPr>
      <w:kern w:val="2"/>
      <w:sz w:val="21"/>
      <w:szCs w:val="22"/>
    </w:rPr>
  </w:style>
  <w:style w:type="character" w:customStyle="1" w:styleId="14">
    <w:name w:val="批注框文本 字符"/>
    <w:link w:val="5"/>
    <w:semiHidden/>
    <w:qFormat/>
    <w:uiPriority w:val="99"/>
    <w:rPr>
      <w:kern w:val="2"/>
      <w:sz w:val="18"/>
      <w:szCs w:val="18"/>
    </w:rPr>
  </w:style>
  <w:style w:type="character" w:customStyle="1" w:styleId="15">
    <w:name w:val="页脚 字符"/>
    <w:link w:val="6"/>
    <w:qFormat/>
    <w:uiPriority w:val="99"/>
    <w:rPr>
      <w:sz w:val="18"/>
      <w:szCs w:val="18"/>
    </w:rPr>
  </w:style>
  <w:style w:type="character" w:customStyle="1" w:styleId="16">
    <w:name w:val="页眉 字符"/>
    <w:link w:val="7"/>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3</Pages>
  <Words>1736</Words>
  <Characters>2241</Characters>
  <Lines>25</Lines>
  <Paragraphs>7</Paragraphs>
  <TotalTime>5</TotalTime>
  <ScaleCrop>false</ScaleCrop>
  <LinksUpToDate>false</LinksUpToDate>
  <CharactersWithSpaces>2276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cp:lastPrinted>2020-06-15T03:32:00Z</cp:lastPrinted>
  <dcterms:modified xsi:type="dcterms:W3CDTF">2024-07-24T01:06:03Z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E28F633432D445358811CF707768E9C7_13</vt:lpwstr>
  </property>
</Properties>
</file>