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74B7FDC2">
      <w:pPr>
        <w:snapToGrid w:val="0"/>
        <w:ind w:right="-315" w:rightChars="-150" w:firstLine="420" w:firstLineChars="200"/>
        <w:rPr>
          <w:rFonts w:hint="eastAsia" w:ascii="宋体" w:hAnsi="宋体"/>
          <w:color w:val="000000"/>
          <w:szCs w:val="21"/>
        </w:rPr>
      </w:pPr>
    </w:p>
    <w:p w14:paraId="7B16D6B4">
      <w:pPr>
        <w:snapToGrid w:val="0"/>
        <w:ind w:right="-315" w:rightChars="-150" w:firstLine="420" w:firstLineChars="200"/>
        <w:rPr>
          <w:rFonts w:hint="eastAsia" w:ascii="宋体" w:hAnsi="宋体"/>
          <w:color w:val="000000"/>
          <w:szCs w:val="21"/>
        </w:rPr>
      </w:pPr>
    </w:p>
    <w:p w14:paraId="5B43F16D">
      <w:pPr>
        <w:snapToGrid w:val="0"/>
        <w:ind w:right="-315" w:rightChars="-150" w:firstLine="420" w:firstLineChars="200"/>
        <w:rPr>
          <w:rFonts w:hint="eastAsia" w:ascii="宋体" w:hAnsi="宋体"/>
          <w:color w:val="000000"/>
          <w:szCs w:val="21"/>
        </w:rPr>
      </w:pPr>
    </w:p>
    <w:p w14:paraId="65B434FF">
      <w:pPr>
        <w:snapToGrid w:val="0"/>
        <w:ind w:right="-315" w:rightChars="-150" w:firstLine="420" w:firstLineChars="200"/>
        <w:rPr>
          <w:rFonts w:hint="eastAsia" w:ascii="宋体" w:hAnsi="宋体"/>
          <w:color w:val="000000"/>
          <w:szCs w:val="21"/>
        </w:rPr>
      </w:pPr>
    </w:p>
    <w:p w14:paraId="6006B1EB">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2C45728B">
      <w:pPr>
        <w:snapToGrid w:val="0"/>
        <w:ind w:right="-315" w:rightChars="-150"/>
        <w:rPr>
          <w:rFonts w:ascii="宋体" w:hAnsi="宋体"/>
          <w:szCs w:val="21"/>
        </w:rPr>
      </w:pPr>
      <w:r>
        <w:rPr>
          <w:rFonts w:hint="eastAsia" w:ascii="宋体" w:hAnsi="宋体"/>
          <w:szCs w:val="21"/>
        </w:rPr>
        <w:t>价格分计算方法可分为两种：</w:t>
      </w:r>
    </w:p>
    <w:p w14:paraId="258489AA">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14:paraId="51BDA7CB">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14:paraId="20DABD27">
            <w:pPr>
              <w:jc w:val="center"/>
              <w:rPr>
                <w:rFonts w:ascii="宋体" w:hAnsi="宋体"/>
                <w:b/>
                <w:color w:val="auto"/>
                <w:szCs w:val="21"/>
              </w:rPr>
            </w:pPr>
            <w:r>
              <w:rPr>
                <w:rFonts w:hint="eastAsia" w:ascii="宋体" w:hAnsi="宋体"/>
                <w:b/>
                <w:color w:val="auto"/>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14:paraId="36FA85C2">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14:paraId="6D103744">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14:paraId="434CF04F">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14:paraId="7DC6F60B">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1C4D601">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14:paraId="565744A0">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14:paraId="1D4F8536">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287460C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10DF3CE5">
            <w:pPr>
              <w:jc w:val="center"/>
              <w:rPr>
                <w:rFonts w:ascii="宋体" w:hAnsi="宋体"/>
                <w:color w:val="auto"/>
                <w:szCs w:val="21"/>
              </w:rPr>
            </w:pPr>
            <w:r>
              <w:rPr>
                <w:rFonts w:hint="eastAsia" w:ascii="宋体" w:hAnsi="宋体"/>
                <w:color w:val="auto"/>
                <w:szCs w:val="21"/>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FE7E230">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14:paraId="6160EDDE">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E07D5ED">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37173457">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BB2D4DC">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BB4461F">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14:paraId="31298B35">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61EBADFF">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14:paraId="4A5E3FE0">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A51D5B4">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14:paraId="56EF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69738ED">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3D64B83">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14:paraId="30D846AA">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0AA2ED9F">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14:paraId="02411D94">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489172C">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14:paraId="1E7B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5719B78">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51D842EF">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14:paraId="2CB55EF0">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7669FCAD">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06404894">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B5EBB4A">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5CDB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9DF7A08">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C6F55FA">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14:paraId="46D6FC3F">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7540AA0F">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639C805C">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7C363C3C">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06C1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E485B89">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038DFCE">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14:paraId="30BFA14B">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2AD7626C">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184A3FF6">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006C7956">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14:paraId="632C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661FB592">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18AA74FB">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14:paraId="4018AF44">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B62E900">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47588118">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1CE67AB4">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14:paraId="735A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53D312D6">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42B99C9">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14:paraId="7E3A41F1">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4CA45B8E">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3C1CF06C">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CA4A8C1">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14:paraId="2B17A76D">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14:paraId="60F315BF">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8D53BB7">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1FA4CC1A">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23DA9209">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4D05DEE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745498FB">
            <w:pPr>
              <w:jc w:val="center"/>
              <w:rPr>
                <w:rFonts w:ascii="宋体" w:hAnsi="宋体"/>
                <w:color w:val="auto"/>
                <w:szCs w:val="21"/>
              </w:rPr>
            </w:pPr>
            <w:r>
              <w:rPr>
                <w:rFonts w:hint="eastAsia" w:ascii="宋体" w:hAnsi="宋体"/>
                <w:color w:val="auto"/>
                <w:szCs w:val="21"/>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0242976">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CA775E8">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14:paraId="092B8FB4">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79E3DD90">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B897558">
            <w:pPr>
              <w:widowControl/>
              <w:spacing w:line="120" w:lineRule="atLeast"/>
              <w:jc w:val="left"/>
              <w:rPr>
                <w:rFonts w:ascii="宋体" w:hAnsi="宋体"/>
                <w:color w:val="auto"/>
                <w:szCs w:val="21"/>
              </w:rPr>
            </w:pPr>
            <w:r>
              <w:rPr>
                <w:rFonts w:ascii="宋体" w:hAnsi="宋体"/>
                <w:szCs w:val="21"/>
              </w:rPr>
              <w:t>投标人近三年（201</w:t>
            </w:r>
            <w:r>
              <w:rPr>
                <w:rFonts w:hint="eastAsia" w:ascii="宋体" w:hAnsi="宋体"/>
                <w:szCs w:val="21"/>
                <w:lang w:val="en-US" w:eastAsia="zh-CN"/>
              </w:rPr>
              <w:t>7</w:t>
            </w:r>
            <w:r>
              <w:rPr>
                <w:rFonts w:ascii="宋体" w:hAnsi="宋体"/>
                <w:szCs w:val="21"/>
              </w:rPr>
              <w:t>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D6E1412">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880C3EC">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14:paraId="10F2DA86">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68B160A3">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D15475C">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14:paraId="4F7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539C051">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4A6A3E6">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795944BF">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14:paraId="0F9A86EB">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14:paraId="224D7AFB">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0006145D">
            <w:pPr>
              <w:widowControl/>
              <w:spacing w:line="300" w:lineRule="atLeast"/>
              <w:jc w:val="left"/>
              <w:rPr>
                <w:rFonts w:ascii="宋体" w:hAnsi="宋体"/>
                <w:szCs w:val="21"/>
              </w:rPr>
            </w:pPr>
            <w:r>
              <w:rPr>
                <w:rFonts w:ascii="宋体" w:hAnsi="宋体"/>
                <w:szCs w:val="21"/>
              </w:rPr>
              <w:t>具有广东省内服务网点得1分，没有不得分。</w:t>
            </w:r>
          </w:p>
          <w:p w14:paraId="4AC3AFC7">
            <w:pPr>
              <w:widowControl/>
              <w:spacing w:line="120" w:lineRule="atLeast"/>
              <w:jc w:val="left"/>
              <w:rPr>
                <w:rFonts w:ascii="宋体" w:hAnsi="宋体"/>
                <w:color w:val="auto"/>
                <w:szCs w:val="21"/>
              </w:rPr>
            </w:pPr>
            <w:r>
              <w:rPr>
                <w:rFonts w:ascii="宋体" w:hAnsi="宋体"/>
                <w:szCs w:val="21"/>
              </w:rPr>
              <w:t>（提供正在服务期内的网点合同复印件）</w:t>
            </w:r>
          </w:p>
        </w:tc>
      </w:tr>
      <w:tr w14:paraId="2492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3BB2753">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660EC5B">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48B6D270">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14:paraId="38CE1B60">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14:paraId="5B562704">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03AB2D3">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53E8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308695DA">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FB722BF">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314E624C">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14:paraId="0A29D0B7">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14:paraId="32481485">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5C60C3AC">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DE8D39E">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14:paraId="3A79715A">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14:paraId="214F8DD8">
            <w:pPr>
              <w:jc w:val="center"/>
              <w:rPr>
                <w:rFonts w:ascii="宋体" w:hAnsi="宋体"/>
                <w:b/>
                <w:color w:val="auto"/>
                <w:szCs w:val="21"/>
              </w:rPr>
            </w:pPr>
            <w:r>
              <w:rPr>
                <w:rFonts w:hint="eastAsia" w:ascii="宋体" w:hAnsi="宋体"/>
                <w:b/>
                <w:color w:val="auto"/>
                <w:szCs w:val="21"/>
              </w:rPr>
              <w:t>5</w:t>
            </w:r>
          </w:p>
        </w:tc>
        <w:tc>
          <w:tcPr>
            <w:tcW w:w="681" w:type="dxa"/>
          </w:tcPr>
          <w:p w14:paraId="6509D384">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14:paraId="0CB82191">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12D212BC">
            <w:pPr>
              <w:widowControl/>
              <w:spacing w:line="120" w:lineRule="atLeast"/>
              <w:jc w:val="left"/>
              <w:rPr>
                <w:rFonts w:ascii="宋体" w:hAnsi="宋体"/>
                <w:color w:val="auto"/>
                <w:szCs w:val="21"/>
              </w:rPr>
            </w:pP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F1443B7">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14F64AC3">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3F751CA2">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49840DAD">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14:paraId="07FC10CD">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14:paraId="027F960B">
            <w:pPr>
              <w:jc w:val="center"/>
              <w:rPr>
                <w:rFonts w:ascii="宋体" w:hAnsi="宋体"/>
                <w:color w:val="auto"/>
                <w:szCs w:val="21"/>
              </w:rPr>
            </w:pPr>
            <w:r>
              <w:rPr>
                <w:rFonts w:hint="eastAsia" w:ascii="宋体" w:hAnsi="宋体"/>
                <w:color w:val="auto"/>
                <w:szCs w:val="21"/>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82CD4BA">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61BC79C">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27FB787">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14:paraId="50CCBF14">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1AD4E9A4">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14:paraId="5D81EE00">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7C0F28DB">
      <w:pPr>
        <w:spacing w:line="360" w:lineRule="exact"/>
        <w:jc w:val="left"/>
        <w:rPr>
          <w:rFonts w:ascii="宋体" w:hAnsi="宋体"/>
          <w:color w:val="auto"/>
          <w:szCs w:val="21"/>
        </w:rPr>
      </w:pPr>
      <w:bookmarkStart w:id="0" w:name="InsertEnd"/>
      <w:bookmarkEnd w:id="0"/>
    </w:p>
    <w:p w14:paraId="38B30510">
      <w:pPr>
        <w:spacing w:line="360" w:lineRule="exact"/>
        <w:jc w:val="left"/>
        <w:rPr>
          <w:rFonts w:ascii="宋体" w:hAnsi="宋体"/>
          <w:color w:val="auto"/>
          <w:szCs w:val="21"/>
        </w:rPr>
      </w:pPr>
      <w:r>
        <w:rPr>
          <w:rFonts w:hint="eastAsia" w:ascii="宋体" w:hAnsi="宋体"/>
          <w:color w:val="auto"/>
          <w:szCs w:val="21"/>
        </w:rPr>
        <w:t>说明：</w:t>
      </w:r>
    </w:p>
    <w:p w14:paraId="697C1AFD">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28227611">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1DF9DE39">
      <w:pPr>
        <w:rPr>
          <w:color w:val="auto"/>
        </w:rPr>
      </w:pPr>
    </w:p>
    <w:p w14:paraId="700E954F">
      <w:pPr>
        <w:spacing w:after="78"/>
        <w:jc w:val="left"/>
        <w:outlineLvl w:val="0"/>
        <w:rPr>
          <w:rFonts w:ascii="宋体" w:hAnsi="宋体"/>
          <w:color w:val="auto"/>
          <w:sz w:val="40"/>
          <w:szCs w:val="40"/>
        </w:rPr>
      </w:pPr>
    </w:p>
    <w:p w14:paraId="2D23721C">
      <w:pPr>
        <w:spacing w:after="78"/>
        <w:jc w:val="left"/>
        <w:outlineLvl w:val="0"/>
        <w:rPr>
          <w:rFonts w:ascii="宋体" w:hAnsi="宋体"/>
          <w:color w:val="auto"/>
          <w:sz w:val="40"/>
          <w:szCs w:val="40"/>
        </w:rPr>
      </w:pPr>
    </w:p>
    <w:p w14:paraId="65288AE7">
      <w:pPr>
        <w:spacing w:after="78"/>
        <w:jc w:val="left"/>
        <w:outlineLvl w:val="0"/>
        <w:rPr>
          <w:rFonts w:ascii="宋体" w:hAnsi="宋体"/>
          <w:color w:val="auto"/>
          <w:sz w:val="40"/>
          <w:szCs w:val="40"/>
        </w:rPr>
      </w:pPr>
    </w:p>
    <w:p w14:paraId="276F4ACD">
      <w:pPr>
        <w:spacing w:after="78"/>
        <w:jc w:val="left"/>
        <w:outlineLvl w:val="0"/>
        <w:rPr>
          <w:rFonts w:ascii="宋体" w:hAnsi="宋体"/>
          <w:color w:val="auto"/>
          <w:sz w:val="40"/>
          <w:szCs w:val="40"/>
        </w:rPr>
      </w:pPr>
    </w:p>
    <w:p w14:paraId="71A9FF26">
      <w:pPr>
        <w:spacing w:after="78"/>
        <w:jc w:val="left"/>
        <w:outlineLvl w:val="0"/>
        <w:rPr>
          <w:rFonts w:ascii="宋体" w:hAnsi="宋体"/>
          <w:color w:val="auto"/>
          <w:sz w:val="40"/>
          <w:szCs w:val="40"/>
        </w:rPr>
      </w:pPr>
    </w:p>
    <w:p w14:paraId="5F4698AE">
      <w:pPr>
        <w:spacing w:after="78"/>
        <w:jc w:val="left"/>
        <w:outlineLvl w:val="0"/>
        <w:rPr>
          <w:rFonts w:ascii="宋体" w:hAnsi="宋体"/>
          <w:color w:val="auto"/>
          <w:sz w:val="40"/>
          <w:szCs w:val="40"/>
        </w:rPr>
      </w:pPr>
    </w:p>
    <w:p w14:paraId="4DB8CB61">
      <w:pPr>
        <w:spacing w:after="78"/>
        <w:jc w:val="left"/>
        <w:outlineLvl w:val="0"/>
        <w:rPr>
          <w:rFonts w:ascii="宋体" w:hAnsi="宋体"/>
          <w:color w:val="auto"/>
          <w:sz w:val="40"/>
          <w:szCs w:val="40"/>
        </w:rPr>
      </w:pPr>
    </w:p>
    <w:p w14:paraId="3EBED385">
      <w:pPr>
        <w:spacing w:after="78"/>
        <w:jc w:val="left"/>
        <w:outlineLvl w:val="0"/>
        <w:rPr>
          <w:rFonts w:ascii="宋体" w:hAnsi="宋体"/>
          <w:color w:val="auto"/>
          <w:sz w:val="40"/>
          <w:szCs w:val="40"/>
        </w:rPr>
      </w:pPr>
    </w:p>
    <w:p w14:paraId="36E06CA0">
      <w:pPr>
        <w:spacing w:after="78"/>
        <w:jc w:val="left"/>
        <w:outlineLvl w:val="0"/>
        <w:rPr>
          <w:rFonts w:ascii="宋体" w:hAnsi="宋体"/>
          <w:color w:val="auto"/>
          <w:sz w:val="40"/>
          <w:szCs w:val="40"/>
        </w:rPr>
      </w:pPr>
    </w:p>
    <w:p w14:paraId="0ED1E68C">
      <w:pPr>
        <w:spacing w:after="78"/>
        <w:jc w:val="left"/>
        <w:outlineLvl w:val="0"/>
        <w:rPr>
          <w:rFonts w:ascii="宋体" w:hAnsi="宋体"/>
          <w:color w:val="auto"/>
          <w:sz w:val="40"/>
          <w:szCs w:val="40"/>
        </w:rPr>
      </w:pPr>
    </w:p>
    <w:p w14:paraId="41B6CE74">
      <w:pPr>
        <w:spacing w:after="78"/>
        <w:jc w:val="left"/>
        <w:outlineLvl w:val="0"/>
        <w:rPr>
          <w:rFonts w:ascii="宋体" w:hAnsi="宋体"/>
          <w:color w:val="auto"/>
          <w:sz w:val="40"/>
          <w:szCs w:val="40"/>
        </w:rPr>
      </w:pPr>
    </w:p>
    <w:p w14:paraId="649F8109">
      <w:pPr>
        <w:spacing w:after="78"/>
        <w:jc w:val="left"/>
        <w:outlineLvl w:val="0"/>
        <w:rPr>
          <w:rFonts w:ascii="宋体" w:hAnsi="宋体"/>
          <w:color w:val="auto"/>
          <w:sz w:val="40"/>
          <w:szCs w:val="40"/>
        </w:rPr>
      </w:pPr>
    </w:p>
    <w:p w14:paraId="2F3F69D0">
      <w:pPr>
        <w:spacing w:after="78"/>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项目：总预算</w:t>
      </w:r>
      <w:r>
        <w:rPr>
          <w:rFonts w:hint="eastAsia" w:ascii="宋体" w:hAnsi="宋体" w:eastAsia="宋体" w:cs="宋体"/>
          <w:color w:val="auto"/>
          <w:sz w:val="24"/>
          <w:szCs w:val="24"/>
          <w:lang w:val="en-US" w:eastAsia="zh-CN"/>
        </w:rPr>
        <w:t>7.5</w:t>
      </w:r>
      <w:r>
        <w:rPr>
          <w:rFonts w:hint="eastAsia" w:ascii="宋体" w:hAnsi="宋体" w:eastAsia="宋体" w:cs="宋体"/>
          <w:color w:val="auto"/>
          <w:sz w:val="24"/>
          <w:szCs w:val="24"/>
        </w:rPr>
        <w:t>万元</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7949"/>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tcBorders>
              <w:top w:val="single" w:color="auto" w:sz="4" w:space="0"/>
              <w:left w:val="single" w:color="auto" w:sz="4" w:space="0"/>
              <w:bottom w:val="single" w:color="auto" w:sz="4" w:space="0"/>
              <w:right w:val="single" w:color="auto" w:sz="4" w:space="0"/>
            </w:tcBorders>
          </w:tcPr>
          <w:p w14:paraId="6666733F">
            <w:pPr>
              <w:spacing w:after="7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项</w:t>
            </w:r>
            <w:r>
              <w:rPr>
                <w:rFonts w:hint="eastAsia" w:ascii="宋体" w:hAnsi="宋体" w:eastAsia="宋体" w:cs="宋体"/>
                <w:color w:val="000000"/>
                <w:kern w:val="0"/>
                <w:sz w:val="24"/>
                <w:szCs w:val="24"/>
              </w:rPr>
              <w:t>目名称</w:t>
            </w:r>
          </w:p>
        </w:tc>
        <w:tc>
          <w:tcPr>
            <w:tcW w:w="7949" w:type="dxa"/>
            <w:tcBorders>
              <w:top w:val="single" w:color="auto" w:sz="4" w:space="0"/>
              <w:left w:val="single" w:color="auto" w:sz="4" w:space="0"/>
              <w:bottom w:val="single" w:color="auto" w:sz="4" w:space="0"/>
              <w:right w:val="single" w:color="auto" w:sz="4" w:space="0"/>
            </w:tcBorders>
          </w:tcPr>
          <w:p w14:paraId="7A92CBFB">
            <w:pPr>
              <w:spacing w:after="78"/>
              <w:jc w:val="center"/>
              <w:rPr>
                <w:rFonts w:hint="eastAsia" w:ascii="宋体" w:hAnsi="宋体" w:eastAsia="宋体" w:cs="宋体"/>
                <w:color w:val="000000"/>
                <w:sz w:val="24"/>
                <w:szCs w:val="24"/>
                <w:lang w:val="en-US" w:eastAsia="zh-CN"/>
              </w:rPr>
            </w:pPr>
            <w:r>
              <w:rPr>
                <w:rFonts w:hint="eastAsia" w:ascii="宋体" w:hAnsi="宋体" w:eastAsia="宋体" w:cs="宋体"/>
                <w:color w:val="000000" w:themeColor="text1"/>
                <w:sz w:val="24"/>
                <w:szCs w:val="24"/>
                <w:lang w:eastAsia="zh-CN"/>
                <w14:textFill>
                  <w14:solidFill>
                    <w14:schemeClr w14:val="tx1"/>
                  </w14:solidFill>
                </w14:textFill>
              </w:rPr>
              <w:t>电生理标测仪</w:t>
            </w:r>
            <w:r>
              <w:rPr>
                <w:rFonts w:hint="eastAsia" w:ascii="宋体" w:hAnsi="宋体" w:eastAsia="宋体" w:cs="宋体"/>
                <w:color w:val="000000" w:themeColor="text1"/>
                <w:sz w:val="24"/>
                <w:szCs w:val="24"/>
                <w14:textFill>
                  <w14:solidFill>
                    <w14:schemeClr w14:val="tx1"/>
                  </w14:solidFill>
                </w14:textFill>
              </w:rPr>
              <w:t>维修</w:t>
            </w: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Borders>
              <w:top w:val="single" w:color="auto" w:sz="4" w:space="0"/>
              <w:left w:val="single" w:color="auto" w:sz="4" w:space="0"/>
              <w:bottom w:val="single" w:color="auto" w:sz="4" w:space="0"/>
              <w:right w:val="single" w:color="auto" w:sz="4" w:space="0"/>
            </w:tcBorders>
            <w:vAlign w:val="center"/>
          </w:tcPr>
          <w:p w14:paraId="2A1A456E">
            <w:pPr>
              <w:spacing w:after="7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用途</w:t>
            </w:r>
          </w:p>
        </w:tc>
        <w:tc>
          <w:tcPr>
            <w:tcW w:w="7949" w:type="dxa"/>
            <w:tcBorders>
              <w:top w:val="single" w:color="auto" w:sz="4" w:space="0"/>
              <w:left w:val="single" w:color="auto" w:sz="4" w:space="0"/>
              <w:bottom w:val="single" w:color="auto" w:sz="4" w:space="0"/>
              <w:right w:val="single" w:color="auto" w:sz="4" w:space="0"/>
            </w:tcBorders>
            <w:vAlign w:val="center"/>
          </w:tcPr>
          <w:p w14:paraId="767FD869">
            <w:pPr>
              <w:spacing w:after="78"/>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电生理手术用设备，用于记录心腔内电信号。</w:t>
            </w:r>
          </w:p>
        </w:tc>
      </w:tr>
      <w:tr w14:paraId="70D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76251874">
            <w:pPr>
              <w:spacing w:after="7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保修内容</w:t>
            </w:r>
          </w:p>
        </w:tc>
        <w:tc>
          <w:tcPr>
            <w:tcW w:w="7949" w:type="dxa"/>
            <w:tcBorders>
              <w:top w:val="single" w:color="auto" w:sz="4" w:space="0"/>
              <w:left w:val="single" w:color="auto" w:sz="4" w:space="0"/>
              <w:bottom w:val="single" w:color="auto" w:sz="4" w:space="0"/>
              <w:right w:val="single" w:color="auto" w:sz="4" w:space="0"/>
            </w:tcBorders>
            <w:vAlign w:val="center"/>
          </w:tcPr>
          <w:p w14:paraId="748DAE72">
            <w:pPr>
              <w:numPr>
                <w:ilvl w:val="255"/>
                <w:numId w:val="0"/>
              </w:numPr>
              <w:spacing w:after="78"/>
              <w:ind w:left="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更换电生理记录仪放大器主板</w:t>
            </w:r>
          </w:p>
          <w:p w14:paraId="4B855885">
            <w:pPr>
              <w:numPr>
                <w:ilvl w:val="255"/>
                <w:numId w:val="0"/>
              </w:numPr>
              <w:spacing w:after="78"/>
              <w:ind w:left="0" w:leftChars="0" w:firstLine="0" w:firstLineChars="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 xml:space="preserve">   更换灌注泵控制板、灌注泵前面板</w:t>
            </w:r>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7B1A59A8">
            <w:pPr>
              <w:widowControl/>
              <w:spacing w:after="78"/>
              <w:jc w:val="center"/>
              <w:rPr>
                <w:rFonts w:hint="eastAsia" w:ascii="宋体" w:hAnsi="宋体" w:eastAsia="宋体" w:cs="宋体"/>
                <w:bCs/>
                <w:color w:val="000000"/>
                <w:sz w:val="24"/>
                <w:szCs w:val="24"/>
              </w:rPr>
            </w:pPr>
            <w:r>
              <w:rPr>
                <w:rFonts w:hint="eastAsia" w:ascii="宋体" w:hAnsi="宋体" w:eastAsia="宋体" w:cs="宋体"/>
                <w:color w:val="000000"/>
                <w:kern w:val="0"/>
                <w:sz w:val="24"/>
                <w:szCs w:val="24"/>
              </w:rPr>
              <w:t>商务参数</w:t>
            </w:r>
          </w:p>
        </w:tc>
        <w:tc>
          <w:tcPr>
            <w:tcW w:w="7949" w:type="dxa"/>
            <w:tcBorders>
              <w:top w:val="single" w:color="auto" w:sz="4" w:space="0"/>
              <w:left w:val="single" w:color="auto" w:sz="4" w:space="0"/>
              <w:bottom w:val="single" w:color="auto" w:sz="4" w:space="0"/>
              <w:right w:val="single" w:color="auto" w:sz="4" w:space="0"/>
            </w:tcBorders>
            <w:vAlign w:val="center"/>
          </w:tcPr>
          <w:p w14:paraId="15F1889F">
            <w:pPr>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1.待维修设备参数</w:t>
            </w:r>
          </w:p>
          <w:p w14:paraId="6E12FA79">
            <w:pPr>
              <w:ind w:left="614" w:leftChars="192" w:hanging="211" w:hangingChars="88"/>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1.1设备注册证名称：电生理记录系统</w:t>
            </w:r>
          </w:p>
          <w:p w14:paraId="691FF56E">
            <w:pPr>
              <w:ind w:left="614" w:leftChars="192" w:hanging="211" w:hangingChars="88"/>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1.2品牌：雅培</w:t>
            </w:r>
          </w:p>
          <w:p w14:paraId="0A17785F">
            <w:pPr>
              <w:ind w:left="614" w:leftChars="192" w:hanging="211" w:hangingChars="88"/>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1.3规格型号：H700124</w:t>
            </w:r>
          </w:p>
          <w:p w14:paraId="30F57072">
            <w:pPr>
              <w:numPr>
                <w:ilvl w:val="255"/>
                <w:numId w:val="0"/>
              </w:numPr>
              <w:spacing w:after="78"/>
              <w:ind w:left="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1.4维修内容：更换电生理记录仪放大器主板</w:t>
            </w:r>
          </w:p>
          <w:p w14:paraId="52E78C5F">
            <w:pPr>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2.维修配件参数</w:t>
            </w:r>
          </w:p>
          <w:p w14:paraId="1800F2E1">
            <w:pPr>
              <w:ind w:left="614" w:leftChars="192" w:hanging="211" w:hangingChars="88"/>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2.1待维修的配件及型号：放大器主板，型号：100119710</w:t>
            </w:r>
          </w:p>
          <w:p w14:paraId="77725775">
            <w:pPr>
              <w:ind w:left="614" w:leftChars="192" w:hanging="211" w:hangingChars="88"/>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2.2维修配件是否要求原厂：是</w:t>
            </w:r>
          </w:p>
          <w:p w14:paraId="1ACC78C8">
            <w:pPr>
              <w:ind w:left="614" w:leftChars="192" w:hanging="211" w:hangingChars="88"/>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2.3维修配件保修期：12个月</w:t>
            </w:r>
          </w:p>
          <w:p w14:paraId="314243D5">
            <w:pPr>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3.待维修设备参数</w:t>
            </w:r>
          </w:p>
          <w:p w14:paraId="56311E8A">
            <w:pPr>
              <w:ind w:left="614" w:leftChars="192" w:hanging="211" w:hangingChars="88"/>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3.1设备注册证名称：灌注泵</w:t>
            </w:r>
          </w:p>
          <w:p w14:paraId="356D7E02">
            <w:pPr>
              <w:ind w:left="614" w:leftChars="192" w:hanging="211" w:hangingChars="88"/>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3.2品牌：雅培</w:t>
            </w:r>
          </w:p>
          <w:p w14:paraId="4487DF74">
            <w:pPr>
              <w:ind w:left="614" w:leftChars="192" w:hanging="211" w:hangingChars="88"/>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3.3规格型号：85784</w:t>
            </w:r>
          </w:p>
          <w:p w14:paraId="7140F4DA">
            <w:pPr>
              <w:numPr>
                <w:ilvl w:val="255"/>
                <w:numId w:val="0"/>
              </w:numPr>
              <w:spacing w:after="78"/>
              <w:ind w:left="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3.4维修内容：更灌注泵换控制板 前面板</w:t>
            </w:r>
          </w:p>
          <w:p w14:paraId="63FE4EF2">
            <w:pPr>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4.维修配件参数</w:t>
            </w:r>
          </w:p>
          <w:p w14:paraId="2E278E94">
            <w:pPr>
              <w:ind w:left="614" w:leftChars="192" w:hanging="211" w:hangingChars="88"/>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4.1待维修的配件及型号：灌注泵控制板，型号：1009200097</w:t>
            </w:r>
          </w:p>
          <w:p w14:paraId="3E95967D">
            <w:pPr>
              <w:ind w:left="614" w:leftChars="192" w:hanging="211" w:hangingChars="88"/>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4.2维修配件是否要求原厂：是</w:t>
            </w:r>
          </w:p>
          <w:p w14:paraId="0BBB0145">
            <w:pPr>
              <w:ind w:left="614" w:leftChars="192" w:hanging="211" w:hangingChars="88"/>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4.3维修配件保修期：12个月</w:t>
            </w:r>
          </w:p>
          <w:p w14:paraId="63A9A45D">
            <w:pPr>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5.维修配件参数</w:t>
            </w:r>
          </w:p>
          <w:p w14:paraId="7E136B2F">
            <w:pPr>
              <w:ind w:left="614" w:leftChars="192" w:hanging="211" w:hangingChars="88"/>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5.1待维修的配件及型号：灌注泵前面板，型号：1031026011</w:t>
            </w:r>
          </w:p>
          <w:p w14:paraId="4A03DD63">
            <w:pPr>
              <w:ind w:left="614" w:leftChars="192" w:hanging="211" w:hangingChars="88"/>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5.2维修配件是否要求原厂：是</w:t>
            </w:r>
          </w:p>
          <w:p w14:paraId="208035F2">
            <w:pPr>
              <w:ind w:left="614" w:leftChars="192" w:hanging="211" w:hangingChars="88"/>
              <w:contextualSpacing/>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5.3维修配件保修期：12个月（非人为因素）</w:t>
            </w:r>
          </w:p>
        </w:tc>
      </w:tr>
      <w:tr w14:paraId="09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195344B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技术参数</w:t>
            </w:r>
          </w:p>
        </w:tc>
        <w:tc>
          <w:tcPr>
            <w:tcW w:w="7949" w:type="dxa"/>
            <w:tcBorders>
              <w:top w:val="single" w:color="auto" w:sz="4" w:space="0"/>
              <w:left w:val="single" w:color="auto" w:sz="4" w:space="0"/>
              <w:bottom w:val="single" w:color="auto" w:sz="4" w:space="0"/>
              <w:right w:val="single" w:color="auto" w:sz="4" w:space="0"/>
            </w:tcBorders>
            <w:vAlign w:val="center"/>
          </w:tcPr>
          <w:p w14:paraId="4A6E7258">
            <w:pPr>
              <w:tabs>
                <w:tab w:val="left" w:pos="-720"/>
              </w:tabs>
              <w:suppressAutoHyphens/>
              <w:spacing w:after="7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放大器≥64个心内输入端口</w:t>
            </w:r>
          </w:p>
          <w:p w14:paraId="0A257FA6">
            <w:pPr>
              <w:tabs>
                <w:tab w:val="left" w:pos="-720"/>
              </w:tabs>
              <w:suppressAutoHyphens/>
              <w:spacing w:after="7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体表通道≥１２道全体表ＥＣＧ通道</w:t>
            </w:r>
          </w:p>
          <w:p w14:paraId="5B9EC970">
            <w:pPr>
              <w:tabs>
                <w:tab w:val="left" w:pos="-720"/>
              </w:tabs>
              <w:suppressAutoHyphens/>
              <w:spacing w:after="7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具备≥４道有创血压通道贡品</w:t>
            </w:r>
          </w:p>
          <w:p w14:paraId="75A2A81F">
            <w:pPr>
              <w:tabs>
                <w:tab w:val="left" w:pos="-720"/>
              </w:tabs>
              <w:suppressAutoHyphens/>
              <w:spacing w:after="7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工频滤波：具备自适应滤波、50Hz 、60Hz滤波开关设置</w:t>
            </w:r>
          </w:p>
          <w:p w14:paraId="7C18B6AD">
            <w:pPr>
              <w:tabs>
                <w:tab w:val="left" w:pos="-720"/>
              </w:tabs>
              <w:suppressAutoHyphens/>
              <w:spacing w:after="7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高通滤波：多档可选；低通滤波：多档可选</w:t>
            </w:r>
          </w:p>
          <w:p w14:paraId="5B251025">
            <w:pPr>
              <w:tabs>
                <w:tab w:val="left" w:pos="-720"/>
              </w:tabs>
              <w:suppressAutoHyphens/>
              <w:spacing w:after="7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泵：低速范围１－５ml／min</w:t>
            </w:r>
          </w:p>
          <w:p w14:paraId="37E93AAD">
            <w:pPr>
              <w:tabs>
                <w:tab w:val="left" w:pos="-720"/>
              </w:tabs>
              <w:suppressAutoHyphens/>
              <w:spacing w:after="7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高速范围6－40ml／min</w:t>
            </w:r>
          </w:p>
          <w:p w14:paraId="7A1C4B16">
            <w:pPr>
              <w:tabs>
                <w:tab w:val="left" w:pos="-720"/>
              </w:tabs>
              <w:suppressAutoHyphens/>
              <w:spacing w:after="78"/>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预灌注流速　60ml／min</w:t>
            </w:r>
          </w:p>
        </w:tc>
      </w:tr>
    </w:tbl>
    <w:p w14:paraId="6D303D00">
      <w:pPr>
        <w:widowControl/>
        <w:spacing w:before="100" w:beforeAutospacing="1" w:after="100" w:afterAutospacing="1" w:line="300" w:lineRule="atLeast"/>
        <w:rPr>
          <w:rFonts w:hint="eastAsia" w:ascii="宋体" w:hAnsi="宋体" w:eastAsia="宋体" w:cs="宋体"/>
          <w:kern w:val="0"/>
          <w:sz w:val="28"/>
          <w:szCs w:val="28"/>
        </w:rPr>
      </w:pPr>
    </w:p>
    <w:p w14:paraId="1B909835">
      <w:pPr>
        <w:rPr>
          <w:rFonts w:hint="eastAsia"/>
        </w:rPr>
      </w:pPr>
    </w:p>
    <w:p w14:paraId="7472A73C">
      <w:pPr>
        <w:rPr>
          <w:rFonts w:hint="eastAsia"/>
        </w:rPr>
      </w:pPr>
      <w:r>
        <w:rPr>
          <w:rFonts w:hint="eastAsia"/>
        </w:rPr>
        <w:br w:type="page"/>
      </w:r>
    </w:p>
    <w:p w14:paraId="2B175D4B">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bookmarkStart w:id="22" w:name="_GoBack"/>
      <w:bookmarkEnd w:id="22"/>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24</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04BAE885">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14:paraId="3EEE41F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14:paraId="3F57C88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224C83D8">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73521707"/>
      <w:bookmarkStart w:id="10" w:name="_Toc100052474"/>
      <w:bookmarkStart w:id="11" w:name="_Toc101074904"/>
      <w:bookmarkStart w:id="12" w:name="_Toc73521619"/>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101074905"/>
      <w:bookmarkStart w:id="14" w:name="_Toc100052475"/>
      <w:bookmarkStart w:id="15" w:name="_Toc73521708"/>
      <w:bookmarkStart w:id="16" w:name="_Toc73521620"/>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42861"/>
      <w:bookmarkStart w:id="18" w:name="_Toc201401658"/>
      <w:bookmarkStart w:id="19" w:name="_Toc201743116"/>
      <w:bookmarkStart w:id="20" w:name="_Toc201997946"/>
      <w:bookmarkStart w:id="21" w:name="_Toc201719118"/>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6"/>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6"/>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6"/>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6"/>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6"/>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6"/>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6"/>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6"/>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22BFBBE0">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1"/>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62B9CF79">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789DDCAF">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1BB25FA7"/>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8"/>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14:paraId="53D826DF">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8"/>
      <w:framePr w:wrap="around" w:vAnchor="text" w:hAnchor="margin" w:xAlign="center" w:y="1"/>
      <w:rPr>
        <w:rStyle w:val="15"/>
      </w:rPr>
    </w:pPr>
    <w:r>
      <w:fldChar w:fldCharType="begin"/>
    </w:r>
    <w:r>
      <w:rPr>
        <w:rStyle w:val="15"/>
      </w:rPr>
      <w:instrText xml:space="preserve">PAGE  </w:instrText>
    </w:r>
    <w:r>
      <w:fldChar w:fldCharType="end"/>
    </w:r>
  </w:p>
  <w:p w14:paraId="11A44BCD">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CD2385"/>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DB07325"/>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AE667D"/>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semiHidden/>
    <w:qFormat/>
    <w:uiPriority w:val="0"/>
  </w:style>
  <w:style w:type="character" w:styleId="16">
    <w:name w:val="Hyperlink"/>
    <w:basedOn w:val="13"/>
    <w:qFormat/>
    <w:uiPriority w:val="0"/>
    <w:rPr>
      <w:color w:val="0000FF"/>
      <w:u w:val="single"/>
    </w:rPr>
  </w:style>
  <w:style w:type="character" w:customStyle="1" w:styleId="17">
    <w:name w:val="标题 3 Char"/>
    <w:basedOn w:val="13"/>
    <w:link w:val="4"/>
    <w:qFormat/>
    <w:uiPriority w:val="0"/>
    <w:rPr>
      <w:b/>
      <w:kern w:val="2"/>
      <w:sz w:val="24"/>
    </w:rPr>
  </w:style>
  <w:style w:type="character" w:customStyle="1" w:styleId="18">
    <w:name w:val="纯文本 Char"/>
    <w:basedOn w:val="13"/>
    <w:link w:val="6"/>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3"/>
    <w:link w:val="9"/>
    <w:qFormat/>
    <w:uiPriority w:val="0"/>
    <w:rPr>
      <w:kern w:val="2"/>
      <w:sz w:val="18"/>
      <w:szCs w:val="18"/>
    </w:rPr>
  </w:style>
  <w:style w:type="character" w:customStyle="1" w:styleId="22">
    <w:name w:val="页脚 Char"/>
    <w:basedOn w:val="13"/>
    <w:link w:val="8"/>
    <w:qFormat/>
    <w:uiPriority w:val="99"/>
    <w:rPr>
      <w:kern w:val="2"/>
      <w:sz w:val="18"/>
      <w:szCs w:val="18"/>
    </w:rPr>
  </w:style>
  <w:style w:type="character" w:customStyle="1" w:styleId="23">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3"/>
    <w:link w:val="2"/>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3"/>
    <w:autoRedefine/>
    <w:qFormat/>
    <w:uiPriority w:val="0"/>
    <w:rPr>
      <w:rFonts w:hint="eastAsia" w:ascii="宋体" w:hAnsi="宋体" w:eastAsia="宋体" w:cs="Times New Roman"/>
      <w:color w:val="000000"/>
      <w:sz w:val="20"/>
      <w:szCs w:val="20"/>
      <w:u w:val="none"/>
    </w:rPr>
  </w:style>
  <w:style w:type="character" w:customStyle="1" w:styleId="36">
    <w:name w:val="font21"/>
    <w:basedOn w:val="13"/>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4680</Words>
  <Characters>4864</Characters>
  <Lines>48</Lines>
  <Paragraphs>13</Paragraphs>
  <TotalTime>1</TotalTime>
  <ScaleCrop>false</ScaleCrop>
  <LinksUpToDate>false</LinksUpToDate>
  <CharactersWithSpaces>5935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2020-06-11T00:08:00Z</cp:lastPrinted>
  <dcterms:modified xsi:type="dcterms:W3CDTF">2024-07-19T06:31:52Z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A521FBDC2A7E4899A522CA9E47EF1BA4_12</vt:lpwstr>
  </property>
</Properties>
</file>