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eastAsia" w:ascii="黑体" w:hAnsi="黑体" w:eastAsia="黑体" w:cs="黑体"/>
          <w:sz w:val="44"/>
          <w:szCs w:val="44"/>
        </w:rPr>
      </w:pPr>
      <w:r>
        <w:rPr>
          <w:rFonts w:hint="eastAsia" w:ascii="黑体" w:hAnsi="黑体" w:eastAsia="黑体" w:cs="黑体"/>
          <w:sz w:val="44"/>
          <w:szCs w:val="44"/>
        </w:rPr>
        <w:t>深圳市儿童医院设备采购需求参数表</w:t>
      </w:r>
    </w:p>
    <w:p>
      <w:pPr>
        <w:widowControl/>
        <w:jc w:val="left"/>
      </w:pPr>
    </w:p>
    <w:tbl>
      <w:tblPr>
        <w:tblStyle w:val="8"/>
        <w:tblW w:w="9654" w:type="dxa"/>
        <w:jc w:val="center"/>
        <w:tblLayout w:type="autofit"/>
        <w:tblCellMar>
          <w:top w:w="0" w:type="dxa"/>
          <w:left w:w="108" w:type="dxa"/>
          <w:bottom w:w="0" w:type="dxa"/>
          <w:right w:w="108" w:type="dxa"/>
        </w:tblCellMar>
      </w:tblPr>
      <w:tblGrid>
        <w:gridCol w:w="660"/>
        <w:gridCol w:w="1253"/>
        <w:gridCol w:w="7741"/>
      </w:tblGrid>
      <w:tr>
        <w:tblPrEx>
          <w:tblCellMar>
            <w:top w:w="0" w:type="dxa"/>
            <w:left w:w="108" w:type="dxa"/>
            <w:bottom w:w="0" w:type="dxa"/>
            <w:right w:w="108" w:type="dxa"/>
          </w:tblCellMar>
        </w:tblPrEx>
        <w:trPr>
          <w:trHeight w:val="510" w:hRule="atLeast"/>
          <w:jc w:val="center"/>
        </w:trPr>
        <w:tc>
          <w:tcPr>
            <w:tcW w:w="660"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bCs/>
                <w:color w:val="000000" w:themeColor="text1"/>
                <w:kern w:val="0"/>
                <w:sz w:val="22"/>
                <w14:textFill>
                  <w14:solidFill>
                    <w14:schemeClr w14:val="tx1"/>
                  </w14:solidFill>
                </w14:textFill>
              </w:rPr>
            </w:pPr>
            <w:r>
              <w:rPr>
                <w:rFonts w:hint="eastAsia" w:ascii="宋体" w:hAnsi="宋体" w:cs="宋体"/>
                <w:b/>
                <w:bCs/>
                <w:color w:val="000000" w:themeColor="text1"/>
                <w:kern w:val="0"/>
                <w:sz w:val="22"/>
                <w14:textFill>
                  <w14:solidFill>
                    <w14:schemeClr w14:val="tx1"/>
                  </w14:solidFill>
                </w14:textFill>
              </w:rPr>
              <w:t>序号</w:t>
            </w:r>
          </w:p>
        </w:tc>
        <w:tc>
          <w:tcPr>
            <w:tcW w:w="1253" w:type="dxa"/>
            <w:tcBorders>
              <w:top w:val="single" w:color="3F3F3F" w:sz="4" w:space="0"/>
              <w:left w:val="single" w:color="auto" w:sz="4" w:space="0"/>
              <w:bottom w:val="single" w:color="auto" w:sz="4" w:space="0"/>
              <w:right w:val="single" w:color="3F3F3F" w:sz="4" w:space="0"/>
            </w:tcBorders>
            <w:shd w:val="clear" w:color="000000" w:fill="FFFFFF"/>
            <w:vAlign w:val="center"/>
          </w:tcPr>
          <w:p>
            <w:pPr>
              <w:widowControl/>
              <w:jc w:val="center"/>
              <w:rPr>
                <w:rFonts w:ascii="宋体" w:hAnsi="宋体" w:cs="宋体"/>
                <w:b/>
                <w:bCs/>
                <w:color w:val="000000" w:themeColor="text1"/>
                <w:kern w:val="0"/>
                <w:sz w:val="22"/>
                <w14:textFill>
                  <w14:solidFill>
                    <w14:schemeClr w14:val="tx1"/>
                  </w14:solidFill>
                </w14:textFill>
              </w:rPr>
            </w:pPr>
            <w:r>
              <w:rPr>
                <w:rFonts w:hint="eastAsia" w:ascii="宋体" w:hAnsi="宋体" w:cs="宋体"/>
                <w:b/>
                <w:bCs/>
                <w:color w:val="000000" w:themeColor="text1"/>
                <w:kern w:val="0"/>
                <w:sz w:val="22"/>
                <w14:textFill>
                  <w14:solidFill>
                    <w14:schemeClr w14:val="tx1"/>
                  </w14:solidFill>
                </w14:textFill>
              </w:rPr>
              <w:t>项目名称</w:t>
            </w:r>
          </w:p>
        </w:tc>
        <w:tc>
          <w:tcPr>
            <w:tcW w:w="7741" w:type="dxa"/>
            <w:tcBorders>
              <w:top w:val="single" w:color="3F3F3F" w:sz="4" w:space="0"/>
              <w:left w:val="nil"/>
              <w:bottom w:val="single" w:color="auto" w:sz="4" w:space="0"/>
              <w:right w:val="single" w:color="3F3F3F" w:sz="4" w:space="0"/>
            </w:tcBorders>
            <w:shd w:val="clear" w:color="000000" w:fill="FFFFFF"/>
            <w:vAlign w:val="center"/>
          </w:tcPr>
          <w:p>
            <w:pPr>
              <w:widowControl/>
              <w:jc w:val="center"/>
              <w:rPr>
                <w:rFonts w:ascii="宋体" w:hAnsi="宋体" w:cs="宋体"/>
                <w:b/>
                <w:bCs/>
                <w:color w:val="000000" w:themeColor="text1"/>
                <w:kern w:val="0"/>
                <w:sz w:val="22"/>
                <w14:textFill>
                  <w14:solidFill>
                    <w14:schemeClr w14:val="tx1"/>
                  </w14:solidFill>
                </w14:textFill>
              </w:rPr>
            </w:pPr>
            <w:r>
              <w:rPr>
                <w:rFonts w:hint="eastAsia" w:ascii="宋体" w:hAnsi="宋体" w:cs="宋体"/>
                <w:b/>
                <w:bCs/>
                <w:color w:val="000000" w:themeColor="text1"/>
                <w:kern w:val="0"/>
                <w:sz w:val="22"/>
                <w14:textFill>
                  <w14:solidFill>
                    <w14:schemeClr w14:val="tx1"/>
                  </w14:solidFill>
                </w14:textFill>
              </w:rPr>
              <w:t>招标事项及要求</w:t>
            </w:r>
          </w:p>
        </w:tc>
      </w:tr>
      <w:tr>
        <w:tblPrEx>
          <w:tblCellMar>
            <w:top w:w="0" w:type="dxa"/>
            <w:left w:w="108" w:type="dxa"/>
            <w:bottom w:w="0" w:type="dxa"/>
            <w:right w:w="108" w:type="dxa"/>
          </w:tblCellMar>
        </w:tblPrEx>
        <w:trPr>
          <w:trHeight w:val="454" w:hRule="atLeast"/>
          <w:jc w:val="center"/>
        </w:trPr>
        <w:tc>
          <w:tcPr>
            <w:tcW w:w="660" w:type="dxa"/>
            <w:vMerge w:val="restart"/>
            <w:tcBorders>
              <w:top w:val="single" w:color="auto" w:sz="4" w:space="0"/>
              <w:left w:val="single" w:color="auto" w:sz="4" w:space="0"/>
              <w:bottom w:val="single" w:color="auto" w:sz="4" w:space="0"/>
              <w:right w:val="single" w:color="3F3F3F" w:sz="4" w:space="0"/>
            </w:tcBorders>
            <w:shd w:val="clear" w:color="000000" w:fill="FFFFFF"/>
            <w:vAlign w:val="center"/>
          </w:tcPr>
          <w:p>
            <w:pPr>
              <w:widowControl/>
              <w:jc w:val="center"/>
              <w:rPr>
                <w:rFonts w:ascii="宋体" w:hAnsi="宋体" w:cs="宋体"/>
                <w:b/>
                <w:bCs/>
                <w:color w:val="000000" w:themeColor="text1"/>
                <w:kern w:val="0"/>
                <w:sz w:val="22"/>
                <w14:textFill>
                  <w14:solidFill>
                    <w14:schemeClr w14:val="tx1"/>
                  </w14:solidFill>
                </w14:textFill>
              </w:rPr>
            </w:pPr>
            <w:r>
              <w:rPr>
                <w:rFonts w:hint="eastAsia" w:ascii="宋体" w:hAnsi="宋体" w:cs="宋体"/>
                <w:b/>
                <w:bCs/>
                <w:color w:val="000000" w:themeColor="text1"/>
                <w:kern w:val="0"/>
                <w:sz w:val="22"/>
                <w:szCs w:val="22"/>
                <w14:textFill>
                  <w14:solidFill>
                    <w14:schemeClr w14:val="tx1"/>
                  </w14:solidFill>
                </w14:textFill>
              </w:rPr>
              <w:t>1</w:t>
            </w:r>
          </w:p>
        </w:tc>
        <w:tc>
          <w:tcPr>
            <w:tcW w:w="1253" w:type="dxa"/>
            <w:vMerge w:val="restart"/>
            <w:tcBorders>
              <w:top w:val="single" w:color="auto" w:sz="4" w:space="0"/>
              <w:left w:val="single" w:color="3F3F3F" w:sz="4" w:space="0"/>
              <w:bottom w:val="single" w:color="auto" w:sz="4" w:space="0"/>
              <w:right w:val="single" w:color="3F3F3F" w:sz="4" w:space="0"/>
            </w:tcBorders>
            <w:shd w:val="clear" w:color="000000" w:fill="FFFFFF"/>
            <w:vAlign w:val="center"/>
          </w:tcPr>
          <w:p>
            <w:pPr>
              <w:widowControl/>
              <w:jc w:val="center"/>
              <w:rPr>
                <w:rFonts w:ascii="宋体" w:hAnsi="宋体" w:cs="宋体"/>
                <w:b/>
                <w:bCs/>
                <w:color w:val="000000" w:themeColor="text1"/>
                <w:kern w:val="0"/>
                <w:sz w:val="22"/>
                <w14:textFill>
                  <w14:solidFill>
                    <w14:schemeClr w14:val="tx1"/>
                  </w14:solidFill>
                </w14:textFill>
              </w:rPr>
            </w:pPr>
            <w:r>
              <w:rPr>
                <w:rFonts w:hint="eastAsia" w:ascii="宋体" w:hAnsi="宋体" w:cs="宋体"/>
                <w:b/>
                <w:bCs/>
                <w:color w:val="000000" w:themeColor="text1"/>
                <w:kern w:val="0"/>
                <w:sz w:val="20"/>
                <w:szCs w:val="20"/>
                <w14:textFill>
                  <w14:solidFill>
                    <w14:schemeClr w14:val="tx1"/>
                  </w14:solidFill>
                </w14:textFill>
              </w:rPr>
              <w:t>近红外组织血氧参数无损监测仪</w:t>
            </w:r>
          </w:p>
        </w:tc>
        <w:tc>
          <w:tcPr>
            <w:tcW w:w="7741" w:type="dxa"/>
            <w:tcBorders>
              <w:top w:val="single" w:color="auto" w:sz="4" w:space="0"/>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bidi="ar"/>
                <w14:textFill>
                  <w14:solidFill>
                    <w14:schemeClr w14:val="tx1"/>
                  </w14:solidFill>
                </w14:textFill>
              </w:rPr>
              <w:t xml:space="preserve">1、具备监测局部组织血氧饱和度（TOI），可反映局部组织的氧供应与消耗动态平衡； </w:t>
            </w:r>
          </w:p>
        </w:tc>
      </w:tr>
      <w:tr>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253" w:type="dxa"/>
            <w:vMerge w:val="continue"/>
            <w:tcBorders>
              <w:top w:val="single" w:color="auto" w:sz="4" w:space="0"/>
              <w:left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7741" w:type="dxa"/>
            <w:tcBorders>
              <w:top w:val="single" w:color="auto" w:sz="4" w:space="0"/>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bidi="ar"/>
                <w14:textFill>
                  <w14:solidFill>
                    <w14:schemeClr w14:val="tx1"/>
                  </w14:solidFill>
                </w14:textFill>
              </w:rPr>
              <w:t xml:space="preserve">2、具备监测局部组织血氧饱和度相对变化量百分比（ΔTOI），ΔTOI=(（当前TOI - 参考点TOI）/参考点TOI)*100%，其中参考点TOI取测量结果的前1分钟平均值； </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253" w:type="dxa"/>
            <w:vMerge w:val="continue"/>
            <w:tcBorders>
              <w:left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7741" w:type="dxa"/>
            <w:tcBorders>
              <w:top w:val="single" w:color="3F3F3F" w:sz="4" w:space="0"/>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bidi="ar"/>
                <w14:textFill>
                  <w14:solidFill>
                    <w14:schemeClr w14:val="tx1"/>
                  </w14:solidFill>
                </w14:textFill>
              </w:rPr>
              <w:t xml:space="preserve">▲3、可同时提供使用说明书和国家知识产权局颁发的发明专利证书，证明仪器具备监测局部组织血红蛋白浓度指数（THI），该指标可从血容量角度反映局部组织的灌注情况，THI= k·BV·HCT，其中k为光学系数、BV为血容量、HCT为红细胞压积； </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253" w:type="dxa"/>
            <w:vMerge w:val="continue"/>
            <w:tcBorders>
              <w:left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7741" w:type="dxa"/>
            <w:tcBorders>
              <w:top w:val="single" w:color="3F3F3F" w:sz="4" w:space="0"/>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bidi="ar"/>
                <w14:textFill>
                  <w14:solidFill>
                    <w14:schemeClr w14:val="tx1"/>
                  </w14:solidFill>
                </w14:textFill>
              </w:rPr>
              <w:t xml:space="preserve">▲4、具备监测局部组织血红蛋白浓度指数相对变化量百分比（ΔTHI），ΔTHI= ((当前THI - 参考点THI)/参考点THI) *100%，其中参考点THI取测量结果的前1分钟平均值； </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253" w:type="dxa"/>
            <w:vMerge w:val="continue"/>
            <w:tcBorders>
              <w:left w:val="single" w:color="3F3F3F" w:sz="4" w:space="0"/>
              <w:right w:val="single" w:color="3F3F3F" w:sz="4" w:space="0"/>
            </w:tcBorders>
            <w:shd w:val="clear" w:color="000000" w:fill="FFFFFF"/>
            <w:vAlign w:val="center"/>
          </w:tcPr>
          <w:p>
            <w:pPr>
              <w:widowControl/>
              <w:jc w:val="center"/>
              <w:rPr>
                <w:rFonts w:ascii="宋体" w:hAnsi="宋体" w:cs="宋体"/>
                <w:b/>
                <w:bCs/>
                <w:color w:val="000000" w:themeColor="text1"/>
                <w:kern w:val="0"/>
                <w:sz w:val="22"/>
                <w14:textFill>
                  <w14:solidFill>
                    <w14:schemeClr w14:val="tx1"/>
                  </w14:solidFill>
                </w14:textFill>
              </w:rPr>
            </w:pPr>
          </w:p>
        </w:tc>
        <w:tc>
          <w:tcPr>
            <w:tcW w:w="7741" w:type="dxa"/>
            <w:tcBorders>
              <w:top w:val="single" w:color="3F3F3F" w:sz="4" w:space="0"/>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bidi="ar"/>
                <w14:textFill>
                  <w14:solidFill>
                    <w14:schemeClr w14:val="tx1"/>
                  </w14:solidFill>
                </w14:textFill>
              </w:rPr>
              <w:t xml:space="preserve">5、具备AUC功能：TOI（低于阈值）和阈值之差与时间的积分； </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253"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741"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bidi="ar"/>
                <w14:textFill>
                  <w14:solidFill>
                    <w14:schemeClr w14:val="tx1"/>
                  </w14:solidFill>
                </w14:textFill>
              </w:rPr>
              <w:t xml:space="preserve">6、具备TUT功能：TOI低于阈值的累积时间； </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253"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741"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bidi="ar"/>
                <w14:textFill>
                  <w14:solidFill>
                    <w14:schemeClr w14:val="tx1"/>
                  </w14:solidFill>
                </w14:textFill>
              </w:rPr>
              <w:t xml:space="preserve">▲7、具备AUT功能：TOI低于阈值的累积时间与总监测时长的百分比； </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253"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741"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bidi="ar"/>
                <w14:textFill>
                  <w14:solidFill>
                    <w14:schemeClr w14:val="tx1"/>
                  </w14:solidFill>
                </w14:textFill>
              </w:rPr>
              <w:t xml:space="preserve">8、TOI测量范围及精度：30%～80%，误差≤±4%； </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253"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741"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bidi="ar"/>
                <w14:textFill>
                  <w14:solidFill>
                    <w14:schemeClr w14:val="tx1"/>
                  </w14:solidFill>
                </w14:textFill>
              </w:rPr>
              <w:t xml:space="preserve">▲9、THI测量范围及精度：0～3.0，误差≤±0.3； </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253"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741"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bidi="ar"/>
                <w14:textFill>
                  <w14:solidFill>
                    <w14:schemeClr w14:val="tx1"/>
                  </w14:solidFill>
                </w14:textFill>
              </w:rPr>
              <w:t xml:space="preserve">▲10、具备显示主机显示通道数2个，1个测试主机，可同时监测2个部位的TOI和THI； </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253"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741"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bidi="ar"/>
                <w14:textFill>
                  <w14:solidFill>
                    <w14:schemeClr w14:val="tx1"/>
                  </w14:solidFill>
                </w14:textFill>
              </w:rPr>
              <w:t xml:space="preserve">▲11、仪器具有对TOI报警门限、各通道参数坐标轴、阈值（V-T）等参数值的设置功能； </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253"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741"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bidi="ar"/>
                <w14:textFill>
                  <w14:solidFill>
                    <w14:schemeClr w14:val="tx1"/>
                  </w14:solidFill>
                </w14:textFill>
              </w:rPr>
              <w:t xml:space="preserve">12、测量过程中可设置Mark点，且可对mark点进行定义，事件按照应用场景分为5个类别，每个类别有不少于50种可选项； </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253"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741"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bidi="ar"/>
                <w14:textFill>
                  <w14:solidFill>
                    <w14:schemeClr w14:val="tx1"/>
                  </w14:solidFill>
                </w14:textFill>
              </w:rPr>
              <w:t xml:space="preserve">▲13、仪器屏幕具有窗口冻结功能，满足客户停留屏幕显示内容且测量不中断的需求； </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253"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741"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bidi="ar"/>
                <w14:textFill>
                  <w14:solidFill>
                    <w14:schemeClr w14:val="tx1"/>
                  </w14:solidFill>
                </w14:textFill>
              </w:rPr>
              <w:t xml:space="preserve">14、具有历史回顾功能，且选择性导出所需的测量数据； </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253"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741"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bidi="ar"/>
                <w14:textFill>
                  <w14:solidFill>
                    <w14:schemeClr w14:val="tx1"/>
                  </w14:solidFill>
                </w14:textFill>
              </w:rPr>
              <w:t xml:space="preserve">15、仪器具有短暂静音功能，可设置持续时间为1min或者2min； </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253"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741"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bidi="ar"/>
                <w14:textFill>
                  <w14:solidFill>
                    <w14:schemeClr w14:val="tx1"/>
                  </w14:solidFill>
                </w14:textFill>
              </w:rPr>
              <w:t xml:space="preserve">16、数据更新周期可选择:1秒或者2秒； </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253"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741"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bidi="ar"/>
                <w14:textFill>
                  <w14:solidFill>
                    <w14:schemeClr w14:val="tx1"/>
                  </w14:solidFill>
                </w14:textFill>
              </w:rPr>
              <w:t xml:space="preserve">17、备用电源：内置可充电锂离子电池DC11.1V*6800mAh； </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253"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741"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bidi="ar"/>
                <w14:textFill>
                  <w14:solidFill>
                    <w14:schemeClr w14:val="tx1"/>
                  </w14:solidFill>
                </w14:textFill>
              </w:rPr>
              <w:t xml:space="preserve">18、监测探头部位可设置监测部位为脑部、脸部、手臂、肩部、腹部、腿、脚底等部位； </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bottom w:val="single" w:color="auto" w:sz="4" w:space="0"/>
              <w:right w:val="single" w:color="3F3F3F" w:sz="4" w:space="0"/>
            </w:tcBorders>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253" w:type="dxa"/>
            <w:vMerge w:val="continue"/>
            <w:tcBorders>
              <w:left w:val="single" w:color="3F3F3F" w:sz="4" w:space="0"/>
              <w:bottom w:val="single" w:color="auto" w:sz="4" w:space="0"/>
              <w:right w:val="single" w:color="3F3F3F" w:sz="4" w:space="0"/>
            </w:tcBorders>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741" w:type="dxa"/>
            <w:tcBorders>
              <w:top w:val="nil"/>
              <w:left w:val="nil"/>
              <w:bottom w:val="single" w:color="auto"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bidi="ar"/>
                <w14:textFill>
                  <w14:solidFill>
                    <w14:schemeClr w14:val="tx1"/>
                  </w14:solidFill>
                </w14:textFill>
              </w:rPr>
              <w:t xml:space="preserve">19、仪器具有单通道停止功能； </w:t>
            </w:r>
          </w:p>
        </w:tc>
      </w:tr>
      <w:tr>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3F3F3F" w:sz="4" w:space="0"/>
            </w:tcBorders>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253" w:type="dxa"/>
            <w:vMerge w:val="continue"/>
            <w:tcBorders>
              <w:top w:val="single" w:color="auto" w:sz="4" w:space="0"/>
              <w:left w:val="single" w:color="3F3F3F" w:sz="4" w:space="0"/>
              <w:bottom w:val="single" w:color="auto" w:sz="4" w:space="0"/>
              <w:right w:val="single" w:color="3F3F3F" w:sz="4" w:space="0"/>
            </w:tcBorders>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741" w:type="dxa"/>
            <w:tcBorders>
              <w:top w:val="single" w:color="auto" w:sz="4" w:space="0"/>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bidi="ar"/>
                <w14:textFill>
                  <w14:solidFill>
                    <w14:schemeClr w14:val="tx1"/>
                  </w14:solidFill>
                </w14:textFill>
              </w:rPr>
              <w:t xml:space="preserve">20、仪器具有中途增加或减少测量通道功能； </w:t>
            </w:r>
          </w:p>
        </w:tc>
      </w:tr>
      <w:tr>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3F3F3F" w:sz="4" w:space="0"/>
            </w:tcBorders>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253" w:type="dxa"/>
            <w:vMerge w:val="continue"/>
            <w:tcBorders>
              <w:top w:val="single" w:color="auto" w:sz="4" w:space="0"/>
              <w:left w:val="single" w:color="3F3F3F" w:sz="4" w:space="0"/>
              <w:bottom w:val="single" w:color="auto" w:sz="4" w:space="0"/>
              <w:right w:val="single" w:color="3F3F3F" w:sz="4" w:space="0"/>
            </w:tcBorders>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741" w:type="dxa"/>
            <w:tcBorders>
              <w:top w:val="single" w:color="auto" w:sz="4" w:space="0"/>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bidi="ar"/>
                <w14:textFill>
                  <w14:solidFill>
                    <w14:schemeClr w14:val="tx1"/>
                  </w14:solidFill>
                </w14:textFill>
              </w:rPr>
              <w:t xml:space="preserve">21、具备截图功能； </w:t>
            </w:r>
          </w:p>
        </w:tc>
      </w:tr>
      <w:tr>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right w:val="single" w:color="3F3F3F" w:sz="4" w:space="0"/>
            </w:tcBorders>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253" w:type="dxa"/>
            <w:vMerge w:val="continue"/>
            <w:tcBorders>
              <w:top w:val="single" w:color="auto" w:sz="4" w:space="0"/>
              <w:left w:val="single" w:color="3F3F3F" w:sz="4" w:space="0"/>
              <w:right w:val="single" w:color="3F3F3F" w:sz="4" w:space="0"/>
            </w:tcBorders>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741" w:type="dxa"/>
            <w:tcBorders>
              <w:top w:val="single" w:color="auto" w:sz="4" w:space="0"/>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bidi="ar"/>
                <w14:textFill>
                  <w14:solidFill>
                    <w14:schemeClr w14:val="tx1"/>
                  </w14:solidFill>
                </w14:textFill>
              </w:rPr>
              <w:t xml:space="preserve">▲22、具备录视频功能； </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253"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741"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bidi="ar"/>
                <w14:textFill>
                  <w14:solidFill>
                    <w14:schemeClr w14:val="tx1"/>
                  </w14:solidFill>
                </w14:textFill>
              </w:rPr>
              <w:t xml:space="preserve">23、用户可在测量状态或非测量状态下回顾本次测量过程中任意时间点的数据和趋势曲线，具有“波形静态回顾”、“波形动态回顾”以及“数据表格回顾”三种回顾数据的模式； </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253"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741"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bidi="ar"/>
                <w14:textFill>
                  <w14:solidFill>
                    <w14:schemeClr w14:val="tx1"/>
                  </w14:solidFill>
                </w14:textFill>
              </w:rPr>
              <w:t xml:space="preserve">▲24、仪器波形区（H/R）切换显示功能，满足同屏历史波形与实时波形自由切换； </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253"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741"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bidi="ar"/>
                <w14:textFill>
                  <w14:solidFill>
                    <w14:schemeClr w14:val="tx1"/>
                  </w14:solidFill>
                </w14:textFill>
              </w:rPr>
              <w:t xml:space="preserve">25、探头适用于：成人、儿童、新生儿、早产儿； </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253"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741"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bidi="ar"/>
                <w14:textFill>
                  <w14:solidFill>
                    <w14:schemeClr w14:val="tx1"/>
                  </w14:solidFill>
                </w14:textFill>
              </w:rPr>
              <w:t xml:space="preserve">26、操作方式：电容触摸屏+快捷键； </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253"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741"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bidi="ar"/>
                <w14:textFill>
                  <w14:solidFill>
                    <w14:schemeClr w14:val="tx1"/>
                  </w14:solidFill>
                </w14:textFill>
              </w:rPr>
              <w:t xml:space="preserve">27、仪器语言具有中文或者英文输入或显示功能； </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253"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741"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bidi="ar"/>
                <w14:textFill>
                  <w14:solidFill>
                    <w14:schemeClr w14:val="tx1"/>
                  </w14:solidFill>
                </w14:textFill>
              </w:rPr>
              <w:t xml:space="preserve">▲28、仪器同时包含数据接口USB×2；RS232串口×1；RJ-45网口×2；HDMI×1；VGA×1； </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253"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741"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bidi="ar"/>
                <w14:textFill>
                  <w14:solidFill>
                    <w14:schemeClr w14:val="tx1"/>
                  </w14:solidFill>
                </w14:textFill>
              </w:rPr>
              <w:t xml:space="preserve">29、功耗：最大功率90VA </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253"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741"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bidi="ar"/>
                <w14:textFill>
                  <w14:solidFill>
                    <w14:schemeClr w14:val="tx1"/>
                  </w14:solidFill>
                </w14:textFill>
              </w:rPr>
              <w:t xml:space="preserve">▲30、仪器菜单区明确包括了截取屏幕，录制屏幕、Mark（事件标记）、VOT、（H/R）波形 切换、冻结、帮助等菜单键。 </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253"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741"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bidi="ar"/>
                <w14:textFill>
                  <w14:solidFill>
                    <w14:schemeClr w14:val="tx1"/>
                  </w14:solidFill>
                </w14:textFill>
              </w:rPr>
              <w:t xml:space="preserve">31、仪器具备VOT参数，即具备描述血管阻断试验中组织血氧饱和度曲线变化特征的参数。 </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253"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741"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bidi="ar"/>
                <w14:textFill>
                  <w14:solidFill>
                    <w14:schemeClr w14:val="tx1"/>
                  </w14:solidFill>
                </w14:textFill>
              </w:rPr>
              <w:t xml:space="preserve">▲32、VOT配套的界面软件功能可提供局部组织血氧饱和度与时间对应的斜率，以及相应AUC面积计算的工具。 </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253"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741"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bidi="ar"/>
                <w14:textFill>
                  <w14:solidFill>
                    <w14:schemeClr w14:val="tx1"/>
                  </w14:solidFill>
                </w14:textFill>
              </w:rPr>
              <w:t xml:space="preserve">33、VOT软件自动获取当前P1、P2、P3、P4、P5五个点对应的TOI数值。 </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253"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741"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bidi="ar"/>
                <w14:textFill>
                  <w14:solidFill>
                    <w14:schemeClr w14:val="tx1"/>
                  </w14:solidFill>
                </w14:textFill>
              </w:rPr>
              <w:t xml:space="preserve">34、在VOT设置界面，会自动记录基线点。 </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253"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741"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bidi="ar"/>
                <w14:textFill>
                  <w14:solidFill>
                    <w14:schemeClr w14:val="tx1"/>
                  </w14:solidFill>
                </w14:textFill>
              </w:rPr>
              <w:t xml:space="preserve">35、在VOT设置界面，计算结果至少包含3个参数。 </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253"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741"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bidi="ar"/>
                <w14:textFill>
                  <w14:solidFill>
                    <w14:schemeClr w14:val="tx1"/>
                  </w14:solidFill>
                </w14:textFill>
              </w:rPr>
              <w:t xml:space="preserve">▲36、可通过下降斜率1、下降斜率2、上升斜率和AUC来评价局部组织的微循环功能。 </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253"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741"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bidi="ar"/>
                <w14:textFill>
                  <w14:solidFill>
                    <w14:schemeClr w14:val="tx1"/>
                  </w14:solidFill>
                </w14:textFill>
              </w:rPr>
              <w:t xml:space="preserve">▲37、探头发光峰值波长范围需满足：760±20nm、810±20nm、840±20nm。 </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253"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741"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bidi="ar"/>
                <w14:textFill>
                  <w14:solidFill>
                    <w14:schemeClr w14:val="tx1"/>
                  </w14:solidFill>
                </w14:textFill>
              </w:rPr>
              <w:t xml:space="preserve">38、仪器显示屏15寸。 </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253"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741"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bidi="ar"/>
                <w14:textFill>
                  <w14:solidFill>
                    <w14:schemeClr w14:val="tx1"/>
                  </w14:solidFill>
                </w14:textFill>
              </w:rPr>
              <w:t xml:space="preserve">39、内存8GByte，存储器100GByte。 </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253"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741"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bidi="ar"/>
                <w14:textFill>
                  <w14:solidFill>
                    <w14:schemeClr w14:val="tx1"/>
                  </w14:solidFill>
                </w14:textFill>
              </w:rPr>
              <w:t xml:space="preserve">40、软件环境要求：系统软件：win10 Iot x64 ；支持软件：.NET Framework 4.6；安全软件： Windows Defender。 </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253"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741"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bidi="ar"/>
                <w14:textFill>
                  <w14:solidFill>
                    <w14:schemeClr w14:val="tx1"/>
                  </w14:solidFill>
                </w14:textFill>
              </w:rPr>
              <w:t xml:space="preserve">41、仪器操作应符合数据安全要求。当设备启动后，在软件初始化后出现仪器主界面，主界面跳出用户登录界面。需输入对应的用户名及密码（不少于6位），点登录;如果用户名或密码不正确，用户无法登录界面。用户名及密码输入正确，点击登录后，即可进入监测主界面。 </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253"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741"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bidi="ar"/>
                <w14:textFill>
                  <w14:solidFill>
                    <w14:schemeClr w14:val="tx1"/>
                  </w14:solidFill>
                </w14:textFill>
              </w:rPr>
              <w:t xml:space="preserve">42、产品已通过CE认证和ISO13485质量体系认证。 </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bottom w:val="single" w:color="auto" w:sz="4" w:space="0"/>
              <w:right w:val="single" w:color="3F3F3F" w:sz="4" w:space="0"/>
            </w:tcBorders>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253" w:type="dxa"/>
            <w:vMerge w:val="continue"/>
            <w:tcBorders>
              <w:left w:val="single" w:color="3F3F3F" w:sz="4" w:space="0"/>
              <w:bottom w:val="single" w:color="auto" w:sz="4" w:space="0"/>
              <w:right w:val="single" w:color="3F3F3F" w:sz="4" w:space="0"/>
            </w:tcBorders>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741" w:type="dxa"/>
            <w:tcBorders>
              <w:top w:val="nil"/>
              <w:left w:val="nil"/>
              <w:bottom w:val="single" w:color="auto"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both"/>
              <w:textAlignment w:val="auto"/>
              <w:rPr>
                <w:rFonts w:hint="default" w:ascii="Times New Roman" w:hAnsi="Times New Roman" w:cs="Times New Roman"/>
                <w:b w:val="0"/>
                <w:bCs w:val="0"/>
                <w:color w:val="000000" w:themeColor="text1"/>
                <w:kern w:val="0"/>
                <w:sz w:val="22"/>
                <w:szCs w:val="22"/>
                <w:lang w:bidi="ar"/>
                <w14:textFill>
                  <w14:solidFill>
                    <w14:schemeClr w14:val="tx1"/>
                  </w14:solidFill>
                </w14:textFill>
              </w:rPr>
            </w:pPr>
            <w:r>
              <w:rPr>
                <w:rFonts w:hint="default" w:ascii="Times New Roman" w:hAnsi="Times New Roman" w:cs="Times New Roman"/>
                <w:b w:val="0"/>
                <w:bCs w:val="0"/>
                <w:color w:val="000000" w:themeColor="text1"/>
                <w:kern w:val="0"/>
                <w:sz w:val="22"/>
                <w:szCs w:val="22"/>
                <w:lang w:bidi="ar"/>
                <w14:textFill>
                  <w14:solidFill>
                    <w14:schemeClr w14:val="tx1"/>
                  </w14:solidFill>
                </w14:textFill>
              </w:rPr>
              <w:t>▲43、市面上已装机临床医院超过300家。</w:t>
            </w:r>
          </w:p>
        </w:tc>
      </w:tr>
      <w:tr>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3F3F3F" w:sz="4" w:space="0"/>
            </w:tcBorders>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253" w:type="dxa"/>
            <w:vMerge w:val="continue"/>
            <w:tcBorders>
              <w:top w:val="single" w:color="auto" w:sz="4" w:space="0"/>
              <w:left w:val="single" w:color="3F3F3F" w:sz="4" w:space="0"/>
              <w:bottom w:val="single" w:color="auto" w:sz="4" w:space="0"/>
              <w:right w:val="single" w:color="3F3F3F" w:sz="4" w:space="0"/>
            </w:tcBorders>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741" w:type="dxa"/>
            <w:tcBorders>
              <w:top w:val="single" w:color="auto" w:sz="4" w:space="0"/>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40" w:lineRule="atLeast"/>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14:textFill>
                  <w14:solidFill>
                    <w14:schemeClr w14:val="tx1"/>
                  </w14:solidFill>
                </w14:textFill>
              </w:rPr>
              <w:t>配置清单：</w:t>
            </w:r>
          </w:p>
          <w:p>
            <w:pPr>
              <w:keepNext w:val="0"/>
              <w:keepLines w:val="0"/>
              <w:pageBreakBefore w:val="0"/>
              <w:widowControl/>
              <w:numPr>
                <w:ilvl w:val="0"/>
                <w:numId w:val="1"/>
              </w:numPr>
              <w:kinsoku/>
              <w:wordWrap/>
              <w:overflowPunct/>
              <w:topLinePunct w:val="0"/>
              <w:autoSpaceDE/>
              <w:autoSpaceDN/>
              <w:bidi w:val="0"/>
              <w:adjustRightInd/>
              <w:snapToGrid/>
              <w:spacing w:line="240" w:lineRule="atLeast"/>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14:textFill>
                  <w14:solidFill>
                    <w14:schemeClr w14:val="tx1"/>
                  </w14:solidFill>
                </w14:textFill>
              </w:rPr>
              <w:t>显示主机1台</w:t>
            </w:r>
          </w:p>
          <w:p>
            <w:pPr>
              <w:keepNext w:val="0"/>
              <w:keepLines w:val="0"/>
              <w:pageBreakBefore w:val="0"/>
              <w:widowControl/>
              <w:numPr>
                <w:ilvl w:val="0"/>
                <w:numId w:val="1"/>
              </w:numPr>
              <w:kinsoku/>
              <w:wordWrap/>
              <w:overflowPunct/>
              <w:topLinePunct w:val="0"/>
              <w:autoSpaceDE/>
              <w:autoSpaceDN/>
              <w:bidi w:val="0"/>
              <w:adjustRightInd/>
              <w:snapToGrid/>
              <w:spacing w:line="240" w:lineRule="atLeast"/>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14:textFill>
                  <w14:solidFill>
                    <w14:schemeClr w14:val="tx1"/>
                  </w14:solidFill>
                </w14:textFill>
              </w:rPr>
              <w:t>测试主机（带电缆）1台</w:t>
            </w:r>
          </w:p>
          <w:p>
            <w:pPr>
              <w:keepNext w:val="0"/>
              <w:keepLines w:val="0"/>
              <w:pageBreakBefore w:val="0"/>
              <w:widowControl/>
              <w:numPr>
                <w:ilvl w:val="0"/>
                <w:numId w:val="1"/>
              </w:numPr>
              <w:kinsoku/>
              <w:wordWrap/>
              <w:overflowPunct/>
              <w:topLinePunct w:val="0"/>
              <w:autoSpaceDE/>
              <w:autoSpaceDN/>
              <w:bidi w:val="0"/>
              <w:adjustRightInd/>
              <w:snapToGrid/>
              <w:spacing w:line="240" w:lineRule="atLeast"/>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14:textFill>
                  <w14:solidFill>
                    <w14:schemeClr w14:val="tx1"/>
                  </w14:solidFill>
                </w14:textFill>
              </w:rPr>
              <w:t>探头连接电缆1根</w:t>
            </w:r>
          </w:p>
          <w:p>
            <w:pPr>
              <w:keepNext w:val="0"/>
              <w:keepLines w:val="0"/>
              <w:pageBreakBefore w:val="0"/>
              <w:widowControl/>
              <w:numPr>
                <w:ilvl w:val="0"/>
                <w:numId w:val="1"/>
              </w:numPr>
              <w:kinsoku/>
              <w:wordWrap/>
              <w:overflowPunct/>
              <w:topLinePunct w:val="0"/>
              <w:autoSpaceDE/>
              <w:autoSpaceDN/>
              <w:bidi w:val="0"/>
              <w:adjustRightInd/>
              <w:snapToGrid/>
              <w:spacing w:line="240" w:lineRule="atLeast"/>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14:textFill>
                  <w14:solidFill>
                    <w14:schemeClr w14:val="tx1"/>
                  </w14:solidFill>
                </w14:textFill>
              </w:rPr>
              <w:t>重复性组织血氧探头1个</w:t>
            </w:r>
          </w:p>
          <w:p>
            <w:pPr>
              <w:keepNext w:val="0"/>
              <w:keepLines w:val="0"/>
              <w:pageBreakBefore w:val="0"/>
              <w:widowControl/>
              <w:numPr>
                <w:ilvl w:val="0"/>
                <w:numId w:val="1"/>
              </w:numPr>
              <w:kinsoku/>
              <w:wordWrap/>
              <w:overflowPunct/>
              <w:topLinePunct w:val="0"/>
              <w:autoSpaceDE/>
              <w:autoSpaceDN/>
              <w:bidi w:val="0"/>
              <w:adjustRightInd/>
              <w:snapToGrid/>
              <w:spacing w:line="240" w:lineRule="atLeast"/>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14:textFill>
                  <w14:solidFill>
                    <w14:schemeClr w14:val="tx1"/>
                  </w14:solidFill>
                </w14:textFill>
              </w:rPr>
              <w:t>锂电池1块</w:t>
            </w:r>
          </w:p>
          <w:p>
            <w:pPr>
              <w:keepNext w:val="0"/>
              <w:keepLines w:val="0"/>
              <w:pageBreakBefore w:val="0"/>
              <w:widowControl/>
              <w:numPr>
                <w:ilvl w:val="0"/>
                <w:numId w:val="1"/>
              </w:numPr>
              <w:kinsoku/>
              <w:wordWrap/>
              <w:overflowPunct/>
              <w:topLinePunct w:val="0"/>
              <w:autoSpaceDE/>
              <w:autoSpaceDN/>
              <w:bidi w:val="0"/>
              <w:adjustRightInd/>
              <w:snapToGrid/>
              <w:spacing w:line="240" w:lineRule="atLeast"/>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14:textFill>
                  <w14:solidFill>
                    <w14:schemeClr w14:val="tx1"/>
                  </w14:solidFill>
                </w14:textFill>
              </w:rPr>
              <w:t>电源适配器1个</w:t>
            </w:r>
          </w:p>
          <w:p>
            <w:pPr>
              <w:keepNext w:val="0"/>
              <w:keepLines w:val="0"/>
              <w:pageBreakBefore w:val="0"/>
              <w:widowControl/>
              <w:numPr>
                <w:ilvl w:val="0"/>
                <w:numId w:val="1"/>
              </w:numPr>
              <w:kinsoku/>
              <w:wordWrap/>
              <w:overflowPunct/>
              <w:topLinePunct w:val="0"/>
              <w:autoSpaceDE/>
              <w:autoSpaceDN/>
              <w:bidi w:val="0"/>
              <w:adjustRightInd/>
              <w:snapToGrid/>
              <w:spacing w:line="240" w:lineRule="atLeast"/>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14:textFill>
                  <w14:solidFill>
                    <w14:schemeClr w14:val="tx1"/>
                  </w14:solidFill>
                </w14:textFill>
              </w:rPr>
              <w:t>电源线1根</w:t>
            </w:r>
          </w:p>
          <w:p>
            <w:pPr>
              <w:keepNext w:val="0"/>
              <w:keepLines w:val="0"/>
              <w:pageBreakBefore w:val="0"/>
              <w:widowControl/>
              <w:numPr>
                <w:ilvl w:val="0"/>
                <w:numId w:val="1"/>
              </w:numPr>
              <w:kinsoku/>
              <w:wordWrap/>
              <w:overflowPunct/>
              <w:topLinePunct w:val="0"/>
              <w:autoSpaceDE/>
              <w:autoSpaceDN/>
              <w:bidi w:val="0"/>
              <w:adjustRightInd/>
              <w:snapToGrid/>
              <w:spacing w:line="240" w:lineRule="atLeast"/>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14:textFill>
                  <w14:solidFill>
                    <w14:schemeClr w14:val="tx1"/>
                  </w14:solidFill>
                </w14:textFill>
              </w:rPr>
              <w:t>说明书1份</w:t>
            </w:r>
          </w:p>
          <w:p>
            <w:pPr>
              <w:keepNext w:val="0"/>
              <w:keepLines w:val="0"/>
              <w:pageBreakBefore w:val="0"/>
              <w:widowControl/>
              <w:numPr>
                <w:ilvl w:val="0"/>
                <w:numId w:val="1"/>
              </w:numPr>
              <w:kinsoku/>
              <w:wordWrap/>
              <w:overflowPunct/>
              <w:topLinePunct w:val="0"/>
              <w:autoSpaceDE/>
              <w:autoSpaceDN/>
              <w:bidi w:val="0"/>
              <w:adjustRightInd/>
              <w:snapToGrid/>
              <w:spacing w:line="240" w:lineRule="atLeast"/>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14:textFill>
                  <w14:solidFill>
                    <w14:schemeClr w14:val="tx1"/>
                  </w14:solidFill>
                </w14:textFill>
              </w:rPr>
              <w:t>保修卡1份</w:t>
            </w:r>
          </w:p>
          <w:p>
            <w:pPr>
              <w:keepNext w:val="0"/>
              <w:keepLines w:val="0"/>
              <w:pageBreakBefore w:val="0"/>
              <w:widowControl/>
              <w:numPr>
                <w:ilvl w:val="0"/>
                <w:numId w:val="1"/>
              </w:numPr>
              <w:kinsoku/>
              <w:wordWrap/>
              <w:overflowPunct/>
              <w:topLinePunct w:val="0"/>
              <w:autoSpaceDE/>
              <w:autoSpaceDN/>
              <w:bidi w:val="0"/>
              <w:adjustRightInd/>
              <w:snapToGrid/>
              <w:spacing w:line="240" w:lineRule="atLeast"/>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14:textFill>
                  <w14:solidFill>
                    <w14:schemeClr w14:val="tx1"/>
                  </w14:solidFill>
                </w14:textFill>
              </w:rPr>
              <w:t>合格证1份</w:t>
            </w:r>
          </w:p>
        </w:tc>
      </w:tr>
    </w:tbl>
    <w:p>
      <w:pPr>
        <w:pStyle w:val="3"/>
        <w:bidi w:val="0"/>
        <w:jc w:val="center"/>
        <w:rPr>
          <w:kern w:val="0"/>
        </w:rPr>
      </w:pPr>
      <w:r>
        <w:rPr>
          <w:rFonts w:hint="eastAsia"/>
        </w:rPr>
        <w:t>设备配套耗材试剂情况</w:t>
      </w:r>
    </w:p>
    <w:p>
      <w:pPr>
        <w:jc w:val="left"/>
        <w:rPr>
          <w:rFonts w:ascii="宋体" w:hAnsi="宋体" w:cs="宋体"/>
          <w:b/>
          <w:bCs/>
          <w:kern w:val="0"/>
          <w:sz w:val="24"/>
          <w:szCs w:val="24"/>
        </w:rPr>
      </w:pPr>
      <w:r>
        <w:rPr>
          <w:rFonts w:hint="eastAsia" w:ascii="宋体" w:hAnsi="宋体" w:cs="宋体"/>
          <w:b/>
          <w:bCs/>
          <w:kern w:val="0"/>
          <w:sz w:val="28"/>
          <w:szCs w:val="28"/>
        </w:rPr>
        <w:t>配套耗材或试剂  （</w:t>
      </w:r>
      <w:r>
        <w:rPr>
          <w:rFonts w:hint="eastAsia" w:ascii="宋体" w:hAnsi="宋体" w:cs="宋体"/>
          <w:b/>
          <w:bCs/>
          <w:color w:val="FF0000"/>
          <w:kern w:val="0"/>
          <w:sz w:val="28"/>
          <w:szCs w:val="28"/>
        </w:rPr>
        <w:t xml:space="preserve">开放□ </w:t>
      </w:r>
      <w:r>
        <w:rPr>
          <w:rFonts w:ascii="宋体" w:hAnsi="宋体" w:cs="宋体"/>
          <w:b/>
          <w:bCs/>
          <w:color w:val="FF0000"/>
          <w:kern w:val="0"/>
          <w:sz w:val="28"/>
          <w:szCs w:val="28"/>
        </w:rPr>
        <w:t xml:space="preserve">  </w:t>
      </w:r>
      <w:r>
        <w:rPr>
          <w:rFonts w:hint="eastAsia" w:ascii="宋体" w:hAnsi="宋体" w:cs="宋体"/>
          <w:b/>
          <w:bCs/>
          <w:color w:val="FF0000"/>
          <w:kern w:val="0"/>
          <w:sz w:val="28"/>
          <w:szCs w:val="28"/>
        </w:rPr>
        <w:t xml:space="preserve">专用☑ </w:t>
      </w:r>
      <w:r>
        <w:rPr>
          <w:rFonts w:ascii="宋体" w:hAnsi="宋体" w:cs="宋体"/>
          <w:b/>
          <w:bCs/>
          <w:color w:val="FF0000"/>
          <w:kern w:val="0"/>
          <w:sz w:val="28"/>
          <w:szCs w:val="28"/>
        </w:rPr>
        <w:t xml:space="preserve"> </w:t>
      </w:r>
      <w:r>
        <w:rPr>
          <w:rFonts w:hint="eastAsia" w:ascii="宋体" w:hAnsi="宋体" w:cs="宋体"/>
          <w:b/>
          <w:bCs/>
          <w:color w:val="FF0000"/>
          <w:kern w:val="0"/>
          <w:sz w:val="28"/>
          <w:szCs w:val="28"/>
        </w:rPr>
        <w:t xml:space="preserve"> 无□</w:t>
      </w:r>
      <w:r>
        <w:rPr>
          <w:rFonts w:hint="eastAsia" w:ascii="宋体" w:hAnsi="宋体" w:cs="宋体"/>
          <w:b/>
          <w:bCs/>
          <w:kern w:val="0"/>
          <w:sz w:val="28"/>
          <w:szCs w:val="28"/>
        </w:rPr>
        <w:t xml:space="preserve">） </w:t>
      </w:r>
    </w:p>
    <w:p>
      <w:pPr>
        <w:keepNext w:val="0"/>
        <w:keepLines w:val="0"/>
        <w:pageBreakBefore w:val="0"/>
        <w:widowControl w:val="0"/>
        <w:kinsoku/>
        <w:wordWrap/>
        <w:overflowPunct/>
        <w:topLinePunct w:val="0"/>
        <w:autoSpaceDE/>
        <w:autoSpaceDN/>
        <w:bidi w:val="0"/>
        <w:adjustRightInd/>
        <w:snapToGrid/>
        <w:spacing w:after="157" w:afterLines="50"/>
        <w:jc w:val="left"/>
        <w:textAlignment w:val="auto"/>
        <w:rPr>
          <w:rFonts w:ascii="宋体" w:hAnsi="宋体" w:cs="宋体"/>
          <w:b/>
          <w:bCs/>
          <w:kern w:val="0"/>
          <w:sz w:val="24"/>
          <w:szCs w:val="24"/>
        </w:rPr>
      </w:pPr>
      <w:r>
        <w:rPr>
          <w:rFonts w:hint="eastAsia" w:ascii="宋体" w:hAnsi="宋体" w:cs="宋体"/>
          <w:b/>
          <w:bCs/>
          <w:kern w:val="0"/>
          <w:sz w:val="24"/>
          <w:szCs w:val="24"/>
        </w:rPr>
        <w:t>配套耗材（选配）</w:t>
      </w:r>
    </w:p>
    <w:tbl>
      <w:tblPr>
        <w:tblStyle w:val="8"/>
        <w:tblW w:w="0" w:type="auto"/>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
        <w:gridCol w:w="5094"/>
        <w:gridCol w:w="1985"/>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vAlign w:val="center"/>
          </w:tcPr>
          <w:p>
            <w:pPr>
              <w:jc w:val="center"/>
              <w:rPr>
                <w:rFonts w:hint="default" w:ascii="Times New Roman" w:hAnsi="Times New Roman" w:eastAsia="宋体" w:cs="Times New Roman"/>
                <w:b/>
                <w:sz w:val="22"/>
                <w:szCs w:val="22"/>
              </w:rPr>
            </w:pPr>
            <w:r>
              <w:rPr>
                <w:rFonts w:hint="default" w:ascii="Times New Roman" w:hAnsi="Times New Roman" w:eastAsia="宋体" w:cs="Times New Roman"/>
                <w:b/>
                <w:sz w:val="22"/>
                <w:szCs w:val="22"/>
              </w:rPr>
              <w:t>序号</w:t>
            </w:r>
          </w:p>
        </w:tc>
        <w:tc>
          <w:tcPr>
            <w:tcW w:w="5094" w:type="dxa"/>
            <w:vAlign w:val="center"/>
          </w:tcPr>
          <w:p>
            <w:pPr>
              <w:jc w:val="center"/>
              <w:rPr>
                <w:rFonts w:hint="default" w:ascii="Times New Roman" w:hAnsi="Times New Roman" w:eastAsia="宋体" w:cs="Times New Roman"/>
                <w:b/>
                <w:sz w:val="22"/>
                <w:szCs w:val="22"/>
              </w:rPr>
            </w:pPr>
            <w:r>
              <w:rPr>
                <w:rFonts w:hint="default" w:ascii="Times New Roman" w:hAnsi="Times New Roman" w:eastAsia="宋体" w:cs="Times New Roman"/>
                <w:b/>
                <w:sz w:val="22"/>
                <w:szCs w:val="22"/>
              </w:rPr>
              <w:t>名称</w:t>
            </w:r>
          </w:p>
        </w:tc>
        <w:tc>
          <w:tcPr>
            <w:tcW w:w="1985" w:type="dxa"/>
            <w:vAlign w:val="center"/>
          </w:tcPr>
          <w:p>
            <w:pPr>
              <w:jc w:val="center"/>
              <w:rPr>
                <w:rFonts w:hint="default" w:ascii="Times New Roman" w:hAnsi="Times New Roman" w:eastAsia="宋体" w:cs="Times New Roman"/>
                <w:b/>
                <w:sz w:val="22"/>
                <w:szCs w:val="22"/>
              </w:rPr>
            </w:pPr>
            <w:r>
              <w:rPr>
                <w:rFonts w:hint="default" w:ascii="Times New Roman" w:hAnsi="Times New Roman" w:eastAsia="宋体" w:cs="Times New Roman"/>
                <w:b/>
                <w:sz w:val="22"/>
                <w:szCs w:val="22"/>
              </w:rPr>
              <w:t>单位</w:t>
            </w:r>
          </w:p>
        </w:tc>
        <w:tc>
          <w:tcPr>
            <w:tcW w:w="2126" w:type="dxa"/>
            <w:vAlign w:val="center"/>
          </w:tcPr>
          <w:p>
            <w:pPr>
              <w:jc w:val="center"/>
              <w:rPr>
                <w:rFonts w:hint="default" w:ascii="Times New Roman" w:hAnsi="Times New Roman" w:eastAsia="宋体" w:cs="Times New Roman"/>
                <w:b/>
                <w:sz w:val="22"/>
                <w:szCs w:val="22"/>
              </w:rPr>
            </w:pPr>
            <w:r>
              <w:rPr>
                <w:rFonts w:hint="default" w:ascii="Times New Roman" w:hAnsi="Times New Roman" w:eastAsia="宋体" w:cs="Times New Roman"/>
                <w:b/>
                <w:sz w:val="22"/>
                <w:szCs w:val="22"/>
              </w:rPr>
              <w:t>预算单价（元）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vAlign w:val="center"/>
          </w:tcPr>
          <w:p>
            <w:pPr>
              <w:jc w:val="center"/>
              <w:rPr>
                <w:rFonts w:hint="default" w:ascii="Times New Roman" w:hAnsi="Times New Roman" w:eastAsia="宋体" w:cs="Times New Roman"/>
                <w:b/>
                <w:sz w:val="22"/>
                <w:szCs w:val="22"/>
              </w:rPr>
            </w:pPr>
            <w:r>
              <w:rPr>
                <w:rFonts w:hint="default" w:ascii="Times New Roman" w:hAnsi="Times New Roman" w:eastAsia="宋体" w:cs="Times New Roman"/>
                <w:b/>
                <w:sz w:val="22"/>
                <w:szCs w:val="22"/>
              </w:rPr>
              <w:t>1</w:t>
            </w:r>
          </w:p>
        </w:tc>
        <w:tc>
          <w:tcPr>
            <w:tcW w:w="5094" w:type="dxa"/>
            <w:vAlign w:val="center"/>
          </w:tcPr>
          <w:p>
            <w:pPr>
              <w:jc w:val="center"/>
              <w:rPr>
                <w:rFonts w:hint="default" w:ascii="Times New Roman" w:hAnsi="Times New Roman" w:eastAsia="宋体" w:cs="Times New Roman"/>
                <w:b/>
                <w:sz w:val="22"/>
                <w:szCs w:val="22"/>
              </w:rPr>
            </w:pPr>
            <w:r>
              <w:rPr>
                <w:rFonts w:hint="default" w:ascii="Times New Roman" w:hAnsi="Times New Roman" w:eastAsia="宋体" w:cs="Times New Roman"/>
                <w:b/>
                <w:sz w:val="22"/>
                <w:szCs w:val="22"/>
              </w:rPr>
              <w:t>一次性组织血氧探头</w:t>
            </w:r>
          </w:p>
        </w:tc>
        <w:tc>
          <w:tcPr>
            <w:tcW w:w="1985" w:type="dxa"/>
            <w:vAlign w:val="center"/>
          </w:tcPr>
          <w:p>
            <w:pPr>
              <w:jc w:val="center"/>
              <w:rPr>
                <w:rFonts w:hint="default" w:ascii="Times New Roman" w:hAnsi="Times New Roman" w:eastAsia="宋体" w:cs="Times New Roman"/>
                <w:b/>
                <w:sz w:val="22"/>
                <w:szCs w:val="22"/>
              </w:rPr>
            </w:pPr>
            <w:r>
              <w:rPr>
                <w:rFonts w:hint="default" w:ascii="Times New Roman" w:hAnsi="Times New Roman" w:eastAsia="宋体" w:cs="Times New Roman"/>
                <w:b/>
                <w:sz w:val="22"/>
                <w:szCs w:val="22"/>
              </w:rPr>
              <w:t>个</w:t>
            </w:r>
          </w:p>
        </w:tc>
        <w:tc>
          <w:tcPr>
            <w:tcW w:w="2126" w:type="dxa"/>
            <w:vAlign w:val="center"/>
          </w:tcPr>
          <w:p>
            <w:pPr>
              <w:jc w:val="center"/>
              <w:rPr>
                <w:rFonts w:hint="default" w:ascii="Times New Roman" w:hAnsi="Times New Roman" w:eastAsia="宋体" w:cs="Times New Roman"/>
                <w:b/>
                <w:sz w:val="22"/>
                <w:szCs w:val="22"/>
              </w:rPr>
            </w:pPr>
            <w:r>
              <w:rPr>
                <w:rFonts w:hint="default" w:ascii="Times New Roman" w:hAnsi="Times New Roman" w:eastAsia="宋体" w:cs="Times New Roman"/>
                <w:b/>
                <w:sz w:val="22"/>
                <w:szCs w:val="22"/>
              </w:rPr>
              <w:t>1620</w:t>
            </w:r>
          </w:p>
        </w:tc>
      </w:tr>
    </w:tbl>
    <w:p>
      <w:pPr>
        <w:jc w:val="left"/>
        <w:rPr>
          <w:rFonts w:ascii="Times New Roman" w:hAnsi="Times New Roman"/>
          <w:szCs w:val="21"/>
        </w:rPr>
      </w:pPr>
    </w:p>
    <w:p>
      <w:pPr>
        <w:keepNext w:val="0"/>
        <w:keepLines w:val="0"/>
        <w:pageBreakBefore w:val="0"/>
        <w:widowControl w:val="0"/>
        <w:kinsoku/>
        <w:wordWrap/>
        <w:overflowPunct/>
        <w:topLinePunct w:val="0"/>
        <w:autoSpaceDE/>
        <w:autoSpaceDN/>
        <w:bidi w:val="0"/>
        <w:adjustRightInd/>
        <w:snapToGrid/>
        <w:spacing w:after="157" w:afterLines="50"/>
        <w:jc w:val="left"/>
        <w:textAlignment w:val="auto"/>
        <w:rPr>
          <w:rFonts w:ascii="宋体" w:hAnsi="宋体" w:cs="宋体"/>
          <w:b/>
          <w:bCs/>
          <w:kern w:val="0"/>
          <w:sz w:val="24"/>
          <w:szCs w:val="24"/>
        </w:rPr>
      </w:pPr>
      <w:r>
        <w:rPr>
          <w:rFonts w:hint="eastAsia" w:ascii="宋体" w:hAnsi="宋体" w:cs="宋体"/>
          <w:b/>
          <w:bCs/>
          <w:kern w:val="0"/>
          <w:sz w:val="24"/>
          <w:szCs w:val="24"/>
        </w:rPr>
        <w:t xml:space="preserve">配套试剂 </w:t>
      </w:r>
    </w:p>
    <w:tbl>
      <w:tblPr>
        <w:tblStyle w:val="8"/>
        <w:tblW w:w="1006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
        <w:gridCol w:w="5107"/>
        <w:gridCol w:w="1985"/>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pPr>
              <w:jc w:val="center"/>
              <w:rPr>
                <w:rFonts w:hint="default" w:ascii="Times New Roman" w:hAnsi="Times New Roman" w:eastAsia="宋体" w:cs="Times New Roman"/>
                <w:b/>
                <w:sz w:val="22"/>
                <w:szCs w:val="22"/>
              </w:rPr>
            </w:pPr>
            <w:r>
              <w:rPr>
                <w:rFonts w:hint="eastAsia" w:ascii="Times New Roman" w:hAnsi="Times New Roman" w:eastAsia="宋体" w:cs="Times New Roman"/>
                <w:b/>
                <w:sz w:val="22"/>
                <w:szCs w:val="22"/>
              </w:rPr>
              <w:t>序号</w:t>
            </w:r>
          </w:p>
        </w:tc>
        <w:tc>
          <w:tcPr>
            <w:tcW w:w="5107" w:type="dxa"/>
            <w:vAlign w:val="center"/>
          </w:tcPr>
          <w:p>
            <w:pPr>
              <w:jc w:val="center"/>
              <w:rPr>
                <w:rFonts w:hint="default" w:ascii="Times New Roman" w:hAnsi="Times New Roman" w:eastAsia="宋体" w:cs="Times New Roman"/>
                <w:b/>
                <w:sz w:val="22"/>
                <w:szCs w:val="22"/>
              </w:rPr>
            </w:pPr>
            <w:r>
              <w:rPr>
                <w:rFonts w:hint="eastAsia" w:ascii="Times New Roman" w:hAnsi="Times New Roman" w:eastAsia="宋体" w:cs="Times New Roman"/>
                <w:b/>
                <w:sz w:val="22"/>
                <w:szCs w:val="22"/>
              </w:rPr>
              <w:t>名称</w:t>
            </w:r>
          </w:p>
        </w:tc>
        <w:tc>
          <w:tcPr>
            <w:tcW w:w="1985" w:type="dxa"/>
            <w:vAlign w:val="center"/>
          </w:tcPr>
          <w:p>
            <w:pPr>
              <w:jc w:val="center"/>
              <w:rPr>
                <w:rFonts w:hint="default" w:ascii="Times New Roman" w:hAnsi="Times New Roman" w:eastAsia="宋体" w:cs="Times New Roman"/>
                <w:b/>
                <w:sz w:val="22"/>
                <w:szCs w:val="22"/>
              </w:rPr>
            </w:pPr>
            <w:r>
              <w:rPr>
                <w:rFonts w:hint="eastAsia" w:ascii="Times New Roman" w:hAnsi="Times New Roman" w:eastAsia="宋体" w:cs="Times New Roman"/>
                <w:b/>
                <w:sz w:val="22"/>
                <w:szCs w:val="22"/>
              </w:rPr>
              <w:t>单位</w:t>
            </w:r>
          </w:p>
        </w:tc>
        <w:tc>
          <w:tcPr>
            <w:tcW w:w="2126" w:type="dxa"/>
            <w:vAlign w:val="center"/>
          </w:tcPr>
          <w:p>
            <w:pPr>
              <w:jc w:val="center"/>
              <w:rPr>
                <w:rFonts w:hint="eastAsia" w:ascii="Times New Roman" w:hAnsi="Times New Roman" w:eastAsia="宋体" w:cs="Times New Roman"/>
                <w:b/>
                <w:sz w:val="22"/>
                <w:szCs w:val="22"/>
                <w:lang w:eastAsia="zh-CN"/>
              </w:rPr>
            </w:pPr>
            <w:r>
              <w:rPr>
                <w:rFonts w:hint="eastAsia" w:ascii="Times New Roman" w:hAnsi="Times New Roman" w:eastAsia="宋体" w:cs="Times New Roman"/>
                <w:b/>
                <w:sz w:val="22"/>
                <w:szCs w:val="22"/>
              </w:rPr>
              <w:t>预算单价</w:t>
            </w:r>
            <w:r>
              <w:rPr>
                <w:rFonts w:hint="eastAsia" w:ascii="Times New Roman" w:hAnsi="Times New Roman" w:eastAsia="宋体" w:cs="Times New Roman"/>
                <w:b/>
                <w:sz w:val="22"/>
                <w:szCs w:val="22"/>
                <w:lang w:eastAsia="zh-CN"/>
              </w:rPr>
              <w:t>（</w:t>
            </w:r>
            <w:r>
              <w:rPr>
                <w:rFonts w:hint="eastAsia" w:ascii="Times New Roman" w:hAnsi="Times New Roman" w:eastAsia="宋体" w:cs="Times New Roman"/>
                <w:b/>
                <w:sz w:val="22"/>
                <w:szCs w:val="22"/>
                <w:lang w:val="en-US" w:eastAsia="zh-CN"/>
              </w:rPr>
              <w:t>元</w:t>
            </w:r>
            <w:r>
              <w:rPr>
                <w:rFonts w:hint="eastAsia" w:ascii="Times New Roman" w:hAnsi="Times New Roman" w:eastAsia="宋体" w:cs="Times New Roman"/>
                <w:b/>
                <w:sz w:val="22"/>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pPr>
              <w:jc w:val="center"/>
              <w:rPr>
                <w:rFonts w:hint="default" w:ascii="Times New Roman" w:hAnsi="Times New Roman" w:eastAsia="宋体" w:cs="Times New Roman"/>
                <w:b/>
                <w:sz w:val="22"/>
                <w:szCs w:val="22"/>
              </w:rPr>
            </w:pPr>
            <w:bookmarkStart w:id="0" w:name="_GoBack" w:colFirst="1" w:colLast="3"/>
            <w:r>
              <w:rPr>
                <w:rFonts w:hint="eastAsia" w:ascii="Times New Roman" w:hAnsi="Times New Roman" w:eastAsia="宋体" w:cs="Times New Roman"/>
                <w:b/>
                <w:sz w:val="22"/>
                <w:szCs w:val="22"/>
              </w:rPr>
              <w:t>1</w:t>
            </w:r>
          </w:p>
        </w:tc>
        <w:tc>
          <w:tcPr>
            <w:tcW w:w="5107" w:type="dxa"/>
            <w:vAlign w:val="center"/>
          </w:tcPr>
          <w:p>
            <w:pPr>
              <w:jc w:val="center"/>
              <w:rPr>
                <w:rFonts w:hint="default" w:ascii="Times New Roman" w:hAnsi="Times New Roman" w:eastAsia="宋体" w:cs="Times New Roman"/>
                <w:b w:val="0"/>
                <w:bCs/>
                <w:kern w:val="2"/>
                <w:sz w:val="22"/>
                <w:szCs w:val="22"/>
                <w:lang w:val="en-US" w:eastAsia="zh-CN" w:bidi="ar-SA"/>
              </w:rPr>
            </w:pPr>
            <w:r>
              <w:rPr>
                <w:rFonts w:hint="eastAsia" w:ascii="Times New Roman" w:hAnsi="Times New Roman" w:cs="Times New Roman"/>
                <w:b w:val="0"/>
                <w:bCs/>
                <w:sz w:val="22"/>
                <w:szCs w:val="22"/>
                <w:lang w:val="en-US" w:eastAsia="zh-CN"/>
              </w:rPr>
              <w:t>/</w:t>
            </w:r>
          </w:p>
        </w:tc>
        <w:tc>
          <w:tcPr>
            <w:tcW w:w="1985" w:type="dxa"/>
            <w:vAlign w:val="center"/>
          </w:tcPr>
          <w:p>
            <w:pPr>
              <w:jc w:val="center"/>
              <w:rPr>
                <w:rFonts w:hint="default" w:ascii="Times New Roman" w:hAnsi="Times New Roman" w:eastAsia="宋体" w:cs="Times New Roman"/>
                <w:b w:val="0"/>
                <w:bCs/>
                <w:kern w:val="2"/>
                <w:sz w:val="22"/>
                <w:szCs w:val="22"/>
                <w:lang w:val="en-US" w:eastAsia="zh-CN" w:bidi="ar-SA"/>
              </w:rPr>
            </w:pPr>
            <w:r>
              <w:rPr>
                <w:rFonts w:hint="eastAsia" w:ascii="Times New Roman" w:hAnsi="Times New Roman" w:cs="Times New Roman"/>
                <w:b w:val="0"/>
                <w:bCs/>
                <w:sz w:val="22"/>
                <w:szCs w:val="22"/>
                <w:lang w:val="en-US" w:eastAsia="zh-CN"/>
              </w:rPr>
              <w:t>/</w:t>
            </w:r>
          </w:p>
        </w:tc>
        <w:tc>
          <w:tcPr>
            <w:tcW w:w="2126" w:type="dxa"/>
            <w:vAlign w:val="center"/>
          </w:tcPr>
          <w:p>
            <w:pPr>
              <w:jc w:val="center"/>
              <w:rPr>
                <w:rFonts w:hint="default" w:ascii="Times New Roman" w:hAnsi="Times New Roman" w:eastAsia="宋体" w:cs="Times New Roman"/>
                <w:b w:val="0"/>
                <w:bCs/>
                <w:kern w:val="2"/>
                <w:sz w:val="22"/>
                <w:szCs w:val="22"/>
                <w:lang w:val="en-US" w:eastAsia="zh-CN" w:bidi="ar-SA"/>
              </w:rPr>
            </w:pPr>
            <w:r>
              <w:rPr>
                <w:rFonts w:hint="eastAsia" w:ascii="Times New Roman" w:hAnsi="Times New Roman" w:cs="Times New Roman"/>
                <w:b w:val="0"/>
                <w:bCs/>
                <w:sz w:val="22"/>
                <w:szCs w:val="22"/>
                <w:lang w:val="en-US" w:eastAsia="zh-CN"/>
              </w:rPr>
              <w:t>/</w:t>
            </w:r>
          </w:p>
        </w:tc>
      </w:tr>
      <w:bookmarkEnd w:id="0"/>
    </w:tbl>
    <w:p>
      <w:pPr>
        <w:jc w:val="center"/>
        <w:rPr>
          <w:rFonts w:ascii="微软雅黑" w:hAnsi="微软雅黑" w:eastAsia="微软雅黑" w:cs="宋体"/>
          <w:color w:val="3F3F3F"/>
          <w:kern w:val="0"/>
          <w:szCs w:val="21"/>
        </w:rPr>
      </w:pPr>
    </w:p>
    <w:sectPr>
      <w:footerReference r:id="rId3" w:type="default"/>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2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D78456"/>
    <w:multiLevelType w:val="singleLevel"/>
    <w:tmpl w:val="58D78456"/>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JkMzgyNzdjMGVjMjg3YjM2Y2VmYzc5MTcyMzBjZTUifQ=="/>
  </w:docVars>
  <w:rsids>
    <w:rsidRoot w:val="00180716"/>
    <w:rsid w:val="00031B84"/>
    <w:rsid w:val="0007571F"/>
    <w:rsid w:val="00086401"/>
    <w:rsid w:val="000B3A24"/>
    <w:rsid w:val="000E0A0A"/>
    <w:rsid w:val="00100D1E"/>
    <w:rsid w:val="0012370B"/>
    <w:rsid w:val="00153A42"/>
    <w:rsid w:val="0015678E"/>
    <w:rsid w:val="00180716"/>
    <w:rsid w:val="0018661F"/>
    <w:rsid w:val="001B0A84"/>
    <w:rsid w:val="001D5E72"/>
    <w:rsid w:val="00206936"/>
    <w:rsid w:val="002617DE"/>
    <w:rsid w:val="002738F1"/>
    <w:rsid w:val="002C0BFD"/>
    <w:rsid w:val="002C6C45"/>
    <w:rsid w:val="002D02F7"/>
    <w:rsid w:val="002D59FE"/>
    <w:rsid w:val="003141BC"/>
    <w:rsid w:val="0031707A"/>
    <w:rsid w:val="00333E2E"/>
    <w:rsid w:val="003407BA"/>
    <w:rsid w:val="0036311E"/>
    <w:rsid w:val="003938A4"/>
    <w:rsid w:val="003B5D40"/>
    <w:rsid w:val="003D4CEF"/>
    <w:rsid w:val="003E15A0"/>
    <w:rsid w:val="00437E27"/>
    <w:rsid w:val="00447FAF"/>
    <w:rsid w:val="004607A8"/>
    <w:rsid w:val="0046248D"/>
    <w:rsid w:val="004777CE"/>
    <w:rsid w:val="00485E99"/>
    <w:rsid w:val="004B2BE5"/>
    <w:rsid w:val="004B4DC1"/>
    <w:rsid w:val="004B79FD"/>
    <w:rsid w:val="004C6FD8"/>
    <w:rsid w:val="004E09F3"/>
    <w:rsid w:val="004E51B4"/>
    <w:rsid w:val="004E6075"/>
    <w:rsid w:val="004F46EC"/>
    <w:rsid w:val="00536070"/>
    <w:rsid w:val="005B4177"/>
    <w:rsid w:val="006161EF"/>
    <w:rsid w:val="00627CBC"/>
    <w:rsid w:val="006666EA"/>
    <w:rsid w:val="00667C4B"/>
    <w:rsid w:val="00696C5E"/>
    <w:rsid w:val="006B7040"/>
    <w:rsid w:val="006C1BAB"/>
    <w:rsid w:val="006C428C"/>
    <w:rsid w:val="006F1FD9"/>
    <w:rsid w:val="0071790B"/>
    <w:rsid w:val="00735F7B"/>
    <w:rsid w:val="007610A6"/>
    <w:rsid w:val="00766032"/>
    <w:rsid w:val="00787AF2"/>
    <w:rsid w:val="00787C5D"/>
    <w:rsid w:val="008046EB"/>
    <w:rsid w:val="00812AE4"/>
    <w:rsid w:val="008143CB"/>
    <w:rsid w:val="00887560"/>
    <w:rsid w:val="00890077"/>
    <w:rsid w:val="00893A00"/>
    <w:rsid w:val="00895307"/>
    <w:rsid w:val="008C5084"/>
    <w:rsid w:val="008D4020"/>
    <w:rsid w:val="008F18EF"/>
    <w:rsid w:val="0091437C"/>
    <w:rsid w:val="00917BB5"/>
    <w:rsid w:val="00917CA2"/>
    <w:rsid w:val="0092593E"/>
    <w:rsid w:val="00967D50"/>
    <w:rsid w:val="009731C4"/>
    <w:rsid w:val="00973FA0"/>
    <w:rsid w:val="00980851"/>
    <w:rsid w:val="00982F84"/>
    <w:rsid w:val="009836A4"/>
    <w:rsid w:val="009852C7"/>
    <w:rsid w:val="00992628"/>
    <w:rsid w:val="00A15F96"/>
    <w:rsid w:val="00A53A87"/>
    <w:rsid w:val="00A70CB8"/>
    <w:rsid w:val="00A75EBB"/>
    <w:rsid w:val="00AA10B5"/>
    <w:rsid w:val="00AA2A2D"/>
    <w:rsid w:val="00AB3ABF"/>
    <w:rsid w:val="00AB43D9"/>
    <w:rsid w:val="00AB686E"/>
    <w:rsid w:val="00AF2364"/>
    <w:rsid w:val="00B04F86"/>
    <w:rsid w:val="00B16C5C"/>
    <w:rsid w:val="00B36BC4"/>
    <w:rsid w:val="00B37A82"/>
    <w:rsid w:val="00BE5B4B"/>
    <w:rsid w:val="00C046E8"/>
    <w:rsid w:val="00C70023"/>
    <w:rsid w:val="00C70D64"/>
    <w:rsid w:val="00C717A1"/>
    <w:rsid w:val="00CA1F88"/>
    <w:rsid w:val="00D1471E"/>
    <w:rsid w:val="00D14837"/>
    <w:rsid w:val="00D2285F"/>
    <w:rsid w:val="00D5527C"/>
    <w:rsid w:val="00D577BE"/>
    <w:rsid w:val="00D650DC"/>
    <w:rsid w:val="00D736F6"/>
    <w:rsid w:val="00D73D7E"/>
    <w:rsid w:val="00D90205"/>
    <w:rsid w:val="00DA2A6D"/>
    <w:rsid w:val="00DB3248"/>
    <w:rsid w:val="00E100C3"/>
    <w:rsid w:val="00E13D8B"/>
    <w:rsid w:val="00E43D98"/>
    <w:rsid w:val="00E84839"/>
    <w:rsid w:val="00E87DEE"/>
    <w:rsid w:val="00EA0AF4"/>
    <w:rsid w:val="00EA3933"/>
    <w:rsid w:val="00F128E8"/>
    <w:rsid w:val="00F176BB"/>
    <w:rsid w:val="00F3782E"/>
    <w:rsid w:val="00F40917"/>
    <w:rsid w:val="00F47DA3"/>
    <w:rsid w:val="00F64CDB"/>
    <w:rsid w:val="00F749F5"/>
    <w:rsid w:val="00F84832"/>
    <w:rsid w:val="00FD02B5"/>
    <w:rsid w:val="00FD584F"/>
    <w:rsid w:val="20527BD7"/>
    <w:rsid w:val="2A490E52"/>
    <w:rsid w:val="33527EA4"/>
    <w:rsid w:val="455D28B9"/>
    <w:rsid w:val="45627022"/>
    <w:rsid w:val="6DD3797B"/>
    <w:rsid w:val="7FF318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2"/>
    <w:qFormat/>
    <w:uiPriority w:val="9"/>
    <w:pPr>
      <w:keepNext/>
      <w:keepLines/>
      <w:spacing w:before="340" w:after="330" w:line="578" w:lineRule="auto"/>
      <w:outlineLvl w:val="0"/>
    </w:pPr>
    <w:rPr>
      <w:b/>
      <w:bCs/>
      <w:kern w:val="44"/>
      <w:sz w:val="44"/>
      <w:szCs w:val="44"/>
    </w:rPr>
  </w:style>
  <w:style w:type="paragraph" w:styleId="3">
    <w:name w:val="heading 2"/>
    <w:basedOn w:val="1"/>
    <w:next w:val="1"/>
    <w:autoRedefine/>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unhideWhenUsed/>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4">
    <w:name w:val="annotation text"/>
    <w:basedOn w:val="1"/>
    <w:link w:val="13"/>
    <w:autoRedefine/>
    <w:unhideWhenUsed/>
    <w:qFormat/>
    <w:uiPriority w:val="99"/>
    <w:pPr>
      <w:jc w:val="left"/>
    </w:pPr>
  </w:style>
  <w:style w:type="paragraph" w:styleId="5">
    <w:name w:val="Balloon Text"/>
    <w:basedOn w:val="1"/>
    <w:link w:val="14"/>
    <w:autoRedefine/>
    <w:unhideWhenUsed/>
    <w:qFormat/>
    <w:uiPriority w:val="99"/>
    <w:rPr>
      <w:sz w:val="18"/>
      <w:szCs w:val="18"/>
    </w:rPr>
  </w:style>
  <w:style w:type="paragraph" w:styleId="6">
    <w:name w:val="footer"/>
    <w:basedOn w:val="1"/>
    <w:link w:val="15"/>
    <w:autoRedefine/>
    <w:unhideWhenUsed/>
    <w:qFormat/>
    <w:uiPriority w:val="99"/>
    <w:pPr>
      <w:tabs>
        <w:tab w:val="center" w:pos="4153"/>
        <w:tab w:val="right" w:pos="8306"/>
      </w:tabs>
      <w:snapToGrid w:val="0"/>
      <w:jc w:val="left"/>
    </w:pPr>
    <w:rPr>
      <w:kern w:val="0"/>
      <w:sz w:val="18"/>
      <w:szCs w:val="18"/>
    </w:rPr>
  </w:style>
  <w:style w:type="paragraph" w:styleId="7">
    <w:name w:val="header"/>
    <w:basedOn w:val="1"/>
    <w:link w:val="16"/>
    <w:autoRedefine/>
    <w:unhideWhenUsed/>
    <w:qFormat/>
    <w:uiPriority w:val="99"/>
    <w:pPr>
      <w:pBdr>
        <w:bottom w:val="single" w:color="auto" w:sz="6" w:space="1"/>
      </w:pBdr>
      <w:tabs>
        <w:tab w:val="center" w:pos="4153"/>
        <w:tab w:val="right" w:pos="8306"/>
      </w:tabs>
      <w:snapToGrid w:val="0"/>
      <w:jc w:val="center"/>
    </w:pPr>
    <w:rPr>
      <w:kern w:val="0"/>
      <w:sz w:val="18"/>
      <w:szCs w:val="18"/>
    </w:rPr>
  </w:style>
  <w:style w:type="table" w:styleId="9">
    <w:name w:val="Table Grid"/>
    <w:basedOn w:val="8"/>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autoRedefine/>
    <w:unhideWhenUsed/>
    <w:qFormat/>
    <w:uiPriority w:val="99"/>
    <w:rPr>
      <w:sz w:val="21"/>
      <w:szCs w:val="21"/>
    </w:rPr>
  </w:style>
  <w:style w:type="character" w:customStyle="1" w:styleId="12">
    <w:name w:val="標題 1 字元"/>
    <w:link w:val="2"/>
    <w:autoRedefine/>
    <w:qFormat/>
    <w:uiPriority w:val="9"/>
    <w:rPr>
      <w:b/>
      <w:bCs/>
      <w:kern w:val="44"/>
      <w:sz w:val="44"/>
      <w:szCs w:val="44"/>
    </w:rPr>
  </w:style>
  <w:style w:type="character" w:customStyle="1" w:styleId="13">
    <w:name w:val="註解文字 字元"/>
    <w:link w:val="4"/>
    <w:autoRedefine/>
    <w:semiHidden/>
    <w:qFormat/>
    <w:uiPriority w:val="99"/>
    <w:rPr>
      <w:kern w:val="2"/>
      <w:sz w:val="21"/>
      <w:szCs w:val="22"/>
    </w:rPr>
  </w:style>
  <w:style w:type="character" w:customStyle="1" w:styleId="14">
    <w:name w:val="註解方塊文字 字元"/>
    <w:link w:val="5"/>
    <w:autoRedefine/>
    <w:semiHidden/>
    <w:qFormat/>
    <w:uiPriority w:val="99"/>
    <w:rPr>
      <w:kern w:val="2"/>
      <w:sz w:val="18"/>
      <w:szCs w:val="18"/>
    </w:rPr>
  </w:style>
  <w:style w:type="character" w:customStyle="1" w:styleId="15">
    <w:name w:val="頁尾 字元"/>
    <w:link w:val="6"/>
    <w:autoRedefine/>
    <w:qFormat/>
    <w:uiPriority w:val="99"/>
    <w:rPr>
      <w:sz w:val="18"/>
      <w:szCs w:val="18"/>
    </w:rPr>
  </w:style>
  <w:style w:type="character" w:customStyle="1" w:styleId="16">
    <w:name w:val="頁首 字元"/>
    <w:link w:val="7"/>
    <w:autoRedefine/>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8</Pages>
  <Words>507</Words>
  <Characters>2891</Characters>
  <Lines>24</Lines>
  <Paragraphs>6</Paragraphs>
  <TotalTime>0</TotalTime>
  <ScaleCrop>false</ScaleCrop>
  <LinksUpToDate>false</LinksUpToDate>
  <CharactersWithSpaces>3392</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2023-11-02T03:07:00Z</dcterms:created>
  <dc:creator>Sky123.Org</dc:creator>
  <cp:lastModifiedBy> </cp:lastModifiedBy>
  <cp:lastPrinted>2020-06-15T03:32:00Z</cp:lastPrinted>
  <dcterms:modified xsi:type="dcterms:W3CDTF">2024-04-09T08:12:33Z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5ECAB3CDAB1E4F2E9F0783FF98891651</vt:lpwstr>
  </property>
</Properties>
</file>